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7FCF8B6A"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sidR="007F30F2">
              <w:rPr>
                <w:b/>
              </w:rPr>
              <w:t>ADM 1</w:t>
            </w:r>
          </w:p>
        </w:tc>
        <w:tc>
          <w:tcPr>
            <w:tcW w:w="5245" w:type="dxa"/>
          </w:tcPr>
          <w:p w14:paraId="5BFD5B79" w14:textId="0660B952" w:rsidR="00E24D59" w:rsidRPr="00E24D59" w:rsidRDefault="00E24D59"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C23/</w:t>
            </w:r>
            <w:r w:rsidR="0060179A">
              <w:rPr>
                <w:b/>
                <w:lang w:val="fr-CH"/>
              </w:rPr>
              <w:t>3</w:t>
            </w:r>
            <w:r w:rsidR="007F30F2">
              <w:rPr>
                <w:b/>
                <w:lang w:val="fr-CH"/>
              </w:rPr>
              <w:t>9</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18CC5D10" w:rsidR="00E24D59" w:rsidRPr="00E85629" w:rsidRDefault="008F412C" w:rsidP="00E31DCE">
            <w:pPr>
              <w:tabs>
                <w:tab w:val="left" w:pos="851"/>
              </w:tabs>
              <w:spacing w:before="0"/>
              <w:jc w:val="right"/>
              <w:rPr>
                <w:b/>
              </w:rPr>
            </w:pPr>
            <w:r>
              <w:rPr>
                <w:b/>
              </w:rPr>
              <w:t>2023</w:t>
            </w:r>
            <w:r>
              <w:rPr>
                <w:rFonts w:hint="eastAsia"/>
                <w:b/>
                <w:lang w:eastAsia="zh-CN"/>
              </w:rPr>
              <w:t>年</w:t>
            </w:r>
            <w:r w:rsidR="00F2480D">
              <w:rPr>
                <w:b/>
                <w:lang w:eastAsia="zh-CN"/>
              </w:rPr>
              <w:t>6</w:t>
            </w:r>
            <w:r>
              <w:rPr>
                <w:rFonts w:hint="eastAsia"/>
                <w:b/>
                <w:lang w:eastAsia="zh-CN"/>
              </w:rPr>
              <w:t>月</w:t>
            </w:r>
            <w:r w:rsidR="007F30F2">
              <w:rPr>
                <w:b/>
                <w:lang w:eastAsia="zh-CN"/>
              </w:rPr>
              <w:t>9</w:t>
            </w:r>
            <w:r>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6D04D28" w:rsidR="00E24D59" w:rsidRPr="00E85629" w:rsidRDefault="008F412C" w:rsidP="00E31DCE">
            <w:pPr>
              <w:tabs>
                <w:tab w:val="left" w:pos="851"/>
              </w:tabs>
              <w:spacing w:before="0" w:line="240" w:lineRule="atLeast"/>
              <w:jc w:val="right"/>
              <w:rPr>
                <w:b/>
                <w:lang w:eastAsia="zh-CN"/>
              </w:rPr>
            </w:pPr>
            <w:r w:rsidRPr="00E24D59">
              <w:rPr>
                <w:rFonts w:cstheme="minorHAnsi"/>
                <w:b/>
                <w:bCs/>
                <w:lang w:val="ru-RU"/>
              </w:rPr>
              <w:t>原文：英</w:t>
            </w:r>
            <w:r w:rsidRPr="00E24D59">
              <w:rPr>
                <w:rFonts w:cstheme="minorHAnsi" w:hint="eastAsia"/>
                <w:b/>
                <w:bCs/>
                <w:lang w:val="ru-RU"/>
              </w:rPr>
              <w:t>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017D4296" w:rsidR="00E24D59" w:rsidRPr="00E24D59" w:rsidRDefault="008F412C" w:rsidP="004C1CF4">
            <w:pPr>
              <w:pStyle w:val="Source"/>
              <w:tabs>
                <w:tab w:val="clear" w:pos="794"/>
                <w:tab w:val="clear" w:pos="1191"/>
                <w:tab w:val="clear" w:pos="1588"/>
                <w:tab w:val="clear" w:pos="1985"/>
                <w:tab w:val="left" w:pos="567"/>
                <w:tab w:val="left" w:pos="1134"/>
                <w:tab w:val="left" w:pos="1701"/>
                <w:tab w:val="left" w:pos="2268"/>
                <w:tab w:val="left" w:pos="2835"/>
              </w:tabs>
              <w:spacing w:before="840"/>
              <w:jc w:val="left"/>
              <w:rPr>
                <w:sz w:val="34"/>
                <w:szCs w:val="34"/>
                <w:lang w:eastAsia="zh-CN"/>
              </w:rPr>
            </w:pPr>
            <w:bookmarkStart w:id="5" w:name="dsource" w:colFirst="0" w:colLast="0"/>
            <w:bookmarkEnd w:id="4"/>
            <w:r w:rsidRPr="00E24D59">
              <w:rPr>
                <w:rFonts w:cstheme="minorHAnsi" w:hint="eastAsia"/>
                <w:sz w:val="34"/>
                <w:szCs w:val="34"/>
                <w:lang w:val="ru-RU"/>
              </w:rPr>
              <w:t>秘书长的报告</w:t>
            </w:r>
          </w:p>
        </w:tc>
      </w:tr>
      <w:tr w:rsidR="00E24D59" w:rsidRPr="00813E5E" w14:paraId="0A607CA0" w14:textId="77777777" w:rsidTr="00E31DCE">
        <w:trPr>
          <w:cantSplit/>
        </w:trPr>
        <w:tc>
          <w:tcPr>
            <w:tcW w:w="9214" w:type="dxa"/>
            <w:gridSpan w:val="2"/>
            <w:tcMar>
              <w:left w:w="0" w:type="dxa"/>
            </w:tcMar>
          </w:tcPr>
          <w:p w14:paraId="61A82356" w14:textId="21371DB6" w:rsidR="00E24D59" w:rsidRPr="004C1CF4" w:rsidRDefault="007C5204" w:rsidP="0060179A">
            <w:pPr>
              <w:pStyle w:val="Subtitle"/>
              <w:framePr w:hSpace="0" w:wrap="auto" w:hAnchor="text" w:xAlign="left" w:yAlign="inline"/>
              <w:rPr>
                <w:rFonts w:eastAsia="SimSun" w:cs="Calibri"/>
                <w:lang w:eastAsia="zh-CN"/>
              </w:rPr>
            </w:pPr>
            <w:bookmarkStart w:id="6" w:name="lt_pId011"/>
            <w:bookmarkStart w:id="7" w:name="dtitle1" w:colFirst="0" w:colLast="0"/>
            <w:bookmarkEnd w:id="5"/>
            <w:r w:rsidRPr="007C5204">
              <w:rPr>
                <w:rFonts w:eastAsia="SimSun" w:cs="Calibri" w:hint="eastAsia"/>
                <w:lang w:eastAsia="zh-CN"/>
              </w:rPr>
              <w:t>有关</w:t>
            </w:r>
            <w:r w:rsidR="007F30F2" w:rsidRPr="007C5204">
              <w:rPr>
                <w:rFonts w:eastAsia="SimSun" w:cs="Calibri"/>
                <w:lang w:eastAsia="zh-CN"/>
              </w:rPr>
              <w:t>免除国际性组织会费</w:t>
            </w:r>
            <w:bookmarkEnd w:id="6"/>
            <w:r w:rsidRPr="007C5204">
              <w:rPr>
                <w:rFonts w:eastAsia="SimSun" w:cs="Calibri" w:hint="eastAsia"/>
                <w:lang w:eastAsia="zh-CN"/>
              </w:rPr>
              <w:t>的新申请</w:t>
            </w:r>
          </w:p>
        </w:tc>
      </w:tr>
      <w:tr w:rsidR="00E24D59" w:rsidRPr="00576195" w14:paraId="100C8F8F" w14:textId="77777777" w:rsidTr="00E31DCE">
        <w:trPr>
          <w:cantSplit/>
        </w:trPr>
        <w:tc>
          <w:tcPr>
            <w:tcW w:w="9214" w:type="dxa"/>
            <w:gridSpan w:val="2"/>
            <w:tcBorders>
              <w:top w:val="single" w:sz="4" w:space="0" w:color="auto"/>
              <w:bottom w:val="single" w:sz="4" w:space="0" w:color="auto"/>
            </w:tcBorders>
            <w:tcMar>
              <w:left w:w="0" w:type="dxa"/>
            </w:tcMar>
          </w:tcPr>
          <w:p w14:paraId="3299CC8F" w14:textId="4E1A5A1E" w:rsidR="00E24D59" w:rsidRPr="00576195" w:rsidRDefault="00E24D59" w:rsidP="00E24D59">
            <w:pPr>
              <w:pStyle w:val="Subtitle"/>
              <w:framePr w:hSpace="0" w:wrap="auto" w:hAnchor="text" w:xAlign="left" w:yAlign="inline"/>
              <w:rPr>
                <w:rFonts w:eastAsia="SimSun" w:cs="Calibri"/>
                <w:b/>
                <w:bCs/>
                <w:sz w:val="26"/>
                <w:szCs w:val="26"/>
                <w:lang w:eastAsia="zh-CN"/>
              </w:rPr>
            </w:pPr>
            <w:r w:rsidRPr="00576195">
              <w:rPr>
                <w:rFonts w:eastAsia="SimSun" w:cs="Calibri"/>
                <w:b/>
                <w:bCs/>
                <w:sz w:val="26"/>
                <w:szCs w:val="26"/>
                <w:lang w:eastAsia="zh-CN"/>
              </w:rPr>
              <w:t>目的</w:t>
            </w:r>
          </w:p>
          <w:p w14:paraId="788B07CC" w14:textId="5583FD66" w:rsidR="00D17996" w:rsidRPr="00BB5DED" w:rsidRDefault="007F30F2" w:rsidP="007F30F2">
            <w:pPr>
              <w:ind w:firstLineChars="200" w:firstLine="480"/>
              <w:jc w:val="both"/>
              <w:rPr>
                <w:lang w:eastAsia="zh-CN"/>
              </w:rPr>
            </w:pPr>
            <w:r w:rsidRPr="00553FE4">
              <w:rPr>
                <w:rFonts w:ascii="SimSun" w:hAnsi="SimSun" w:cs="SimSun" w:hint="eastAsia"/>
                <w:lang w:eastAsia="zh-CN"/>
              </w:rPr>
              <w:t>国际电联每年都会收到国际性组织</w:t>
            </w:r>
            <w:r w:rsidRPr="00D856C9">
              <w:rPr>
                <w:rFonts w:ascii="SimSun" w:hAnsi="SimSun" w:cs="SimSun"/>
                <w:lang w:eastAsia="zh-CN"/>
              </w:rPr>
              <w:t>提出</w:t>
            </w:r>
            <w:r>
              <w:rPr>
                <w:rFonts w:ascii="SimSun" w:hAnsi="SimSun" w:cs="SimSun" w:hint="eastAsia"/>
                <w:lang w:eastAsia="zh-CN"/>
              </w:rPr>
              <w:t>的申请，请求</w:t>
            </w:r>
            <w:r w:rsidRPr="00553FE4">
              <w:rPr>
                <w:rFonts w:ascii="SimSun" w:hAnsi="SimSun" w:cs="SimSun" w:hint="eastAsia"/>
                <w:lang w:eastAsia="zh-CN"/>
              </w:rPr>
              <w:t>根据对等原则</w:t>
            </w:r>
            <w:r w:rsidRPr="00D856C9">
              <w:rPr>
                <w:rFonts w:ascii="SimSun" w:hAnsi="SimSun" w:cs="SimSun"/>
                <w:lang w:eastAsia="zh-CN"/>
              </w:rPr>
              <w:t>免予缴纳会费</w:t>
            </w:r>
            <w:r>
              <w:rPr>
                <w:rFonts w:ascii="SimSun" w:hAnsi="SimSun" w:cs="SimSun" w:hint="eastAsia"/>
                <w:lang w:eastAsia="zh-CN"/>
              </w:rPr>
              <w:t>和其他财务缴费。</w:t>
            </w:r>
            <w:r w:rsidRPr="00553FE4">
              <w:rPr>
                <w:rFonts w:ascii="SimSun" w:hAnsi="SimSun" w:cs="SimSun" w:hint="eastAsia"/>
                <w:lang w:eastAsia="zh-CN"/>
              </w:rPr>
              <w:t>这些新的</w:t>
            </w:r>
            <w:r>
              <w:rPr>
                <w:rFonts w:ascii="SimSun" w:hAnsi="SimSun" w:cs="SimSun" w:hint="eastAsia"/>
                <w:lang w:eastAsia="zh-CN"/>
              </w:rPr>
              <w:t>申请</w:t>
            </w:r>
            <w:r w:rsidRPr="00553FE4">
              <w:rPr>
                <w:rFonts w:ascii="SimSun" w:hAnsi="SimSun" w:cs="SimSun" w:hint="eastAsia"/>
                <w:lang w:eastAsia="zh-CN"/>
              </w:rPr>
              <w:t>由秘书处根据</w:t>
            </w:r>
            <w:r w:rsidR="007C5204">
              <w:rPr>
                <w:rFonts w:ascii="SimSun" w:hAnsi="SimSun" w:cs="SimSun" w:hint="eastAsia"/>
                <w:lang w:eastAsia="zh-CN"/>
              </w:rPr>
              <w:t>国际电联</w:t>
            </w:r>
            <w:r w:rsidRPr="00553FE4">
              <w:rPr>
                <w:rFonts w:ascii="SimSun" w:hAnsi="SimSun" w:cs="SimSun" w:hint="eastAsia"/>
                <w:lang w:eastAsia="zh-CN"/>
              </w:rPr>
              <w:t>理事会制定的标准</w:t>
            </w:r>
            <w:r>
              <w:rPr>
                <w:rFonts w:ascii="SimSun" w:hAnsi="SimSun" w:cs="SimSun" w:hint="eastAsia"/>
                <w:lang w:eastAsia="zh-CN"/>
              </w:rPr>
              <w:t>予以</w:t>
            </w:r>
            <w:r w:rsidRPr="00553FE4">
              <w:rPr>
                <w:rFonts w:ascii="SimSun" w:hAnsi="SimSun" w:cs="SimSun" w:hint="eastAsia"/>
                <w:lang w:eastAsia="zh-CN"/>
              </w:rPr>
              <w:t>审查。</w:t>
            </w:r>
          </w:p>
          <w:p w14:paraId="3BEE426C" w14:textId="77777777" w:rsidR="008F412C" w:rsidRPr="00576195" w:rsidRDefault="008F412C" w:rsidP="008F412C">
            <w:pPr>
              <w:pStyle w:val="Subtitle"/>
              <w:framePr w:hSpace="0" w:wrap="auto" w:hAnchor="text" w:xAlign="left" w:yAlign="inline"/>
              <w:spacing w:before="160"/>
              <w:rPr>
                <w:rFonts w:eastAsia="SimSun" w:cs="Calibri"/>
                <w:b/>
                <w:bCs/>
                <w:sz w:val="26"/>
                <w:szCs w:val="26"/>
                <w:lang w:eastAsia="zh-CN"/>
              </w:rPr>
            </w:pPr>
            <w:r w:rsidRPr="00576195">
              <w:rPr>
                <w:rFonts w:eastAsia="SimSun" w:cs="Calibri"/>
                <w:b/>
                <w:bCs/>
                <w:sz w:val="26"/>
                <w:szCs w:val="26"/>
                <w:lang w:eastAsia="zh-CN"/>
              </w:rPr>
              <w:t>理事会需采取的行动</w:t>
            </w:r>
          </w:p>
          <w:p w14:paraId="4442A898" w14:textId="439D0899" w:rsidR="008F412C" w:rsidRPr="00576195" w:rsidRDefault="007F30F2" w:rsidP="007F30F2">
            <w:pPr>
              <w:tabs>
                <w:tab w:val="clear" w:pos="794"/>
                <w:tab w:val="left" w:pos="621"/>
              </w:tabs>
              <w:ind w:firstLineChars="200" w:firstLine="480"/>
              <w:rPr>
                <w:rFonts w:cs="Calibri"/>
                <w:lang w:eastAsia="zh-CN"/>
              </w:rPr>
            </w:pPr>
            <w:r w:rsidRPr="00D856C9">
              <w:rPr>
                <w:rFonts w:hint="eastAsia"/>
                <w:lang w:eastAsia="zh-CN"/>
              </w:rPr>
              <w:t>请</w:t>
            </w:r>
            <w:r>
              <w:rPr>
                <w:rFonts w:hint="eastAsia"/>
                <w:lang w:eastAsia="zh-CN"/>
              </w:rPr>
              <w:t>理事会</w:t>
            </w:r>
            <w:r w:rsidRPr="00D856C9">
              <w:rPr>
                <w:rFonts w:hint="eastAsia"/>
                <w:b/>
                <w:bCs/>
                <w:lang w:eastAsia="zh-CN"/>
              </w:rPr>
              <w:t>审议</w:t>
            </w:r>
            <w:r w:rsidRPr="00D856C9">
              <w:rPr>
                <w:rFonts w:hint="eastAsia"/>
                <w:lang w:eastAsia="zh-CN"/>
              </w:rPr>
              <w:t>秘书长关于新的</w:t>
            </w:r>
            <w:r>
              <w:rPr>
                <w:rFonts w:hint="eastAsia"/>
                <w:lang w:eastAsia="zh-CN"/>
              </w:rPr>
              <w:t>免予缴费申请</w:t>
            </w:r>
            <w:r w:rsidRPr="00D856C9">
              <w:rPr>
                <w:rFonts w:hint="eastAsia"/>
                <w:lang w:eastAsia="zh-CN"/>
              </w:rPr>
              <w:t>的建议。</w:t>
            </w:r>
          </w:p>
          <w:p w14:paraId="4C4AA217" w14:textId="77777777" w:rsidR="008F412C" w:rsidRPr="00576195" w:rsidRDefault="008F412C" w:rsidP="008F412C">
            <w:pPr>
              <w:pStyle w:val="Subtitle"/>
              <w:framePr w:hSpace="0" w:wrap="auto" w:hAnchor="text" w:xAlign="left" w:yAlign="inline"/>
              <w:spacing w:before="160"/>
              <w:rPr>
                <w:rFonts w:eastAsia="SimSun" w:cs="Calibri"/>
                <w:b/>
                <w:bCs/>
                <w:sz w:val="26"/>
                <w:szCs w:val="26"/>
                <w:lang w:eastAsia="zh-CN"/>
              </w:rPr>
            </w:pPr>
            <w:r w:rsidRPr="00576195">
              <w:rPr>
                <w:rFonts w:eastAsia="SimSun" w:cs="Calibri"/>
                <w:b/>
                <w:bCs/>
                <w:sz w:val="26"/>
                <w:szCs w:val="26"/>
                <w:lang w:eastAsia="zh-CN"/>
              </w:rPr>
              <w:t>《战略规划》相关链接</w:t>
            </w:r>
          </w:p>
          <w:p w14:paraId="66392225" w14:textId="7801B73A" w:rsidR="008F412C" w:rsidRPr="007F30F2" w:rsidRDefault="007C5204" w:rsidP="008F412C">
            <w:pPr>
              <w:ind w:firstLineChars="200" w:firstLine="480"/>
              <w:rPr>
                <w:rFonts w:cs="Calibri"/>
                <w:szCs w:val="24"/>
                <w:lang w:eastAsia="zh-CN"/>
              </w:rPr>
            </w:pPr>
            <w:bookmarkStart w:id="8" w:name="lt_pId017"/>
            <w:r>
              <w:rPr>
                <w:rFonts w:cs="Calibri" w:hint="eastAsia"/>
                <w:szCs w:val="24"/>
                <w:lang w:eastAsia="zh-CN"/>
              </w:rPr>
              <w:t>成员驱动。</w:t>
            </w:r>
            <w:bookmarkEnd w:id="8"/>
          </w:p>
          <w:p w14:paraId="38DFE4D2" w14:textId="77777777" w:rsidR="008F412C" w:rsidRPr="00576195" w:rsidRDefault="008F412C" w:rsidP="008F412C">
            <w:pPr>
              <w:pStyle w:val="Subtitle"/>
              <w:framePr w:hSpace="0" w:wrap="auto" w:hAnchor="text" w:xAlign="left" w:yAlign="inline"/>
              <w:rPr>
                <w:rFonts w:eastAsia="SimSun" w:cs="Calibri"/>
                <w:b/>
                <w:bCs/>
                <w:sz w:val="26"/>
                <w:szCs w:val="26"/>
                <w:lang w:eastAsia="zh-CN"/>
              </w:rPr>
            </w:pPr>
            <w:r w:rsidRPr="00576195">
              <w:rPr>
                <w:rFonts w:eastAsia="SimSun" w:cs="Calibri"/>
                <w:b/>
                <w:bCs/>
                <w:sz w:val="26"/>
                <w:szCs w:val="26"/>
                <w:lang w:eastAsia="zh-CN"/>
              </w:rPr>
              <w:t>财务影响</w:t>
            </w:r>
          </w:p>
          <w:p w14:paraId="005A1E0A" w14:textId="00BF2468" w:rsidR="008F412C" w:rsidRPr="00576195" w:rsidRDefault="007C5204" w:rsidP="008F412C">
            <w:pPr>
              <w:spacing w:before="160"/>
              <w:ind w:firstLineChars="200" w:firstLine="480"/>
              <w:rPr>
                <w:rFonts w:cs="Calibri"/>
                <w:szCs w:val="24"/>
                <w:lang w:eastAsia="zh-CN"/>
              </w:rPr>
            </w:pPr>
            <w:r w:rsidRPr="007C5204">
              <w:rPr>
                <w:rFonts w:hint="eastAsia"/>
                <w:szCs w:val="24"/>
                <w:lang w:eastAsia="zh-CN"/>
              </w:rPr>
              <w:t>秘书处建议批准的实体会费总额为</w:t>
            </w:r>
            <w:r w:rsidRPr="002A7050">
              <w:rPr>
                <w:szCs w:val="24"/>
                <w:lang w:eastAsia="zh-CN"/>
              </w:rPr>
              <w:t>174</w:t>
            </w:r>
            <w:r>
              <w:rPr>
                <w:szCs w:val="24"/>
                <w:lang w:eastAsia="zh-CN"/>
              </w:rPr>
              <w:t> </w:t>
            </w:r>
            <w:r w:rsidRPr="002A7050">
              <w:rPr>
                <w:szCs w:val="24"/>
                <w:lang w:eastAsia="zh-CN"/>
              </w:rPr>
              <w:t>900</w:t>
            </w:r>
            <w:r w:rsidRPr="007C5204">
              <w:rPr>
                <w:rFonts w:hint="eastAsia"/>
                <w:szCs w:val="24"/>
                <w:lang w:eastAsia="zh-CN"/>
              </w:rPr>
              <w:t>瑞郎。</w:t>
            </w:r>
          </w:p>
          <w:p w14:paraId="1C3F1FA1" w14:textId="77777777" w:rsidR="008F412C" w:rsidRPr="00576195" w:rsidRDefault="008F412C" w:rsidP="008F412C">
            <w:pPr>
              <w:pStyle w:val="Subtitle"/>
              <w:framePr w:hSpace="0" w:wrap="auto" w:hAnchor="text" w:xAlign="left" w:yAlign="inline"/>
              <w:rPr>
                <w:rFonts w:eastAsia="SimSun" w:cs="Calibri"/>
                <w:b/>
                <w:bCs/>
                <w:sz w:val="26"/>
                <w:szCs w:val="26"/>
                <w:lang w:eastAsia="zh-CN"/>
              </w:rPr>
            </w:pPr>
            <w:r w:rsidRPr="00576195">
              <w:rPr>
                <w:rFonts w:eastAsia="SimSun" w:cs="Calibri"/>
                <w:b/>
                <w:bCs/>
                <w:sz w:val="26"/>
                <w:szCs w:val="26"/>
                <w:lang w:eastAsia="zh-CN"/>
              </w:rPr>
              <w:t>__________________</w:t>
            </w:r>
          </w:p>
          <w:p w14:paraId="3CAD2D98" w14:textId="77777777" w:rsidR="008F412C" w:rsidRPr="00576195" w:rsidRDefault="008F412C" w:rsidP="008F412C">
            <w:pPr>
              <w:pStyle w:val="Subtitle"/>
              <w:framePr w:hSpace="0" w:wrap="auto" w:hAnchor="text" w:xAlign="left" w:yAlign="inline"/>
              <w:rPr>
                <w:rFonts w:eastAsia="SimSun" w:cs="Calibri"/>
                <w:b/>
                <w:bCs/>
                <w:sz w:val="26"/>
                <w:szCs w:val="26"/>
                <w:lang w:eastAsia="zh-CN"/>
              </w:rPr>
            </w:pPr>
            <w:r w:rsidRPr="00576195">
              <w:rPr>
                <w:rFonts w:eastAsia="SimSun" w:cs="Calibri" w:hint="eastAsia"/>
                <w:b/>
                <w:bCs/>
                <w:sz w:val="26"/>
                <w:szCs w:val="26"/>
                <w:lang w:eastAsia="zh-CN"/>
              </w:rPr>
              <w:t>参考文件</w:t>
            </w:r>
          </w:p>
          <w:p w14:paraId="10B87927" w14:textId="0DB6CDD3" w:rsidR="00E24D59" w:rsidRPr="007C5204" w:rsidRDefault="00E660F6" w:rsidP="008F412C">
            <w:pPr>
              <w:pStyle w:val="Subtitle"/>
              <w:framePr w:hSpace="0" w:wrap="auto" w:hAnchor="text" w:xAlign="left" w:yAlign="inline"/>
              <w:rPr>
                <w:rFonts w:eastAsia="STKaiti" w:cs="Calibri"/>
                <w:lang w:eastAsia="zh-CN"/>
              </w:rPr>
            </w:pPr>
            <w:hyperlink r:id="rId8" w:history="1">
              <w:r w:rsidR="007F30F2" w:rsidRPr="007C5204">
                <w:rPr>
                  <w:rStyle w:val="Hyperlink"/>
                  <w:rFonts w:eastAsia="STKaiti" w:cs="SimSun"/>
                  <w:sz w:val="24"/>
                  <w:szCs w:val="24"/>
                  <w:lang w:eastAsia="zh-CN"/>
                </w:rPr>
                <w:t>C2000/28</w:t>
              </w:r>
              <w:r w:rsidR="00AD20C0">
                <w:rPr>
                  <w:rStyle w:val="Hyperlink"/>
                  <w:rFonts w:eastAsia="STKaiti" w:cs="SimSun" w:hint="eastAsia"/>
                  <w:sz w:val="24"/>
                  <w:szCs w:val="24"/>
                  <w:lang w:eastAsia="zh-CN"/>
                </w:rPr>
                <w:t>(</w:t>
              </w:r>
              <w:r w:rsidR="007F30F2" w:rsidRPr="007C5204">
                <w:rPr>
                  <w:rStyle w:val="Hyperlink"/>
                  <w:rFonts w:eastAsia="STKaiti" w:cs="SimSun"/>
                  <w:sz w:val="24"/>
                  <w:szCs w:val="24"/>
                  <w:lang w:eastAsia="zh-CN"/>
                </w:rPr>
                <w:t>Rev.1</w:t>
              </w:r>
            </w:hyperlink>
            <w:r w:rsidR="00AD20C0">
              <w:rPr>
                <w:rStyle w:val="Hyperlink"/>
                <w:rFonts w:eastAsia="STKaiti" w:cs="SimSun"/>
                <w:sz w:val="24"/>
                <w:szCs w:val="24"/>
                <w:lang w:eastAsia="zh-CN"/>
              </w:rPr>
              <w:t>)</w:t>
            </w:r>
            <w:r w:rsidR="007C5204" w:rsidRPr="007C5204">
              <w:rPr>
                <w:rFonts w:eastAsia="STKaiti" w:cs="SimSun"/>
                <w:sz w:val="24"/>
                <w:szCs w:val="24"/>
                <w:lang w:eastAsia="zh-CN"/>
              </w:rPr>
              <w:t>、</w:t>
            </w:r>
            <w:hyperlink r:id="rId9" w:history="1">
              <w:r w:rsidR="007C5204" w:rsidRPr="00912047">
                <w:rPr>
                  <w:rStyle w:val="Hyperlink"/>
                  <w:rFonts w:eastAsia="STKaiti" w:cs="SimSun" w:hint="eastAsia"/>
                  <w:sz w:val="24"/>
                  <w:szCs w:val="24"/>
                  <w:lang w:eastAsia="zh-CN"/>
                </w:rPr>
                <w:t>理事会第</w:t>
              </w:r>
              <w:r w:rsidR="007F30F2" w:rsidRPr="00912047">
                <w:rPr>
                  <w:rStyle w:val="Hyperlink"/>
                  <w:rFonts w:eastAsia="STKaiti" w:cs="SimSun"/>
                  <w:sz w:val="24"/>
                  <w:szCs w:val="24"/>
                  <w:lang w:eastAsia="zh-CN"/>
                </w:rPr>
                <w:t>925</w:t>
              </w:r>
              <w:r w:rsidR="007C5204" w:rsidRPr="00912047">
                <w:rPr>
                  <w:rStyle w:val="Hyperlink"/>
                  <w:rFonts w:eastAsia="STKaiti" w:cs="SimSun" w:hint="eastAsia"/>
                  <w:sz w:val="24"/>
                  <w:szCs w:val="24"/>
                  <w:lang w:eastAsia="zh-CN"/>
                </w:rPr>
                <w:t>号决议</w:t>
              </w:r>
            </w:hyperlink>
            <w:r w:rsidR="007C5204" w:rsidRPr="007C5204">
              <w:rPr>
                <w:rFonts w:eastAsia="STKaiti" w:cs="SimSun"/>
                <w:sz w:val="24"/>
                <w:szCs w:val="24"/>
                <w:lang w:eastAsia="zh-CN"/>
              </w:rPr>
              <w:t>、</w:t>
            </w:r>
            <w:hyperlink r:id="rId10" w:history="1">
              <w:r w:rsidR="007C5204" w:rsidRPr="007C5204">
                <w:rPr>
                  <w:rStyle w:val="Hyperlink"/>
                  <w:rFonts w:eastAsia="STKaiti" w:cs="SimSun" w:hint="eastAsia"/>
                  <w:sz w:val="24"/>
                  <w:szCs w:val="24"/>
                  <w:lang w:eastAsia="zh-CN"/>
                </w:rPr>
                <w:t>理事会免予缴费标准</w:t>
              </w:r>
              <w:r w:rsidR="007C5204">
                <w:rPr>
                  <w:rStyle w:val="Hyperlink"/>
                  <w:rFonts w:eastAsia="STKaiti" w:cs="SimSun"/>
                  <w:sz w:val="24"/>
                  <w:szCs w:val="24"/>
                  <w:lang w:eastAsia="zh-CN"/>
                </w:rPr>
                <w:t>（</w:t>
              </w:r>
              <w:r w:rsidR="007F30F2" w:rsidRPr="007C5204">
                <w:rPr>
                  <w:rStyle w:val="Hyperlink"/>
                  <w:rFonts w:eastAsia="STKaiti" w:cs="SimSun"/>
                  <w:sz w:val="24"/>
                  <w:szCs w:val="24"/>
                  <w:lang w:eastAsia="zh-CN"/>
                </w:rPr>
                <w:t>2017</w:t>
              </w:r>
              <w:r w:rsidR="007C5204" w:rsidRPr="007C5204">
                <w:rPr>
                  <w:rStyle w:val="Hyperlink"/>
                  <w:rFonts w:eastAsia="STKaiti" w:cs="SimSun" w:hint="eastAsia"/>
                  <w:sz w:val="24"/>
                  <w:szCs w:val="24"/>
                  <w:lang w:eastAsia="zh-CN"/>
                </w:rPr>
                <w:t>年，修订版</w:t>
              </w:r>
              <w:r w:rsidR="007C5204">
                <w:rPr>
                  <w:rStyle w:val="Hyperlink"/>
                  <w:rFonts w:eastAsia="STKaiti" w:cs="SimSun"/>
                  <w:sz w:val="24"/>
                  <w:szCs w:val="24"/>
                  <w:lang w:eastAsia="zh-CN"/>
                </w:rPr>
                <w:t>）</w:t>
              </w:r>
            </w:hyperlink>
          </w:p>
        </w:tc>
      </w:tr>
      <w:bookmarkEnd w:id="2"/>
      <w:bookmarkEnd w:id="7"/>
    </w:tbl>
    <w:p w14:paraId="02F3B541" w14:textId="77777777" w:rsidR="004C733F" w:rsidRPr="0042407C" w:rsidRDefault="00E24D59" w:rsidP="00912047">
      <w:pPr>
        <w:pStyle w:val="Heading1"/>
        <w:rPr>
          <w:lang w:eastAsia="zh-CN"/>
        </w:rPr>
      </w:pPr>
      <w:r>
        <w:rPr>
          <w:lang w:eastAsia="zh-CN"/>
        </w:rPr>
        <w:br w:type="page"/>
      </w:r>
      <w:r w:rsidR="004C733F" w:rsidRPr="0042407C">
        <w:rPr>
          <w:lang w:eastAsia="zh-CN"/>
        </w:rPr>
        <w:lastRenderedPageBreak/>
        <w:t>1</w:t>
      </w:r>
      <w:r w:rsidR="004C733F" w:rsidRPr="0042407C">
        <w:rPr>
          <w:lang w:eastAsia="zh-CN"/>
        </w:rPr>
        <w:tab/>
      </w:r>
      <w:r w:rsidR="004C733F">
        <w:rPr>
          <w:rFonts w:ascii="SimSun" w:hAnsi="SimSun" w:cs="SimSun" w:hint="eastAsia"/>
          <w:lang w:eastAsia="zh-CN"/>
        </w:rPr>
        <w:t>背景</w:t>
      </w:r>
    </w:p>
    <w:p w14:paraId="5A7D3862" w14:textId="6231C6A4" w:rsidR="004C733F" w:rsidRPr="007057DB" w:rsidRDefault="004C733F" w:rsidP="004C733F">
      <w:pPr>
        <w:overflowPunct/>
        <w:autoSpaceDE/>
        <w:autoSpaceDN/>
        <w:adjustRightInd/>
        <w:spacing w:after="120"/>
        <w:jc w:val="both"/>
        <w:textAlignment w:val="auto"/>
        <w:rPr>
          <w:rFonts w:eastAsia="Calibri" w:cs="Calibri"/>
          <w:lang w:eastAsia="zh-CN"/>
        </w:rPr>
      </w:pPr>
      <w:r w:rsidRPr="75B8D686">
        <w:rPr>
          <w:rFonts w:eastAsia="Calibri" w:cs="Calibri"/>
          <w:lang w:eastAsia="zh-CN"/>
        </w:rPr>
        <w:t>1.1</w:t>
      </w:r>
      <w:r w:rsidRPr="007057DB">
        <w:rPr>
          <w:lang w:eastAsia="zh-CN"/>
        </w:rPr>
        <w:tab/>
      </w:r>
      <w:r w:rsidRPr="00553FE4">
        <w:rPr>
          <w:rFonts w:ascii="SimSun" w:hAnsi="SimSun" w:cs="SimSun" w:hint="eastAsia"/>
          <w:lang w:eastAsia="zh-CN"/>
        </w:rPr>
        <w:t>国际电联每年都会收到国际性组织</w:t>
      </w:r>
      <w:r w:rsidRPr="00D856C9">
        <w:rPr>
          <w:rFonts w:ascii="SimSun" w:hAnsi="SimSun" w:cs="SimSun"/>
          <w:lang w:eastAsia="zh-CN"/>
        </w:rPr>
        <w:t>提出</w:t>
      </w:r>
      <w:r>
        <w:rPr>
          <w:rFonts w:ascii="SimSun" w:hAnsi="SimSun" w:cs="SimSun" w:hint="eastAsia"/>
          <w:lang w:eastAsia="zh-CN"/>
        </w:rPr>
        <w:t>的申请，请求</w:t>
      </w:r>
      <w:r w:rsidRPr="00553FE4">
        <w:rPr>
          <w:rFonts w:ascii="SimSun" w:hAnsi="SimSun" w:cs="SimSun" w:hint="eastAsia"/>
          <w:lang w:eastAsia="zh-CN"/>
        </w:rPr>
        <w:t>根据对等原则</w:t>
      </w:r>
      <w:r w:rsidRPr="00D856C9">
        <w:rPr>
          <w:rFonts w:ascii="SimSun" w:hAnsi="SimSun" w:cs="SimSun"/>
          <w:lang w:eastAsia="zh-CN"/>
        </w:rPr>
        <w:t>免予缴纳会费</w:t>
      </w:r>
      <w:r>
        <w:rPr>
          <w:rFonts w:ascii="SimSun" w:hAnsi="SimSun" w:cs="SimSun" w:hint="eastAsia"/>
          <w:lang w:eastAsia="zh-CN"/>
        </w:rPr>
        <w:t>和其他财务缴费。</w:t>
      </w:r>
      <w:r w:rsidRPr="00553FE4">
        <w:rPr>
          <w:rFonts w:ascii="SimSun" w:hAnsi="SimSun" w:cs="SimSun" w:hint="eastAsia"/>
          <w:lang w:eastAsia="zh-CN"/>
        </w:rPr>
        <w:t>这些新的</w:t>
      </w:r>
      <w:r>
        <w:rPr>
          <w:rFonts w:ascii="SimSun" w:hAnsi="SimSun" w:cs="SimSun" w:hint="eastAsia"/>
          <w:lang w:eastAsia="zh-CN"/>
        </w:rPr>
        <w:t>申请</w:t>
      </w:r>
      <w:r w:rsidRPr="00553FE4">
        <w:rPr>
          <w:rFonts w:ascii="SimSun" w:hAnsi="SimSun" w:cs="SimSun" w:hint="eastAsia"/>
          <w:lang w:eastAsia="zh-CN"/>
        </w:rPr>
        <w:t>由秘书处根据理事会制定的标准</w:t>
      </w:r>
      <w:r>
        <w:rPr>
          <w:rFonts w:ascii="SimSun" w:hAnsi="SimSun" w:cs="SimSun" w:hint="eastAsia"/>
          <w:lang w:eastAsia="zh-CN"/>
        </w:rPr>
        <w:t>予以</w:t>
      </w:r>
      <w:r w:rsidRPr="00553FE4">
        <w:rPr>
          <w:rFonts w:ascii="SimSun" w:hAnsi="SimSun" w:cs="SimSun" w:hint="eastAsia"/>
          <w:lang w:eastAsia="zh-CN"/>
        </w:rPr>
        <w:t>审查。</w:t>
      </w:r>
      <w:r w:rsidRPr="00D856C9">
        <w:rPr>
          <w:rFonts w:ascii="SimSun" w:hAnsi="SimSun" w:cs="SimSun" w:hint="eastAsia"/>
          <w:lang w:eastAsia="zh-CN"/>
        </w:rPr>
        <w:t>这些</w:t>
      </w:r>
      <w:r>
        <w:rPr>
          <w:rFonts w:ascii="SimSun" w:hAnsi="SimSun" w:cs="SimSun" w:hint="eastAsia"/>
          <w:lang w:eastAsia="zh-CN"/>
        </w:rPr>
        <w:t>申请是</w:t>
      </w:r>
      <w:r w:rsidRPr="00D856C9">
        <w:rPr>
          <w:rFonts w:ascii="SimSun" w:hAnsi="SimSun" w:cs="SimSun" w:hint="eastAsia"/>
          <w:lang w:eastAsia="zh-CN"/>
        </w:rPr>
        <w:t>根据理事会</w:t>
      </w:r>
      <w:r w:rsidRPr="001C1B21">
        <w:rPr>
          <w:rFonts w:eastAsia="Calibri" w:cs="Calibri"/>
          <w:lang w:eastAsia="zh-CN"/>
        </w:rPr>
        <w:t>2000</w:t>
      </w:r>
      <w:r w:rsidRPr="00D856C9">
        <w:rPr>
          <w:rFonts w:ascii="SimSun" w:hAnsi="SimSun" w:cs="SimSun" w:hint="eastAsia"/>
          <w:lang w:eastAsia="zh-CN"/>
        </w:rPr>
        <w:t>年会议（</w:t>
      </w:r>
      <w:r w:rsidR="007C5204">
        <w:rPr>
          <w:rFonts w:ascii="SimSun" w:hAnsi="SimSun" w:cs="SimSun" w:hint="eastAsia"/>
          <w:lang w:eastAsia="zh-CN"/>
        </w:rPr>
        <w:t>见</w:t>
      </w:r>
      <w:hyperlink r:id="rId11" w:history="1">
        <w:r w:rsidRPr="001C1B21">
          <w:rPr>
            <w:rStyle w:val="Hyperlink"/>
            <w:rFonts w:eastAsia="Calibri" w:cs="Calibri"/>
            <w:lang w:eastAsia="zh-CN"/>
          </w:rPr>
          <w:t>C2000/28(Rev.1)</w:t>
        </w:r>
      </w:hyperlink>
      <w:r>
        <w:rPr>
          <w:rFonts w:ascii="SimSun" w:hAnsi="SimSun" w:cs="SimSun" w:hint="eastAsia"/>
          <w:lang w:eastAsia="zh-CN"/>
        </w:rPr>
        <w:t>号文件</w:t>
      </w:r>
      <w:r w:rsidRPr="00D856C9">
        <w:rPr>
          <w:rFonts w:ascii="SimSun" w:hAnsi="SimSun" w:cs="SimSun" w:hint="eastAsia"/>
          <w:lang w:eastAsia="zh-CN"/>
        </w:rPr>
        <w:t>）确定的程序并按照《公约》第</w:t>
      </w:r>
      <w:r>
        <w:rPr>
          <w:rFonts w:eastAsia="Calibri" w:cs="Calibri"/>
          <w:lang w:eastAsia="zh-CN"/>
        </w:rPr>
        <w:t>476</w:t>
      </w:r>
      <w:r>
        <w:rPr>
          <w:rFonts w:ascii="SimSun" w:hAnsi="SimSun" w:cs="SimSun" w:hint="eastAsia"/>
          <w:lang w:eastAsia="zh-CN"/>
        </w:rPr>
        <w:t>款</w:t>
      </w:r>
      <w:r w:rsidRPr="00D856C9">
        <w:rPr>
          <w:rFonts w:ascii="SimSun" w:hAnsi="SimSun" w:cs="SimSun" w:hint="eastAsia"/>
          <w:lang w:eastAsia="zh-CN"/>
        </w:rPr>
        <w:t>和</w:t>
      </w:r>
      <w:hyperlink r:id="rId12" w:history="1">
        <w:r w:rsidRPr="00912047">
          <w:rPr>
            <w:rStyle w:val="Hyperlink"/>
            <w:rFonts w:cs="Calibri" w:hint="eastAsia"/>
            <w:lang w:eastAsia="zh-CN"/>
          </w:rPr>
          <w:t>理事会第</w:t>
        </w:r>
        <w:r w:rsidRPr="00912047">
          <w:rPr>
            <w:rStyle w:val="Hyperlink"/>
            <w:rFonts w:cs="Calibri" w:hint="eastAsia"/>
            <w:lang w:eastAsia="zh-CN"/>
          </w:rPr>
          <w:t>925</w:t>
        </w:r>
        <w:r w:rsidRPr="00912047">
          <w:rPr>
            <w:rStyle w:val="Hyperlink"/>
            <w:rFonts w:cs="Calibri" w:hint="eastAsia"/>
            <w:lang w:eastAsia="zh-CN"/>
          </w:rPr>
          <w:t>号决议</w:t>
        </w:r>
        <w:r w:rsidR="007070F8" w:rsidRPr="00912047">
          <w:rPr>
            <w:rStyle w:val="Hyperlink"/>
            <w:rFonts w:cs="Calibri" w:hint="eastAsia"/>
            <w:lang w:eastAsia="zh-CN"/>
          </w:rPr>
          <w:t>（</w:t>
        </w:r>
        <w:r w:rsidR="007070F8" w:rsidRPr="00912047">
          <w:rPr>
            <w:rStyle w:val="Hyperlink"/>
            <w:rFonts w:cs="Calibri" w:hint="eastAsia"/>
            <w:lang w:eastAsia="zh-CN"/>
          </w:rPr>
          <w:t>1</w:t>
        </w:r>
        <w:r w:rsidR="007070F8" w:rsidRPr="00912047">
          <w:rPr>
            <w:rStyle w:val="Hyperlink"/>
            <w:rFonts w:cs="Calibri"/>
            <w:lang w:eastAsia="zh-CN"/>
          </w:rPr>
          <w:t>985</w:t>
        </w:r>
        <w:r w:rsidR="007070F8" w:rsidRPr="00912047">
          <w:rPr>
            <w:rStyle w:val="Hyperlink"/>
            <w:rFonts w:cs="Calibri" w:hint="eastAsia"/>
            <w:lang w:eastAsia="zh-CN"/>
          </w:rPr>
          <w:t>年，</w:t>
        </w:r>
        <w:r w:rsidR="007070F8" w:rsidRPr="00912047">
          <w:rPr>
            <w:rStyle w:val="Hyperlink"/>
            <w:rFonts w:cs="Calibri" w:hint="eastAsia"/>
            <w:lang w:eastAsia="zh-CN"/>
          </w:rPr>
          <w:t>C</w:t>
        </w:r>
        <w:r w:rsidR="007070F8" w:rsidRPr="00912047">
          <w:rPr>
            <w:rStyle w:val="Hyperlink"/>
            <w:rFonts w:cs="Calibri"/>
            <w:lang w:eastAsia="zh-CN"/>
          </w:rPr>
          <w:t>19</w:t>
        </w:r>
        <w:r w:rsidR="007070F8" w:rsidRPr="00912047">
          <w:rPr>
            <w:rStyle w:val="Hyperlink"/>
            <w:rFonts w:cs="Calibri" w:hint="eastAsia"/>
            <w:lang w:eastAsia="zh-CN"/>
          </w:rPr>
          <w:t>最后一次修正）</w:t>
        </w:r>
      </w:hyperlink>
      <w:r w:rsidR="007070F8" w:rsidRPr="007070F8">
        <w:rPr>
          <w:rFonts w:cs="Calibri" w:hint="eastAsia"/>
          <w:lang w:eastAsia="zh-CN"/>
        </w:rPr>
        <w:t>以及</w:t>
      </w:r>
      <w:r w:rsidR="007070F8">
        <w:rPr>
          <w:rFonts w:cs="Calibri" w:hint="eastAsia"/>
          <w:lang w:eastAsia="zh-CN"/>
        </w:rPr>
        <w:t>由</w:t>
      </w:r>
      <w:r w:rsidR="007070F8" w:rsidRPr="007070F8">
        <w:rPr>
          <w:rFonts w:cs="Calibri" w:hint="eastAsia"/>
          <w:lang w:eastAsia="zh-CN"/>
        </w:rPr>
        <w:t>理事会制定并于</w:t>
      </w:r>
      <w:r w:rsidR="007070F8" w:rsidRPr="007070F8">
        <w:rPr>
          <w:rFonts w:cs="Calibri" w:hint="eastAsia"/>
          <w:lang w:eastAsia="zh-CN"/>
        </w:rPr>
        <w:t>2</w:t>
      </w:r>
      <w:r w:rsidR="007070F8" w:rsidRPr="007070F8">
        <w:rPr>
          <w:rFonts w:cs="Calibri"/>
          <w:lang w:eastAsia="zh-CN"/>
        </w:rPr>
        <w:t>017</w:t>
      </w:r>
      <w:r w:rsidR="007070F8" w:rsidRPr="007070F8">
        <w:rPr>
          <w:rFonts w:cs="Calibri" w:hint="eastAsia"/>
          <w:lang w:eastAsia="zh-CN"/>
        </w:rPr>
        <w:t>年修订的标准（见下文第</w:t>
      </w:r>
      <w:r w:rsidR="007070F8" w:rsidRPr="007070F8">
        <w:rPr>
          <w:rFonts w:cs="Calibri" w:hint="eastAsia"/>
          <w:lang w:eastAsia="zh-CN"/>
        </w:rPr>
        <w:t>1.</w:t>
      </w:r>
      <w:r w:rsidR="007070F8" w:rsidRPr="007070F8">
        <w:rPr>
          <w:rFonts w:cs="Calibri"/>
          <w:lang w:eastAsia="zh-CN"/>
        </w:rPr>
        <w:t>5</w:t>
      </w:r>
      <w:r w:rsidR="005A782D">
        <w:rPr>
          <w:rFonts w:cs="Calibri" w:hint="eastAsia"/>
          <w:lang w:eastAsia="zh-CN"/>
        </w:rPr>
        <w:t>段</w:t>
      </w:r>
      <w:r w:rsidR="007070F8">
        <w:rPr>
          <w:rFonts w:cs="Calibri" w:hint="eastAsia"/>
          <w:lang w:eastAsia="zh-CN"/>
        </w:rPr>
        <w:t>）</w:t>
      </w:r>
      <w:r w:rsidR="007070F8" w:rsidRPr="007070F8">
        <w:rPr>
          <w:rFonts w:cs="Calibri" w:hint="eastAsia"/>
          <w:lang w:eastAsia="zh-CN"/>
        </w:rPr>
        <w:t>审</w:t>
      </w:r>
      <w:r w:rsidRPr="007070F8">
        <w:rPr>
          <w:rFonts w:cs="Calibri" w:hint="eastAsia"/>
          <w:lang w:eastAsia="zh-CN"/>
        </w:rPr>
        <w:t>议的。</w:t>
      </w:r>
    </w:p>
    <w:p w14:paraId="10E8E32B" w14:textId="77777777" w:rsidR="004C733F" w:rsidRPr="00AD20C0" w:rsidRDefault="004C733F" w:rsidP="004C733F">
      <w:pPr>
        <w:spacing w:after="120"/>
        <w:jc w:val="both"/>
        <w:rPr>
          <w:rFonts w:eastAsia="Calibri" w:cs="Calibri"/>
          <w:b/>
          <w:szCs w:val="22"/>
          <w:lang w:eastAsia="zh-CN"/>
        </w:rPr>
      </w:pPr>
      <w:r w:rsidRPr="75B8D686">
        <w:rPr>
          <w:rFonts w:eastAsia="Calibri" w:cs="Calibri"/>
          <w:lang w:eastAsia="zh-CN"/>
        </w:rPr>
        <w:t>1.2</w:t>
      </w:r>
      <w:r w:rsidRPr="007057DB">
        <w:rPr>
          <w:lang w:eastAsia="zh-CN"/>
        </w:rPr>
        <w:tab/>
      </w:r>
      <w:r>
        <w:rPr>
          <w:rFonts w:hint="eastAsia"/>
          <w:lang w:eastAsia="zh-CN"/>
        </w:rPr>
        <w:t>继对</w:t>
      </w:r>
      <w:r w:rsidRPr="003916AE">
        <w:rPr>
          <w:rFonts w:hint="eastAsia"/>
          <w:lang w:eastAsia="zh-CN"/>
        </w:rPr>
        <w:t>相关部门</w:t>
      </w:r>
      <w:r>
        <w:rPr>
          <w:rFonts w:hint="eastAsia"/>
          <w:lang w:eastAsia="zh-CN"/>
        </w:rPr>
        <w:t>的情况做出分析以及</w:t>
      </w:r>
      <w:r w:rsidRPr="003916AE">
        <w:rPr>
          <w:rFonts w:hint="eastAsia"/>
          <w:lang w:eastAsia="zh-CN"/>
        </w:rPr>
        <w:t>秘书长</w:t>
      </w:r>
      <w:r>
        <w:rPr>
          <w:rFonts w:hint="eastAsia"/>
          <w:lang w:eastAsia="zh-CN"/>
        </w:rPr>
        <w:t>提出</w:t>
      </w:r>
      <w:r w:rsidRPr="003916AE">
        <w:rPr>
          <w:rFonts w:hint="eastAsia"/>
          <w:lang w:eastAsia="zh-CN"/>
        </w:rPr>
        <w:t>建议后，</w:t>
      </w:r>
      <w:r>
        <w:rPr>
          <w:rFonts w:hint="eastAsia"/>
          <w:lang w:eastAsia="zh-CN"/>
        </w:rPr>
        <w:t>由理事会准予免缴会费。</w:t>
      </w:r>
      <w:r w:rsidRPr="00767603">
        <w:rPr>
          <w:rFonts w:hint="eastAsia"/>
          <w:lang w:eastAsia="zh-CN"/>
        </w:rPr>
        <w:t>如获得批准，这些实体根据《公约》第</w:t>
      </w:r>
      <w:r w:rsidRPr="00767603">
        <w:rPr>
          <w:lang w:eastAsia="zh-CN"/>
        </w:rPr>
        <w:t>231</w:t>
      </w:r>
      <w:r w:rsidRPr="00767603">
        <w:rPr>
          <w:rFonts w:hint="eastAsia"/>
          <w:lang w:eastAsia="zh-CN"/>
        </w:rPr>
        <w:t>款的规定成为部门成员或部门准成员。</w:t>
      </w:r>
    </w:p>
    <w:p w14:paraId="515FB1C0" w14:textId="0CC5A8E7" w:rsidR="004C733F" w:rsidRDefault="004C733F" w:rsidP="004C733F">
      <w:pPr>
        <w:spacing w:after="120"/>
        <w:jc w:val="both"/>
        <w:rPr>
          <w:rFonts w:eastAsia="Calibri" w:cs="Calibri"/>
          <w:lang w:eastAsia="zh-CN"/>
        </w:rPr>
      </w:pPr>
      <w:r w:rsidRPr="75B8D686">
        <w:rPr>
          <w:rFonts w:eastAsia="Calibri" w:cs="Calibri"/>
          <w:lang w:eastAsia="zh-CN"/>
        </w:rPr>
        <w:t>1.3</w:t>
      </w:r>
      <w:r>
        <w:rPr>
          <w:lang w:eastAsia="zh-CN"/>
        </w:rPr>
        <w:tab/>
      </w:r>
      <w:bookmarkStart w:id="9" w:name="lt_pId032"/>
      <w:r w:rsidRPr="00086B2B">
        <w:rPr>
          <w:rFonts w:hint="eastAsia"/>
          <w:lang w:eastAsia="zh-CN"/>
        </w:rPr>
        <w:t>目前，</w:t>
      </w:r>
      <w:r>
        <w:rPr>
          <w:rFonts w:hint="eastAsia"/>
          <w:lang w:eastAsia="zh-CN"/>
        </w:rPr>
        <w:t>免缴会费的</w:t>
      </w:r>
      <w:r w:rsidRPr="003916AE">
        <w:rPr>
          <w:rFonts w:hint="eastAsia"/>
          <w:lang w:eastAsia="zh-CN"/>
        </w:rPr>
        <w:t>国际</w:t>
      </w:r>
      <w:r>
        <w:rPr>
          <w:rFonts w:hint="eastAsia"/>
          <w:lang w:eastAsia="zh-CN"/>
        </w:rPr>
        <w:t>性</w:t>
      </w:r>
      <w:r w:rsidRPr="003916AE">
        <w:rPr>
          <w:rFonts w:hint="eastAsia"/>
          <w:lang w:eastAsia="zh-CN"/>
        </w:rPr>
        <w:t>组织有</w:t>
      </w:r>
      <w:r>
        <w:rPr>
          <w:lang w:eastAsia="zh-CN"/>
        </w:rPr>
        <w:t>132</w:t>
      </w:r>
      <w:r w:rsidRPr="003916AE">
        <w:rPr>
          <w:rFonts w:hint="eastAsia"/>
          <w:lang w:eastAsia="zh-CN"/>
        </w:rPr>
        <w:t>个</w:t>
      </w:r>
      <w:r>
        <w:rPr>
          <w:rFonts w:hint="eastAsia"/>
          <w:lang w:eastAsia="zh-CN"/>
        </w:rPr>
        <w:t>。完整名单可在</w:t>
      </w:r>
      <w:hyperlink r:id="rId13" w:history="1">
        <w:r w:rsidRPr="001A4943">
          <w:rPr>
            <w:rStyle w:val="Hyperlink"/>
            <w:rFonts w:hint="eastAsia"/>
            <w:lang w:eastAsia="zh-CN"/>
          </w:rPr>
          <w:t>此处</w:t>
        </w:r>
      </w:hyperlink>
      <w:r>
        <w:rPr>
          <w:rFonts w:hint="eastAsia"/>
          <w:lang w:eastAsia="zh-CN"/>
        </w:rPr>
        <w:t>获得。</w:t>
      </w:r>
      <w:bookmarkEnd w:id="9"/>
    </w:p>
    <w:p w14:paraId="5F32F761" w14:textId="4559ED1E" w:rsidR="004C733F" w:rsidRDefault="004C733F" w:rsidP="004C733F">
      <w:pPr>
        <w:spacing w:after="120"/>
        <w:jc w:val="both"/>
        <w:rPr>
          <w:rFonts w:eastAsia="Calibri" w:cs="Calibri"/>
          <w:lang w:eastAsia="zh-CN"/>
        </w:rPr>
      </w:pPr>
      <w:r>
        <w:rPr>
          <w:rFonts w:eastAsia="Calibri" w:cs="Calibri"/>
          <w:lang w:eastAsia="zh-CN"/>
        </w:rPr>
        <w:t>1.4</w:t>
      </w:r>
      <w:r w:rsidRPr="007057DB">
        <w:rPr>
          <w:lang w:eastAsia="zh-CN"/>
        </w:rPr>
        <w:tab/>
      </w:r>
      <w:r>
        <w:rPr>
          <w:rFonts w:hint="eastAsia"/>
          <w:lang w:eastAsia="zh-CN"/>
        </w:rPr>
        <w:t>全权全权代表的大会</w:t>
      </w:r>
      <w:r w:rsidR="007070F8">
        <w:rPr>
          <w:rFonts w:hint="eastAsia"/>
          <w:lang w:eastAsia="zh-CN"/>
        </w:rPr>
        <w:t>（</w:t>
      </w:r>
      <w:r w:rsidR="007070F8" w:rsidRPr="0050067E">
        <w:rPr>
          <w:lang w:eastAsia="zh-CN"/>
        </w:rPr>
        <w:t>2014</w:t>
      </w:r>
      <w:r w:rsidR="007070F8">
        <w:rPr>
          <w:rFonts w:hint="eastAsia"/>
          <w:lang w:eastAsia="zh-CN"/>
        </w:rPr>
        <w:t>年，釜山）</w:t>
      </w:r>
      <w:r>
        <w:rPr>
          <w:rFonts w:hint="eastAsia"/>
          <w:lang w:eastAsia="zh-CN"/>
        </w:rPr>
        <w:t>在第</w:t>
      </w:r>
      <w:r w:rsidRPr="0050067E">
        <w:rPr>
          <w:lang w:eastAsia="zh-CN"/>
        </w:rPr>
        <w:t>187</w:t>
      </w:r>
      <w:r>
        <w:rPr>
          <w:rFonts w:hint="eastAsia"/>
          <w:lang w:eastAsia="zh-CN"/>
        </w:rPr>
        <w:t>号决议</w:t>
      </w:r>
      <w:r w:rsidR="007070F8">
        <w:rPr>
          <w:rFonts w:hint="eastAsia"/>
          <w:lang w:eastAsia="zh-CN"/>
        </w:rPr>
        <w:t>（</w:t>
      </w:r>
      <w:r w:rsidR="007070F8" w:rsidRPr="0050067E">
        <w:rPr>
          <w:lang w:eastAsia="zh-CN"/>
        </w:rPr>
        <w:t>2014</w:t>
      </w:r>
      <w:r w:rsidR="007070F8">
        <w:rPr>
          <w:rFonts w:hint="eastAsia"/>
          <w:lang w:eastAsia="zh-CN"/>
        </w:rPr>
        <w:t>年，釜山）</w:t>
      </w:r>
      <w:r>
        <w:rPr>
          <w:rFonts w:hint="eastAsia"/>
          <w:lang w:eastAsia="zh-CN"/>
        </w:rPr>
        <w:t>中责成理事会</w:t>
      </w:r>
      <w:r w:rsidRPr="000A6531">
        <w:rPr>
          <w:rFonts w:hint="eastAsia"/>
          <w:lang w:eastAsia="zh-CN"/>
        </w:rPr>
        <w:t>“</w:t>
      </w:r>
      <w:r w:rsidRPr="00611C4F">
        <w:rPr>
          <w:rFonts w:hint="eastAsia"/>
          <w:lang w:eastAsia="zh-CN"/>
        </w:rPr>
        <w:t>审议免予实体缴纳成员会费的做法和标准</w:t>
      </w:r>
      <w:r w:rsidRPr="000A6531">
        <w:rPr>
          <w:rFonts w:hint="eastAsia"/>
          <w:lang w:eastAsia="zh-CN"/>
        </w:rPr>
        <w:t>，</w:t>
      </w:r>
      <w:r w:rsidRPr="00611C4F">
        <w:rPr>
          <w:rFonts w:hint="eastAsia"/>
          <w:lang w:eastAsia="zh-CN"/>
        </w:rPr>
        <w:t>并在必要时进行修订</w:t>
      </w:r>
      <w:r w:rsidRPr="000A6531">
        <w:rPr>
          <w:rFonts w:hint="eastAsia"/>
          <w:lang w:eastAsia="zh-CN"/>
        </w:rPr>
        <w:t>，</w:t>
      </w:r>
      <w:r w:rsidRPr="00611C4F">
        <w:rPr>
          <w:rFonts w:hint="eastAsia"/>
          <w:lang w:eastAsia="zh-CN"/>
        </w:rPr>
        <w:t>以收紧资格标准</w:t>
      </w:r>
      <w:r w:rsidRPr="000A6531">
        <w:rPr>
          <w:rFonts w:hint="eastAsia"/>
          <w:lang w:eastAsia="zh-CN"/>
        </w:rPr>
        <w:t>，</w:t>
      </w:r>
      <w:r w:rsidRPr="00611C4F">
        <w:rPr>
          <w:rFonts w:hint="eastAsia"/>
          <w:lang w:eastAsia="zh-CN"/>
        </w:rPr>
        <w:t>从而有助于更明确、更一致、更公平</w:t>
      </w:r>
      <w:r>
        <w:rPr>
          <w:rFonts w:hint="eastAsia"/>
          <w:lang w:eastAsia="zh-CN"/>
        </w:rPr>
        <w:t>地体现付费成员和非付费成员之间的区别</w:t>
      </w:r>
      <w:r w:rsidRPr="000A6531">
        <w:rPr>
          <w:rFonts w:hint="eastAsia"/>
          <w:lang w:eastAsia="zh-CN"/>
        </w:rPr>
        <w:t>，</w:t>
      </w:r>
      <w:r>
        <w:rPr>
          <w:rFonts w:hint="eastAsia"/>
          <w:lang w:eastAsia="zh-CN"/>
        </w:rPr>
        <w:t>并减少免缴会费实体的总数”。</w:t>
      </w:r>
    </w:p>
    <w:p w14:paraId="41491BE8" w14:textId="25EA6860" w:rsidR="004C733F" w:rsidRDefault="004C733F" w:rsidP="004C733F">
      <w:pPr>
        <w:spacing w:after="120"/>
        <w:jc w:val="both"/>
        <w:rPr>
          <w:rFonts w:eastAsia="Calibri" w:cs="Calibri"/>
          <w:lang w:eastAsia="zh-CN"/>
        </w:rPr>
      </w:pPr>
      <w:r w:rsidRPr="008374FA">
        <w:rPr>
          <w:rFonts w:eastAsia="Calibri" w:cs="Calibri"/>
          <w:lang w:eastAsia="zh-CN"/>
        </w:rPr>
        <w:t>1.5</w:t>
      </w:r>
      <w:r w:rsidRPr="008374FA">
        <w:rPr>
          <w:lang w:eastAsia="zh-CN"/>
        </w:rPr>
        <w:tab/>
      </w:r>
      <w:r w:rsidRPr="001A4943">
        <w:rPr>
          <w:rFonts w:ascii="SimSun" w:hAnsi="SimSun" w:cs="SimSun" w:hint="eastAsia"/>
          <w:lang w:eastAsia="zh-CN"/>
        </w:rPr>
        <w:t>理事会</w:t>
      </w:r>
      <w:r w:rsidRPr="001A4943">
        <w:rPr>
          <w:rFonts w:eastAsia="Calibri" w:cs="Calibri" w:hint="eastAsia"/>
          <w:lang w:eastAsia="zh-CN"/>
        </w:rPr>
        <w:t>2</w:t>
      </w:r>
      <w:r w:rsidRPr="001A4943">
        <w:rPr>
          <w:rFonts w:eastAsia="Calibri" w:cs="Calibri"/>
          <w:lang w:eastAsia="zh-CN"/>
        </w:rPr>
        <w:t>017</w:t>
      </w:r>
      <w:r w:rsidRPr="001A4943">
        <w:rPr>
          <w:rFonts w:ascii="SimSun" w:hAnsi="SimSun" w:cs="SimSun" w:hint="eastAsia"/>
          <w:lang w:eastAsia="zh-CN"/>
        </w:rPr>
        <w:t>年会议批准了</w:t>
      </w:r>
      <w:r>
        <w:rPr>
          <w:rFonts w:ascii="SimSun" w:hAnsi="SimSun" w:cs="SimSun" w:hint="eastAsia"/>
          <w:lang w:eastAsia="zh-CN"/>
        </w:rPr>
        <w:t>经</w:t>
      </w:r>
      <w:r w:rsidRPr="001A4943">
        <w:rPr>
          <w:rFonts w:ascii="SimSun" w:hAnsi="SimSun" w:cs="SimSun" w:hint="eastAsia"/>
          <w:lang w:eastAsia="zh-CN"/>
        </w:rPr>
        <w:t>修订的标准，可在</w:t>
      </w:r>
      <w:hyperlink r:id="rId14" w:history="1">
        <w:r w:rsidRPr="001A4943">
          <w:rPr>
            <w:rStyle w:val="Hyperlink"/>
            <w:rFonts w:ascii="SimSun" w:hAnsi="SimSun" w:cs="SimSun" w:hint="eastAsia"/>
            <w:lang w:eastAsia="zh-CN"/>
          </w:rPr>
          <w:t>此处</w:t>
        </w:r>
      </w:hyperlink>
      <w:r w:rsidRPr="001A4943">
        <w:rPr>
          <w:rFonts w:ascii="SimSun" w:hAnsi="SimSun" w:cs="SimSun" w:hint="eastAsia"/>
          <w:lang w:eastAsia="zh-CN"/>
        </w:rPr>
        <w:t>查阅。此后，理事会</w:t>
      </w:r>
      <w:r>
        <w:rPr>
          <w:rFonts w:ascii="SimSun" w:hAnsi="SimSun" w:cs="SimSun" w:hint="eastAsia"/>
          <w:lang w:eastAsia="zh-CN"/>
        </w:rPr>
        <w:t>每届会议</w:t>
      </w:r>
      <w:r w:rsidRPr="001A4943">
        <w:rPr>
          <w:rFonts w:ascii="SimSun" w:hAnsi="SimSun" w:cs="SimSun" w:hint="eastAsia"/>
          <w:lang w:eastAsia="zh-CN"/>
        </w:rPr>
        <w:t>都根据这些标准</w:t>
      </w:r>
      <w:r>
        <w:rPr>
          <w:rFonts w:ascii="SimSun" w:hAnsi="SimSun" w:cs="SimSun" w:hint="eastAsia"/>
          <w:lang w:eastAsia="zh-CN"/>
        </w:rPr>
        <w:t>对</w:t>
      </w:r>
      <w:r w:rsidRPr="001A4943">
        <w:rPr>
          <w:rFonts w:ascii="SimSun" w:hAnsi="SimSun" w:cs="SimSun" w:hint="eastAsia"/>
          <w:lang w:eastAsia="zh-CN"/>
        </w:rPr>
        <w:t>新的申请</w:t>
      </w:r>
      <w:r>
        <w:rPr>
          <w:rFonts w:ascii="SimSun" w:hAnsi="SimSun" w:cs="SimSun" w:hint="eastAsia"/>
          <w:lang w:eastAsia="zh-CN"/>
        </w:rPr>
        <w:t>进行审查</w:t>
      </w:r>
      <w:r w:rsidRPr="001A4943">
        <w:rPr>
          <w:rFonts w:ascii="SimSun" w:hAnsi="SimSun" w:cs="SimSun" w:hint="eastAsia"/>
          <w:lang w:eastAsia="zh-CN"/>
        </w:rPr>
        <w:t>。</w:t>
      </w:r>
    </w:p>
    <w:p w14:paraId="2CC05AB0" w14:textId="17370A56" w:rsidR="004C733F" w:rsidRPr="007070F8" w:rsidRDefault="004C733F" w:rsidP="004C733F">
      <w:pPr>
        <w:spacing w:after="120"/>
        <w:jc w:val="both"/>
        <w:rPr>
          <w:rFonts w:cs="Calibri"/>
          <w:szCs w:val="24"/>
          <w:lang w:eastAsia="zh-CN"/>
        </w:rPr>
      </w:pPr>
      <w:r>
        <w:rPr>
          <w:rFonts w:eastAsia="Calibri" w:cs="Calibri"/>
          <w:lang w:eastAsia="zh-CN"/>
        </w:rPr>
        <w:t>1.6</w:t>
      </w:r>
      <w:r>
        <w:rPr>
          <w:rFonts w:eastAsia="Calibri" w:cs="Calibri"/>
          <w:lang w:eastAsia="zh-CN"/>
        </w:rPr>
        <w:tab/>
      </w:r>
      <w:r w:rsidR="007070F8" w:rsidRPr="007070F8">
        <w:rPr>
          <w:rFonts w:cs="Calibri" w:hint="eastAsia"/>
          <w:lang w:eastAsia="zh-CN"/>
        </w:rPr>
        <w:t>本文件仅涉及自理事会上</w:t>
      </w:r>
      <w:r w:rsidR="00EB50AA">
        <w:rPr>
          <w:rFonts w:cs="Calibri" w:hint="eastAsia"/>
          <w:lang w:eastAsia="zh-CN"/>
        </w:rPr>
        <w:t>次</w:t>
      </w:r>
      <w:r w:rsidR="007070F8" w:rsidRPr="007070F8">
        <w:rPr>
          <w:rFonts w:cs="Calibri" w:hint="eastAsia"/>
          <w:lang w:eastAsia="zh-CN"/>
        </w:rPr>
        <w:t>会议以来新提出的</w:t>
      </w:r>
      <w:r w:rsidR="00EB50AA">
        <w:rPr>
          <w:rFonts w:hint="eastAsia"/>
          <w:lang w:eastAsia="zh-CN"/>
        </w:rPr>
        <w:t>免缴会费申请</w:t>
      </w:r>
      <w:r w:rsidR="007070F8" w:rsidRPr="007070F8">
        <w:rPr>
          <w:rFonts w:cs="Calibri" w:hint="eastAsia"/>
          <w:lang w:eastAsia="zh-CN"/>
        </w:rPr>
        <w:t>。秘书处审查了目前</w:t>
      </w:r>
      <w:r w:rsidR="00EB50AA">
        <w:rPr>
          <w:rFonts w:hint="eastAsia"/>
          <w:lang w:eastAsia="zh-CN"/>
        </w:rPr>
        <w:t>免缴会费</w:t>
      </w:r>
      <w:r w:rsidR="007070F8" w:rsidRPr="007070F8">
        <w:rPr>
          <w:rFonts w:cs="Calibri" w:hint="eastAsia"/>
          <w:lang w:eastAsia="zh-CN"/>
        </w:rPr>
        <w:t>实体的</w:t>
      </w:r>
      <w:r w:rsidR="00EB50AA">
        <w:rPr>
          <w:rFonts w:cs="Calibri" w:hint="eastAsia"/>
          <w:lang w:eastAsia="zh-CN"/>
        </w:rPr>
        <w:t>完整</w:t>
      </w:r>
      <w:r w:rsidR="007070F8" w:rsidRPr="007070F8">
        <w:rPr>
          <w:rFonts w:cs="Calibri" w:hint="eastAsia"/>
          <w:lang w:eastAsia="zh-CN"/>
        </w:rPr>
        <w:t>名单并提出建议，</w:t>
      </w:r>
      <w:r w:rsidR="00EB50AA">
        <w:rPr>
          <w:rFonts w:cs="Calibri" w:hint="eastAsia"/>
          <w:lang w:eastAsia="zh-CN"/>
        </w:rPr>
        <w:t>请</w:t>
      </w:r>
      <w:r w:rsidR="007070F8" w:rsidRPr="007070F8">
        <w:rPr>
          <w:rFonts w:cs="Calibri" w:hint="eastAsia"/>
          <w:lang w:eastAsia="zh-CN"/>
        </w:rPr>
        <w:t>理事会</w:t>
      </w:r>
      <w:r w:rsidR="007070F8" w:rsidRPr="007070F8">
        <w:rPr>
          <w:rFonts w:cs="Calibri" w:hint="eastAsia"/>
          <w:lang w:eastAsia="zh-CN"/>
        </w:rPr>
        <w:t>2022</w:t>
      </w:r>
      <w:r w:rsidR="007070F8" w:rsidRPr="007070F8">
        <w:rPr>
          <w:rFonts w:cs="Calibri" w:hint="eastAsia"/>
          <w:lang w:eastAsia="zh-CN"/>
        </w:rPr>
        <w:t>年会</w:t>
      </w:r>
      <w:r w:rsidR="00EB50AA">
        <w:rPr>
          <w:rFonts w:cs="Calibri" w:hint="eastAsia"/>
          <w:lang w:eastAsia="zh-CN"/>
        </w:rPr>
        <w:t>议</w:t>
      </w:r>
      <w:r w:rsidR="007070F8" w:rsidRPr="007070F8">
        <w:rPr>
          <w:rFonts w:cs="Calibri" w:hint="eastAsia"/>
          <w:lang w:eastAsia="zh-CN"/>
        </w:rPr>
        <w:t>审议。理事会将</w:t>
      </w:r>
      <w:hyperlink r:id="rId15">
        <w:r w:rsidR="00EB50AA" w:rsidRPr="0BD9FBBF">
          <w:rPr>
            <w:rStyle w:val="Hyperlink"/>
            <w:rFonts w:cs="Calibri"/>
            <w:lang w:eastAsia="zh-CN"/>
          </w:rPr>
          <w:t>C22/100</w:t>
        </w:r>
      </w:hyperlink>
      <w:r w:rsidR="007070F8" w:rsidRPr="007070F8">
        <w:rPr>
          <w:rFonts w:cs="Calibri" w:hint="eastAsia"/>
          <w:lang w:eastAsia="zh-CN"/>
        </w:rPr>
        <w:t>中概述的对现有清单的审查</w:t>
      </w:r>
      <w:r w:rsidR="00EB50AA">
        <w:rPr>
          <w:rFonts w:cs="Calibri" w:hint="eastAsia"/>
          <w:lang w:eastAsia="zh-CN"/>
        </w:rPr>
        <w:t>工作</w:t>
      </w:r>
      <w:r w:rsidR="00E05BD6">
        <w:rPr>
          <w:rFonts w:cs="Calibri" w:hint="eastAsia"/>
          <w:lang w:eastAsia="zh-CN"/>
        </w:rPr>
        <w:t>交予</w:t>
      </w:r>
      <w:r w:rsidR="007070F8" w:rsidRPr="007070F8">
        <w:rPr>
          <w:rFonts w:cs="Calibri" w:hint="eastAsia"/>
          <w:lang w:eastAsia="zh-CN"/>
        </w:rPr>
        <w:t>理事会财</w:t>
      </w:r>
      <w:r w:rsidR="00EB50AA">
        <w:rPr>
          <w:rFonts w:cs="Calibri" w:hint="eastAsia"/>
          <w:lang w:eastAsia="zh-CN"/>
        </w:rPr>
        <w:t>务</w:t>
      </w:r>
      <w:r w:rsidR="007070F8" w:rsidRPr="007070F8">
        <w:rPr>
          <w:rFonts w:cs="Calibri" w:hint="eastAsia"/>
          <w:lang w:eastAsia="zh-CN"/>
        </w:rPr>
        <w:t>和人力资源工作组</w:t>
      </w:r>
      <w:r w:rsidR="007070F8">
        <w:rPr>
          <w:rFonts w:cs="Calibri" w:hint="eastAsia"/>
          <w:lang w:eastAsia="zh-CN"/>
        </w:rPr>
        <w:t>（</w:t>
      </w:r>
      <w:r w:rsidR="007070F8" w:rsidRPr="007070F8">
        <w:rPr>
          <w:rFonts w:cs="Calibri" w:hint="eastAsia"/>
          <w:lang w:eastAsia="zh-CN"/>
        </w:rPr>
        <w:t>CWG-FHR</w:t>
      </w:r>
      <w:r w:rsidR="007070F8">
        <w:rPr>
          <w:rFonts w:cs="Calibri" w:hint="eastAsia"/>
          <w:lang w:eastAsia="zh-CN"/>
        </w:rPr>
        <w:t>）</w:t>
      </w:r>
      <w:r w:rsidR="00EB50AA">
        <w:rPr>
          <w:rFonts w:cs="Calibri" w:hint="eastAsia"/>
          <w:lang w:eastAsia="zh-CN"/>
        </w:rPr>
        <w:t>处理</w:t>
      </w:r>
      <w:r w:rsidR="007070F8" w:rsidRPr="007070F8">
        <w:rPr>
          <w:rFonts w:cs="Calibri" w:hint="eastAsia"/>
          <w:lang w:eastAsia="zh-CN"/>
        </w:rPr>
        <w:t>。</w:t>
      </w:r>
    </w:p>
    <w:p w14:paraId="6A63EFBF" w14:textId="77777777" w:rsidR="004C733F" w:rsidRPr="002E1BDF" w:rsidRDefault="004C733F" w:rsidP="002E1BDF">
      <w:pPr>
        <w:pStyle w:val="Heading1"/>
        <w:rPr>
          <w:rFonts w:ascii="SimSun" w:hAnsi="SimSun"/>
          <w:bCs/>
        </w:rPr>
      </w:pPr>
      <w:r w:rsidRPr="002E1BDF">
        <w:rPr>
          <w:rFonts w:asciiTheme="minorHAnsi" w:hAnsiTheme="minorHAnsi" w:cstheme="minorHAnsi"/>
          <w:bCs/>
        </w:rPr>
        <w:t>2</w:t>
      </w:r>
      <w:r w:rsidRPr="002E1BDF">
        <w:rPr>
          <w:rFonts w:ascii="SimSun" w:hAnsi="SimSun"/>
          <w:bCs/>
        </w:rPr>
        <w:tab/>
      </w:r>
      <w:r w:rsidRPr="002E1BDF">
        <w:rPr>
          <w:rFonts w:ascii="SimSun" w:hAnsi="SimSun" w:hint="eastAsia"/>
          <w:bCs/>
          <w:lang w:eastAsia="zh-CN"/>
        </w:rPr>
        <w:t>新的申请及建议</w:t>
      </w:r>
    </w:p>
    <w:p w14:paraId="16F15C1D" w14:textId="77777777" w:rsidR="004C733F" w:rsidRPr="003101DB" w:rsidRDefault="004C733F" w:rsidP="004C733F">
      <w:pPr>
        <w:spacing w:after="120"/>
        <w:rPr>
          <w:rFonts w:asciiTheme="minorHAnsi" w:hAnsiTheme="minorHAnsi" w:cs="Calibri"/>
          <w:lang w:val="en-US"/>
        </w:rPr>
      </w:pPr>
      <w:r>
        <w:rPr>
          <w:rFonts w:asciiTheme="minorHAnsi" w:hAnsiTheme="minorHAnsi" w:cs="Calibri"/>
          <w:lang w:val="en-US"/>
        </w:rPr>
        <w:t>2.1</w:t>
      </w: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06"/>
        <w:gridCol w:w="1559"/>
        <w:gridCol w:w="3325"/>
      </w:tblGrid>
      <w:tr w:rsidR="004C733F" w14:paraId="02713A48" w14:textId="77777777" w:rsidTr="00710A02">
        <w:trPr>
          <w:cantSplit/>
          <w:jc w:val="center"/>
        </w:trPr>
        <w:tc>
          <w:tcPr>
            <w:tcW w:w="3906" w:type="dxa"/>
          </w:tcPr>
          <w:p w14:paraId="44678353" w14:textId="77777777" w:rsidR="004C733F" w:rsidRPr="001E34FD" w:rsidRDefault="004C733F" w:rsidP="00E95EEC">
            <w:pPr>
              <w:pStyle w:val="Tablehead"/>
              <w:rPr>
                <w:lang w:val="en-US"/>
              </w:rPr>
            </w:pPr>
            <w:r>
              <w:rPr>
                <w:rFonts w:hint="eastAsia"/>
                <w:lang w:val="en-US" w:eastAsia="zh-CN"/>
              </w:rPr>
              <w:t>组织</w:t>
            </w:r>
          </w:p>
        </w:tc>
        <w:tc>
          <w:tcPr>
            <w:tcW w:w="1559" w:type="dxa"/>
          </w:tcPr>
          <w:p w14:paraId="5225E93C" w14:textId="77777777" w:rsidR="004C733F" w:rsidRPr="001E34FD" w:rsidRDefault="004C733F" w:rsidP="00E95EEC">
            <w:pPr>
              <w:pStyle w:val="Tablehead"/>
              <w:rPr>
                <w:lang w:val="en-US"/>
              </w:rPr>
            </w:pPr>
            <w:r>
              <w:rPr>
                <w:rFonts w:hint="eastAsia"/>
                <w:lang w:val="en-US" w:eastAsia="zh-CN"/>
              </w:rPr>
              <w:t>部门</w:t>
            </w:r>
          </w:p>
        </w:tc>
        <w:tc>
          <w:tcPr>
            <w:tcW w:w="3325" w:type="dxa"/>
          </w:tcPr>
          <w:p w14:paraId="137173B9" w14:textId="7C69FA54" w:rsidR="004C733F" w:rsidRPr="005D018F" w:rsidRDefault="004C733F" w:rsidP="00E95EEC">
            <w:pPr>
              <w:pStyle w:val="Tablehead"/>
              <w:rPr>
                <w:rFonts w:cstheme="minorHAnsi"/>
                <w:lang w:val="en-US"/>
              </w:rPr>
            </w:pPr>
            <w:r w:rsidRPr="00FB5FF9">
              <w:rPr>
                <w:rFonts w:cstheme="minorHAnsi" w:hint="eastAsia"/>
                <w:lang w:val="en-US" w:eastAsia="zh-CN"/>
              </w:rPr>
              <w:t>建议</w:t>
            </w:r>
          </w:p>
        </w:tc>
      </w:tr>
      <w:tr w:rsidR="004C733F" w:rsidRPr="00E660F6" w14:paraId="2AA76A57" w14:textId="77777777" w:rsidTr="00710A02">
        <w:trPr>
          <w:cantSplit/>
          <w:trHeight w:val="1079"/>
          <w:jc w:val="center"/>
        </w:trPr>
        <w:tc>
          <w:tcPr>
            <w:tcW w:w="3906" w:type="dxa"/>
            <w:vAlign w:val="center"/>
          </w:tcPr>
          <w:p w14:paraId="4CD586DD" w14:textId="27A6FB20" w:rsidR="004C733F" w:rsidRPr="00E95EEC" w:rsidRDefault="007070F8" w:rsidP="00E95EEC">
            <w:pPr>
              <w:pStyle w:val="TableText0"/>
              <w:spacing w:before="120" w:after="60"/>
              <w:rPr>
                <w:rFonts w:asciiTheme="minorHAnsi" w:hAnsiTheme="minorHAnsi"/>
                <w:b/>
                <w:bCs/>
                <w:sz w:val="22"/>
                <w:szCs w:val="18"/>
                <w:lang w:val="fr-FR" w:eastAsia="zh-CN"/>
              </w:rPr>
            </w:pPr>
            <w:r w:rsidRPr="00E95EEC">
              <w:rPr>
                <w:rFonts w:asciiTheme="minorHAnsi" w:hAnsiTheme="minorHAnsi" w:hint="eastAsia"/>
                <w:b/>
                <w:bCs/>
                <w:sz w:val="22"/>
                <w:szCs w:val="18"/>
                <w:lang w:eastAsia="zh-CN"/>
              </w:rPr>
              <w:t>南部非洲通信监管机构协会（</w:t>
            </w:r>
            <w:r w:rsidRPr="00E95EEC">
              <w:rPr>
                <w:rFonts w:asciiTheme="minorHAnsi" w:hAnsiTheme="minorHAnsi" w:hint="eastAsia"/>
                <w:b/>
                <w:bCs/>
                <w:sz w:val="22"/>
                <w:szCs w:val="18"/>
                <w:lang w:eastAsia="zh-CN"/>
              </w:rPr>
              <w:t>CRASA</w:t>
            </w:r>
            <w:r w:rsidRPr="00E95EEC">
              <w:rPr>
                <w:rFonts w:asciiTheme="minorHAnsi" w:hAnsiTheme="minorHAnsi" w:hint="eastAsia"/>
                <w:b/>
                <w:bCs/>
                <w:sz w:val="22"/>
                <w:szCs w:val="18"/>
                <w:lang w:eastAsia="zh-CN"/>
              </w:rPr>
              <w:t>）</w:t>
            </w:r>
          </w:p>
        </w:tc>
        <w:tc>
          <w:tcPr>
            <w:tcW w:w="1559" w:type="dxa"/>
            <w:vAlign w:val="center"/>
          </w:tcPr>
          <w:p w14:paraId="602A33AC" w14:textId="77777777" w:rsidR="004C733F" w:rsidRPr="00E95EEC" w:rsidRDefault="004C733F" w:rsidP="00E95EEC">
            <w:pPr>
              <w:pStyle w:val="TableText0"/>
              <w:spacing w:before="0" w:after="60"/>
              <w:jc w:val="center"/>
              <w:rPr>
                <w:rFonts w:asciiTheme="minorHAnsi" w:hAnsiTheme="minorHAnsi"/>
                <w:sz w:val="22"/>
                <w:szCs w:val="18"/>
                <w:lang w:val="fr-CH"/>
              </w:rPr>
            </w:pPr>
            <w:r w:rsidRPr="00E95EEC">
              <w:rPr>
                <w:rFonts w:asciiTheme="minorHAnsi" w:hAnsiTheme="minorHAnsi"/>
                <w:sz w:val="22"/>
                <w:szCs w:val="18"/>
                <w:lang w:val="fr-CH"/>
              </w:rPr>
              <w:t>ITU-R</w:t>
            </w:r>
          </w:p>
          <w:p w14:paraId="4E0D3CD4" w14:textId="77777777" w:rsidR="004C733F" w:rsidRPr="00E95EEC" w:rsidRDefault="004C733F" w:rsidP="00E95EEC">
            <w:pPr>
              <w:pStyle w:val="TableText0"/>
              <w:spacing w:before="0" w:after="60"/>
              <w:jc w:val="center"/>
              <w:rPr>
                <w:rFonts w:asciiTheme="minorHAnsi" w:hAnsiTheme="minorHAnsi"/>
                <w:sz w:val="22"/>
                <w:szCs w:val="18"/>
                <w:lang w:val="fr-CH"/>
              </w:rPr>
            </w:pPr>
            <w:r w:rsidRPr="00E95EEC">
              <w:rPr>
                <w:rFonts w:asciiTheme="minorHAnsi" w:hAnsiTheme="minorHAnsi"/>
                <w:sz w:val="22"/>
                <w:szCs w:val="18"/>
                <w:lang w:val="fr-CH"/>
              </w:rPr>
              <w:t>ITU-T</w:t>
            </w:r>
          </w:p>
          <w:p w14:paraId="36A3BAA8" w14:textId="6CE367B5" w:rsidR="004C733F" w:rsidRPr="00E95EEC" w:rsidRDefault="004C733F" w:rsidP="00E95EEC">
            <w:pPr>
              <w:pStyle w:val="TableText0"/>
              <w:spacing w:before="0" w:after="60"/>
              <w:jc w:val="center"/>
              <w:rPr>
                <w:rFonts w:asciiTheme="minorHAnsi" w:hAnsiTheme="minorHAnsi"/>
                <w:sz w:val="22"/>
                <w:szCs w:val="18"/>
                <w:lang w:val="fr-CH"/>
              </w:rPr>
            </w:pPr>
            <w:r w:rsidRPr="00E95EEC">
              <w:rPr>
                <w:rFonts w:asciiTheme="minorHAnsi" w:hAnsiTheme="minorHAnsi"/>
                <w:sz w:val="22"/>
                <w:szCs w:val="18"/>
                <w:lang w:val="fr-CH"/>
              </w:rPr>
              <w:t>ITU-D</w:t>
            </w:r>
          </w:p>
        </w:tc>
        <w:tc>
          <w:tcPr>
            <w:tcW w:w="3325" w:type="dxa"/>
            <w:vAlign w:val="center"/>
          </w:tcPr>
          <w:p w14:paraId="59B94DDB" w14:textId="639796E3" w:rsidR="004C733F" w:rsidRPr="00E95EEC" w:rsidRDefault="00EB50AA" w:rsidP="00E95EEC">
            <w:pPr>
              <w:pStyle w:val="TableText0"/>
              <w:spacing w:before="0" w:after="60"/>
              <w:jc w:val="center"/>
              <w:rPr>
                <w:rFonts w:asciiTheme="minorHAnsi" w:hAnsiTheme="minorHAnsi"/>
                <w:sz w:val="22"/>
                <w:szCs w:val="18"/>
                <w:lang w:val="fr-CH" w:eastAsia="zh-CN"/>
              </w:rPr>
            </w:pPr>
            <w:r w:rsidRPr="00E95EEC">
              <w:rPr>
                <w:rFonts w:asciiTheme="minorHAnsi" w:hAnsiTheme="minorHAnsi" w:hint="eastAsia"/>
                <w:sz w:val="22"/>
                <w:szCs w:val="18"/>
                <w:lang w:val="fr-CH" w:eastAsia="zh-CN"/>
              </w:rPr>
              <w:t>予以免除</w:t>
            </w:r>
          </w:p>
          <w:p w14:paraId="712048CD" w14:textId="5D427EE4" w:rsidR="004C733F" w:rsidRPr="00E95EEC" w:rsidRDefault="00EB50AA" w:rsidP="00E95EEC">
            <w:pPr>
              <w:pStyle w:val="TableText0"/>
              <w:spacing w:before="0" w:after="60"/>
              <w:jc w:val="center"/>
              <w:rPr>
                <w:rFonts w:asciiTheme="minorHAnsi" w:hAnsiTheme="minorHAnsi"/>
                <w:sz w:val="22"/>
                <w:szCs w:val="18"/>
                <w:lang w:val="fr-CH" w:eastAsia="zh-CN"/>
              </w:rPr>
            </w:pPr>
            <w:r w:rsidRPr="00E95EEC">
              <w:rPr>
                <w:rFonts w:asciiTheme="minorHAnsi" w:hAnsiTheme="minorHAnsi" w:hint="eastAsia"/>
                <w:sz w:val="22"/>
                <w:szCs w:val="18"/>
                <w:lang w:val="fr-CH" w:eastAsia="zh-CN"/>
              </w:rPr>
              <w:t>予以免除</w:t>
            </w:r>
          </w:p>
          <w:p w14:paraId="423C9EDD" w14:textId="4CAB3EA4" w:rsidR="004C733F" w:rsidRPr="00E95EEC" w:rsidRDefault="00EB50AA" w:rsidP="00E95EEC">
            <w:pPr>
              <w:pStyle w:val="TableText0"/>
              <w:spacing w:before="0" w:after="60"/>
              <w:jc w:val="center"/>
              <w:rPr>
                <w:rFonts w:asciiTheme="minorHAnsi" w:hAnsiTheme="minorHAnsi"/>
                <w:sz w:val="22"/>
                <w:szCs w:val="18"/>
                <w:lang w:val="fr-CH"/>
              </w:rPr>
            </w:pPr>
            <w:r w:rsidRPr="00E95EEC">
              <w:rPr>
                <w:rFonts w:asciiTheme="minorHAnsi" w:hAnsiTheme="minorHAnsi" w:hint="eastAsia"/>
                <w:sz w:val="22"/>
                <w:szCs w:val="18"/>
                <w:lang w:val="fr-CH" w:eastAsia="zh-CN"/>
              </w:rPr>
              <w:t>予以免除</w:t>
            </w:r>
          </w:p>
        </w:tc>
      </w:tr>
    </w:tbl>
    <w:p w14:paraId="73A74E37" w14:textId="219CC6C1" w:rsidR="004C733F" w:rsidRPr="00DB63E1" w:rsidRDefault="007070F8" w:rsidP="004C733F">
      <w:pPr>
        <w:ind w:firstLineChars="200" w:firstLine="480"/>
        <w:rPr>
          <w:rFonts w:cs="Calibri"/>
          <w:b/>
          <w:color w:val="000000" w:themeColor="text1"/>
          <w:szCs w:val="24"/>
          <w:lang w:eastAsia="zh-CN"/>
        </w:rPr>
      </w:pPr>
      <w:r w:rsidRPr="007070F8">
        <w:rPr>
          <w:rFonts w:asciiTheme="minorHAnsi" w:hAnsiTheme="minorHAnsi" w:cstheme="minorBidi" w:hint="eastAsia"/>
          <w:color w:val="000000" w:themeColor="text1"/>
          <w:lang w:eastAsia="zh-CN"/>
        </w:rPr>
        <w:t>总部设在博茨瓦纳的南部非洲通信监管机构协会</w:t>
      </w:r>
      <w:r w:rsidR="00EB50AA">
        <w:rPr>
          <w:rFonts w:asciiTheme="minorHAnsi" w:hAnsiTheme="minorHAnsi" w:cstheme="minorBidi" w:hint="eastAsia"/>
          <w:color w:val="000000" w:themeColor="text1"/>
          <w:lang w:eastAsia="zh-CN"/>
        </w:rPr>
        <w:t>（</w:t>
      </w:r>
      <w:r w:rsidR="00EB50AA" w:rsidRPr="186B2739">
        <w:rPr>
          <w:lang w:eastAsia="zh-CN"/>
        </w:rPr>
        <w:t>CRASA</w:t>
      </w:r>
      <w:r w:rsidR="00EB50AA">
        <w:rPr>
          <w:rFonts w:asciiTheme="minorHAnsi" w:hAnsiTheme="minorHAnsi" w:cstheme="minorBidi" w:hint="eastAsia"/>
          <w:color w:val="000000" w:themeColor="text1"/>
          <w:lang w:eastAsia="zh-CN"/>
        </w:rPr>
        <w:t>）</w:t>
      </w:r>
      <w:r w:rsidRPr="007070F8">
        <w:rPr>
          <w:rFonts w:asciiTheme="minorHAnsi" w:hAnsiTheme="minorHAnsi" w:cstheme="minorBidi" w:hint="eastAsia"/>
          <w:color w:val="000000" w:themeColor="text1"/>
          <w:lang w:eastAsia="zh-CN"/>
        </w:rPr>
        <w:t>是一个由</w:t>
      </w:r>
      <w:r w:rsidRPr="007070F8">
        <w:rPr>
          <w:rFonts w:asciiTheme="minorHAnsi" w:hAnsiTheme="minorHAnsi" w:cstheme="minorBidi" w:hint="eastAsia"/>
          <w:color w:val="000000" w:themeColor="text1"/>
          <w:lang w:eastAsia="zh-CN"/>
        </w:rPr>
        <w:t>13</w:t>
      </w:r>
      <w:r w:rsidRPr="007070F8">
        <w:rPr>
          <w:rFonts w:asciiTheme="minorHAnsi" w:hAnsiTheme="minorHAnsi" w:cstheme="minorBidi" w:hint="eastAsia"/>
          <w:color w:val="000000" w:themeColor="text1"/>
          <w:lang w:eastAsia="zh-CN"/>
        </w:rPr>
        <w:t>个成员国组成的信</w:t>
      </w:r>
      <w:r w:rsidR="00EB50AA">
        <w:rPr>
          <w:rFonts w:asciiTheme="minorHAnsi" w:hAnsiTheme="minorHAnsi" w:cstheme="minorBidi" w:hint="eastAsia"/>
          <w:color w:val="000000" w:themeColor="text1"/>
          <w:lang w:eastAsia="zh-CN"/>
        </w:rPr>
        <w:t>息</w:t>
      </w:r>
      <w:r w:rsidRPr="007070F8">
        <w:rPr>
          <w:rFonts w:asciiTheme="minorHAnsi" w:hAnsiTheme="minorHAnsi" w:cstheme="minorBidi" w:hint="eastAsia"/>
          <w:color w:val="000000" w:themeColor="text1"/>
          <w:lang w:eastAsia="zh-CN"/>
        </w:rPr>
        <w:t>通</w:t>
      </w:r>
      <w:r w:rsidR="00EB50AA">
        <w:rPr>
          <w:rFonts w:asciiTheme="minorHAnsi" w:hAnsiTheme="minorHAnsi" w:cstheme="minorBidi" w:hint="eastAsia"/>
          <w:color w:val="000000" w:themeColor="text1"/>
          <w:lang w:eastAsia="zh-CN"/>
        </w:rPr>
        <w:t>信</w:t>
      </w:r>
      <w:r w:rsidRPr="007070F8">
        <w:rPr>
          <w:rFonts w:asciiTheme="minorHAnsi" w:hAnsiTheme="minorHAnsi" w:cstheme="minorBidi" w:hint="eastAsia"/>
          <w:color w:val="000000" w:themeColor="text1"/>
          <w:lang w:eastAsia="zh-CN"/>
        </w:rPr>
        <w:t>技术和邮政监管机构论坛。该机构是南部非洲发展共同体</w:t>
      </w:r>
      <w:r>
        <w:rPr>
          <w:rFonts w:asciiTheme="minorHAnsi" w:hAnsiTheme="minorHAnsi" w:cstheme="minorBidi" w:hint="eastAsia"/>
          <w:color w:val="000000" w:themeColor="text1"/>
          <w:lang w:eastAsia="zh-CN"/>
        </w:rPr>
        <w:t>（</w:t>
      </w:r>
      <w:r w:rsidR="00EB50AA">
        <w:rPr>
          <w:rFonts w:asciiTheme="minorHAnsi" w:hAnsiTheme="minorHAnsi" w:cstheme="minorBidi" w:hint="eastAsia"/>
          <w:color w:val="000000" w:themeColor="text1"/>
          <w:lang w:eastAsia="zh-CN"/>
        </w:rPr>
        <w:t>S</w:t>
      </w:r>
      <w:r w:rsidR="00EB50AA">
        <w:rPr>
          <w:rFonts w:asciiTheme="minorHAnsi" w:hAnsiTheme="minorHAnsi" w:cstheme="minorBidi"/>
          <w:color w:val="000000" w:themeColor="text1"/>
          <w:lang w:eastAsia="zh-CN"/>
        </w:rPr>
        <w:t>ADC</w:t>
      </w:r>
      <w:r>
        <w:rPr>
          <w:rFonts w:asciiTheme="minorHAnsi" w:hAnsiTheme="minorHAnsi" w:cstheme="minorBidi" w:hint="eastAsia"/>
          <w:color w:val="000000" w:themeColor="text1"/>
          <w:lang w:eastAsia="zh-CN"/>
        </w:rPr>
        <w:t>）</w:t>
      </w:r>
      <w:r w:rsidRPr="007070F8">
        <w:rPr>
          <w:rFonts w:asciiTheme="minorHAnsi" w:hAnsiTheme="minorHAnsi" w:cstheme="minorBidi" w:hint="eastAsia"/>
          <w:color w:val="000000" w:themeColor="text1"/>
          <w:lang w:eastAsia="zh-CN"/>
        </w:rPr>
        <w:t>的一个专门机构，于</w:t>
      </w:r>
      <w:r w:rsidRPr="007070F8">
        <w:rPr>
          <w:rFonts w:asciiTheme="minorHAnsi" w:hAnsiTheme="minorHAnsi" w:cstheme="minorBidi" w:hint="eastAsia"/>
          <w:color w:val="000000" w:themeColor="text1"/>
          <w:lang w:eastAsia="zh-CN"/>
        </w:rPr>
        <w:t>1997</w:t>
      </w:r>
      <w:r w:rsidRPr="007070F8">
        <w:rPr>
          <w:rFonts w:asciiTheme="minorHAnsi" w:hAnsiTheme="minorHAnsi" w:cstheme="minorBidi" w:hint="eastAsia"/>
          <w:color w:val="000000" w:themeColor="text1"/>
          <w:lang w:eastAsia="zh-CN"/>
        </w:rPr>
        <w:t>年在</w:t>
      </w:r>
      <w:r w:rsidR="00EB50AA">
        <w:rPr>
          <w:rFonts w:asciiTheme="minorHAnsi" w:hAnsiTheme="minorHAnsi" w:cstheme="minorBidi" w:hint="eastAsia"/>
          <w:color w:val="000000" w:themeColor="text1"/>
          <w:lang w:eastAsia="zh-CN"/>
        </w:rPr>
        <w:t>S</w:t>
      </w:r>
      <w:r w:rsidR="00EB50AA">
        <w:rPr>
          <w:rFonts w:asciiTheme="minorHAnsi" w:hAnsiTheme="minorHAnsi" w:cstheme="minorBidi"/>
          <w:color w:val="000000" w:themeColor="text1"/>
          <w:lang w:eastAsia="zh-CN"/>
        </w:rPr>
        <w:t>ADC</w:t>
      </w:r>
      <w:r w:rsidRPr="007070F8">
        <w:rPr>
          <w:rFonts w:asciiTheme="minorHAnsi" w:hAnsiTheme="minorHAnsi" w:cstheme="minorBidi" w:hint="eastAsia"/>
          <w:color w:val="000000" w:themeColor="text1"/>
          <w:lang w:eastAsia="zh-CN"/>
        </w:rPr>
        <w:t>《运输、通信和气象议定书》</w:t>
      </w:r>
      <w:r>
        <w:rPr>
          <w:rFonts w:asciiTheme="minorHAnsi" w:hAnsiTheme="minorHAnsi" w:cstheme="minorBidi" w:hint="eastAsia"/>
          <w:color w:val="000000" w:themeColor="text1"/>
          <w:lang w:eastAsia="zh-CN"/>
        </w:rPr>
        <w:t>（</w:t>
      </w:r>
      <w:r w:rsidRPr="007070F8">
        <w:rPr>
          <w:rFonts w:asciiTheme="minorHAnsi" w:hAnsiTheme="minorHAnsi" w:cstheme="minorBidi" w:hint="eastAsia"/>
          <w:color w:val="000000" w:themeColor="text1"/>
          <w:lang w:eastAsia="zh-CN"/>
        </w:rPr>
        <w:t>1995</w:t>
      </w:r>
      <w:r w:rsidRPr="007070F8">
        <w:rPr>
          <w:rFonts w:asciiTheme="minorHAnsi" w:hAnsiTheme="minorHAnsi" w:cstheme="minorBidi" w:hint="eastAsia"/>
          <w:color w:val="000000" w:themeColor="text1"/>
          <w:lang w:eastAsia="zh-CN"/>
        </w:rPr>
        <w:t>年</w:t>
      </w:r>
      <w:r>
        <w:rPr>
          <w:rFonts w:asciiTheme="minorHAnsi" w:hAnsiTheme="minorHAnsi" w:cstheme="minorBidi" w:hint="eastAsia"/>
          <w:color w:val="000000" w:themeColor="text1"/>
          <w:lang w:eastAsia="zh-CN"/>
        </w:rPr>
        <w:t>）</w:t>
      </w:r>
      <w:r w:rsidRPr="007070F8">
        <w:rPr>
          <w:rFonts w:asciiTheme="minorHAnsi" w:hAnsiTheme="minorHAnsi" w:cstheme="minorBidi" w:hint="eastAsia"/>
          <w:color w:val="000000" w:themeColor="text1"/>
          <w:lang w:eastAsia="zh-CN"/>
        </w:rPr>
        <w:t>的框架</w:t>
      </w:r>
      <w:r w:rsidR="00EB50AA">
        <w:rPr>
          <w:rFonts w:asciiTheme="minorHAnsi" w:hAnsiTheme="minorHAnsi" w:cstheme="minorBidi" w:hint="eastAsia"/>
          <w:color w:val="000000" w:themeColor="text1"/>
          <w:lang w:eastAsia="zh-CN"/>
        </w:rPr>
        <w:t>下</w:t>
      </w:r>
      <w:r w:rsidRPr="007070F8">
        <w:rPr>
          <w:rFonts w:asciiTheme="minorHAnsi" w:hAnsiTheme="minorHAnsi" w:cstheme="minorBidi" w:hint="eastAsia"/>
          <w:color w:val="000000" w:themeColor="text1"/>
          <w:lang w:eastAsia="zh-CN"/>
        </w:rPr>
        <w:t>成立。</w:t>
      </w:r>
      <w:r w:rsidRPr="007070F8">
        <w:rPr>
          <w:rFonts w:asciiTheme="minorHAnsi" w:hAnsiTheme="minorHAnsi" w:cstheme="minorBidi" w:hint="eastAsia"/>
          <w:color w:val="000000" w:themeColor="text1"/>
          <w:lang w:eastAsia="zh-CN"/>
        </w:rPr>
        <w:t>CRASA</w:t>
      </w:r>
      <w:r w:rsidRPr="007070F8">
        <w:rPr>
          <w:rFonts w:asciiTheme="minorHAnsi" w:hAnsiTheme="minorHAnsi" w:cstheme="minorBidi" w:hint="eastAsia"/>
          <w:color w:val="000000" w:themeColor="text1"/>
          <w:lang w:eastAsia="zh-CN"/>
        </w:rPr>
        <w:t>侧重于协调电信、广播和邮政市场的监管框架。秘书处认为，作为</w:t>
      </w:r>
      <w:r w:rsidR="005A782D">
        <w:rPr>
          <w:rFonts w:asciiTheme="minorHAnsi" w:hAnsiTheme="minorHAnsi" w:cstheme="minorBidi" w:hint="eastAsia"/>
          <w:color w:val="000000" w:themeColor="text1"/>
          <w:lang w:eastAsia="zh-CN"/>
        </w:rPr>
        <w:t>一个由成</w:t>
      </w:r>
      <w:r w:rsidRPr="007070F8">
        <w:rPr>
          <w:rFonts w:asciiTheme="minorHAnsi" w:hAnsiTheme="minorHAnsi" w:cstheme="minorBidi" w:hint="eastAsia"/>
          <w:color w:val="000000" w:themeColor="text1"/>
          <w:lang w:eastAsia="zh-CN"/>
        </w:rPr>
        <w:t>员国</w:t>
      </w:r>
      <w:r w:rsidR="005A782D">
        <w:rPr>
          <w:rFonts w:asciiTheme="minorHAnsi" w:hAnsiTheme="minorHAnsi" w:cstheme="minorBidi" w:hint="eastAsia"/>
          <w:color w:val="000000" w:themeColor="text1"/>
          <w:lang w:eastAsia="zh-CN"/>
        </w:rPr>
        <w:t>组成</w:t>
      </w:r>
      <w:r w:rsidRPr="007070F8">
        <w:rPr>
          <w:rFonts w:asciiTheme="minorHAnsi" w:hAnsiTheme="minorHAnsi" w:cstheme="minorBidi" w:hint="eastAsia"/>
          <w:color w:val="000000" w:themeColor="text1"/>
          <w:lang w:eastAsia="zh-CN"/>
        </w:rPr>
        <w:t>的区域</w:t>
      </w:r>
      <w:r w:rsidR="005A782D">
        <w:rPr>
          <w:rFonts w:asciiTheme="minorHAnsi" w:hAnsiTheme="minorHAnsi" w:cstheme="minorBidi" w:hint="eastAsia"/>
          <w:color w:val="000000" w:themeColor="text1"/>
          <w:lang w:eastAsia="zh-CN"/>
        </w:rPr>
        <w:t>性</w:t>
      </w:r>
      <w:r w:rsidRPr="007070F8">
        <w:rPr>
          <w:rFonts w:asciiTheme="minorHAnsi" w:hAnsiTheme="minorHAnsi" w:cstheme="minorBidi" w:hint="eastAsia"/>
          <w:color w:val="000000" w:themeColor="text1"/>
          <w:lang w:eastAsia="zh-CN"/>
        </w:rPr>
        <w:t>组织，该实体符合理事会规定的</w:t>
      </w:r>
      <w:r w:rsidR="005A782D">
        <w:rPr>
          <w:rFonts w:hint="eastAsia"/>
          <w:lang w:eastAsia="zh-CN"/>
        </w:rPr>
        <w:t>免缴会费</w:t>
      </w:r>
      <w:r w:rsidRPr="007070F8">
        <w:rPr>
          <w:rFonts w:asciiTheme="minorHAnsi" w:hAnsiTheme="minorHAnsi" w:cstheme="minorBidi" w:hint="eastAsia"/>
          <w:color w:val="000000" w:themeColor="text1"/>
          <w:lang w:eastAsia="zh-CN"/>
        </w:rPr>
        <w:t>标准。</w:t>
      </w:r>
    </w:p>
    <w:p w14:paraId="7470802D" w14:textId="77777777" w:rsidR="004C733F" w:rsidRPr="003101DB" w:rsidRDefault="004C733F" w:rsidP="004C733F">
      <w:pPr>
        <w:spacing w:before="240" w:after="120"/>
        <w:rPr>
          <w:rFonts w:asciiTheme="minorHAnsi" w:hAnsiTheme="minorHAnsi" w:cs="Calibri"/>
          <w:lang w:val="en-US"/>
        </w:rPr>
      </w:pPr>
      <w:r>
        <w:rPr>
          <w:rFonts w:asciiTheme="minorHAnsi" w:hAnsiTheme="minorHAnsi" w:cs="Calibri"/>
          <w:lang w:val="en-US"/>
        </w:rPr>
        <w:t>2.2</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06"/>
        <w:gridCol w:w="1559"/>
        <w:gridCol w:w="3750"/>
      </w:tblGrid>
      <w:tr w:rsidR="004C733F" w14:paraId="05C1FC71" w14:textId="77777777" w:rsidTr="00710A02">
        <w:trPr>
          <w:cantSplit/>
          <w:jc w:val="center"/>
        </w:trPr>
        <w:tc>
          <w:tcPr>
            <w:tcW w:w="3906" w:type="dxa"/>
          </w:tcPr>
          <w:p w14:paraId="1AF22347" w14:textId="77777777" w:rsidR="004C733F" w:rsidRPr="001E34FD" w:rsidRDefault="004C733F" w:rsidP="00E95EEC">
            <w:pPr>
              <w:pStyle w:val="Tablehead"/>
              <w:rPr>
                <w:lang w:val="en-US"/>
              </w:rPr>
            </w:pPr>
            <w:r>
              <w:rPr>
                <w:rFonts w:hint="eastAsia"/>
                <w:lang w:val="en-US" w:eastAsia="zh-CN"/>
              </w:rPr>
              <w:t>组织</w:t>
            </w:r>
          </w:p>
        </w:tc>
        <w:tc>
          <w:tcPr>
            <w:tcW w:w="1559" w:type="dxa"/>
          </w:tcPr>
          <w:p w14:paraId="5640280B" w14:textId="77777777" w:rsidR="004C733F" w:rsidRPr="001E34FD" w:rsidRDefault="004C733F" w:rsidP="00E95EEC">
            <w:pPr>
              <w:pStyle w:val="Tablehead"/>
              <w:rPr>
                <w:lang w:val="en-US"/>
              </w:rPr>
            </w:pPr>
            <w:r>
              <w:rPr>
                <w:rFonts w:hint="eastAsia"/>
                <w:lang w:val="en-US" w:eastAsia="zh-CN"/>
              </w:rPr>
              <w:t>部门</w:t>
            </w:r>
          </w:p>
        </w:tc>
        <w:tc>
          <w:tcPr>
            <w:tcW w:w="3750" w:type="dxa"/>
          </w:tcPr>
          <w:p w14:paraId="764D123F" w14:textId="08B56473" w:rsidR="004C733F" w:rsidRPr="005D018F" w:rsidRDefault="004C733F" w:rsidP="00E95EEC">
            <w:pPr>
              <w:pStyle w:val="Tablehead"/>
              <w:rPr>
                <w:rFonts w:cstheme="minorHAnsi"/>
                <w:lang w:val="en-US"/>
              </w:rPr>
            </w:pPr>
            <w:r w:rsidRPr="00FB5FF9">
              <w:rPr>
                <w:rFonts w:cstheme="minorHAnsi" w:hint="eastAsia"/>
                <w:lang w:val="en-US" w:eastAsia="zh-CN"/>
              </w:rPr>
              <w:t>建议</w:t>
            </w:r>
          </w:p>
        </w:tc>
      </w:tr>
      <w:tr w:rsidR="004C733F" w14:paraId="44C9D8FC" w14:textId="77777777" w:rsidTr="00710A02">
        <w:trPr>
          <w:cantSplit/>
          <w:trHeight w:val="1342"/>
          <w:jc w:val="center"/>
        </w:trPr>
        <w:tc>
          <w:tcPr>
            <w:tcW w:w="3906" w:type="dxa"/>
            <w:vAlign w:val="center"/>
          </w:tcPr>
          <w:p w14:paraId="7DFE30C5" w14:textId="77777777" w:rsidR="004C733F" w:rsidRPr="00E95EEC" w:rsidRDefault="004C733F" w:rsidP="00E95EEC">
            <w:pPr>
              <w:pStyle w:val="TableText0"/>
              <w:spacing w:before="120" w:after="60"/>
              <w:rPr>
                <w:rFonts w:asciiTheme="minorHAnsi" w:hAnsiTheme="minorHAnsi"/>
                <w:b/>
                <w:bCs/>
                <w:sz w:val="22"/>
                <w:lang w:val="fr-FR" w:eastAsia="zh-CN"/>
              </w:rPr>
            </w:pPr>
            <w:r w:rsidRPr="00E95EEC">
              <w:rPr>
                <w:rFonts w:asciiTheme="minorHAnsi" w:hAnsiTheme="minorHAnsi" w:hint="eastAsia"/>
                <w:b/>
                <w:bCs/>
                <w:sz w:val="22"/>
                <w:lang w:val="fr-FR" w:eastAsia="zh-CN"/>
              </w:rPr>
              <w:t>印度电信标准发展协会（</w:t>
            </w:r>
            <w:r w:rsidRPr="00E95EEC">
              <w:rPr>
                <w:rFonts w:asciiTheme="minorHAnsi" w:hAnsiTheme="minorHAnsi" w:hint="eastAsia"/>
                <w:b/>
                <w:bCs/>
                <w:sz w:val="22"/>
                <w:lang w:val="fr-FR" w:eastAsia="zh-CN"/>
              </w:rPr>
              <w:t>TSDSI</w:t>
            </w:r>
            <w:r w:rsidRPr="00E95EEC">
              <w:rPr>
                <w:rFonts w:asciiTheme="minorHAnsi" w:hAnsiTheme="minorHAnsi" w:hint="eastAsia"/>
                <w:b/>
                <w:bCs/>
                <w:sz w:val="22"/>
                <w:lang w:val="fr-FR" w:eastAsia="zh-CN"/>
              </w:rPr>
              <w:t>）</w:t>
            </w:r>
          </w:p>
        </w:tc>
        <w:tc>
          <w:tcPr>
            <w:tcW w:w="1559" w:type="dxa"/>
            <w:vAlign w:val="center"/>
          </w:tcPr>
          <w:p w14:paraId="1BA1FED6" w14:textId="77777777" w:rsidR="004C733F" w:rsidRPr="00E95EEC" w:rsidRDefault="004C733F" w:rsidP="00E95EEC">
            <w:pPr>
              <w:pStyle w:val="TableText0"/>
              <w:spacing w:before="0" w:after="60"/>
              <w:jc w:val="center"/>
              <w:rPr>
                <w:rFonts w:asciiTheme="minorHAnsi" w:hAnsiTheme="minorHAnsi" w:cs="Calibri"/>
                <w:sz w:val="22"/>
                <w:lang w:val="fr-FR" w:eastAsia="zh-CN"/>
              </w:rPr>
            </w:pPr>
            <w:bookmarkStart w:id="10" w:name="lt_pId059"/>
            <w:r w:rsidRPr="00E95EEC">
              <w:rPr>
                <w:rFonts w:asciiTheme="minorHAnsi" w:hAnsiTheme="minorHAnsi" w:cs="Calibri"/>
                <w:sz w:val="22"/>
                <w:lang w:val="fr-FR" w:eastAsia="zh-CN"/>
              </w:rPr>
              <w:t>ITU-R</w:t>
            </w:r>
            <w:bookmarkEnd w:id="10"/>
          </w:p>
          <w:p w14:paraId="30BA2897" w14:textId="77777777" w:rsidR="004C733F" w:rsidRPr="00E95EEC" w:rsidRDefault="004C733F" w:rsidP="00E95EEC">
            <w:pPr>
              <w:pStyle w:val="TableText0"/>
              <w:spacing w:before="0" w:after="60"/>
              <w:jc w:val="center"/>
              <w:rPr>
                <w:rFonts w:asciiTheme="minorHAnsi" w:hAnsiTheme="minorHAnsi"/>
                <w:sz w:val="22"/>
                <w:lang w:val="fr-FR" w:eastAsia="zh-CN"/>
              </w:rPr>
            </w:pPr>
            <w:bookmarkStart w:id="11" w:name="lt_pId060"/>
            <w:r w:rsidRPr="00E95EEC">
              <w:rPr>
                <w:rFonts w:asciiTheme="minorHAnsi" w:hAnsiTheme="minorHAnsi" w:cs="Calibri"/>
                <w:sz w:val="22"/>
                <w:lang w:val="fr-FR" w:eastAsia="zh-CN"/>
              </w:rPr>
              <w:t>ITU-T</w:t>
            </w:r>
            <w:bookmarkEnd w:id="11"/>
          </w:p>
        </w:tc>
        <w:tc>
          <w:tcPr>
            <w:tcW w:w="3750" w:type="dxa"/>
            <w:vAlign w:val="center"/>
          </w:tcPr>
          <w:p w14:paraId="0E89BF3B" w14:textId="77777777" w:rsidR="00EB50AA" w:rsidRPr="00E95EEC" w:rsidRDefault="00EB50AA" w:rsidP="00E95EEC">
            <w:pPr>
              <w:pStyle w:val="TableText0"/>
              <w:spacing w:before="0" w:after="60"/>
              <w:jc w:val="center"/>
              <w:rPr>
                <w:rFonts w:asciiTheme="minorHAnsi" w:hAnsiTheme="minorHAnsi"/>
                <w:sz w:val="22"/>
                <w:szCs w:val="24"/>
                <w:lang w:val="fr-CH" w:eastAsia="zh-CN"/>
              </w:rPr>
            </w:pPr>
            <w:r w:rsidRPr="00E95EEC">
              <w:rPr>
                <w:rFonts w:asciiTheme="minorHAnsi" w:hAnsiTheme="minorHAnsi" w:hint="eastAsia"/>
                <w:sz w:val="22"/>
                <w:szCs w:val="24"/>
                <w:lang w:val="fr-CH" w:eastAsia="zh-CN"/>
              </w:rPr>
              <w:t>不予免除</w:t>
            </w:r>
          </w:p>
          <w:p w14:paraId="70B40251" w14:textId="75970316" w:rsidR="004C733F" w:rsidRPr="00E95EEC" w:rsidRDefault="00EB50AA" w:rsidP="00E95EEC">
            <w:pPr>
              <w:pStyle w:val="TableText0"/>
              <w:spacing w:before="0" w:after="60"/>
              <w:jc w:val="center"/>
              <w:rPr>
                <w:rFonts w:asciiTheme="minorHAnsi" w:hAnsiTheme="minorHAnsi"/>
                <w:sz w:val="22"/>
                <w:lang w:val="fr-FR" w:eastAsia="zh-CN"/>
              </w:rPr>
            </w:pPr>
            <w:r w:rsidRPr="00E95EEC">
              <w:rPr>
                <w:rFonts w:asciiTheme="minorHAnsi" w:hAnsiTheme="minorHAnsi" w:hint="eastAsia"/>
                <w:sz w:val="22"/>
                <w:szCs w:val="24"/>
                <w:lang w:val="fr-CH" w:eastAsia="zh-CN"/>
              </w:rPr>
              <w:t>不予免除</w:t>
            </w:r>
          </w:p>
        </w:tc>
      </w:tr>
    </w:tbl>
    <w:p w14:paraId="66B47EB0" w14:textId="174CD667" w:rsidR="004C733F" w:rsidRDefault="007070F8" w:rsidP="004C733F">
      <w:pPr>
        <w:overflowPunct/>
        <w:autoSpaceDE/>
        <w:autoSpaceDN/>
        <w:adjustRightInd/>
        <w:spacing w:after="120"/>
        <w:ind w:firstLineChars="200" w:firstLine="480"/>
        <w:jc w:val="both"/>
        <w:textAlignment w:val="auto"/>
        <w:rPr>
          <w:lang w:eastAsia="zh-CN"/>
        </w:rPr>
      </w:pPr>
      <w:r w:rsidRPr="007070F8">
        <w:rPr>
          <w:rFonts w:hint="eastAsia"/>
          <w:lang w:eastAsia="zh-CN"/>
        </w:rPr>
        <w:lastRenderedPageBreak/>
        <w:t>如上文第</w:t>
      </w:r>
      <w:r w:rsidRPr="007070F8">
        <w:rPr>
          <w:rFonts w:hint="eastAsia"/>
          <w:lang w:eastAsia="zh-CN"/>
        </w:rPr>
        <w:t>1.6</w:t>
      </w:r>
      <w:r w:rsidR="005A782D">
        <w:rPr>
          <w:rFonts w:hint="eastAsia"/>
          <w:lang w:eastAsia="zh-CN"/>
        </w:rPr>
        <w:t>段</w:t>
      </w:r>
      <w:r w:rsidRPr="007070F8">
        <w:rPr>
          <w:rFonts w:hint="eastAsia"/>
          <w:lang w:eastAsia="zh-CN"/>
        </w:rPr>
        <w:t>所述，在对所有</w:t>
      </w:r>
      <w:r w:rsidR="005A782D">
        <w:rPr>
          <w:rFonts w:hint="eastAsia"/>
          <w:lang w:eastAsia="zh-CN"/>
        </w:rPr>
        <w:t>免予缴费实体</w:t>
      </w:r>
      <w:r w:rsidRPr="007070F8">
        <w:rPr>
          <w:rFonts w:hint="eastAsia"/>
          <w:lang w:eastAsia="zh-CN"/>
        </w:rPr>
        <w:t>进行全面审查之前，理事会</w:t>
      </w:r>
      <w:r w:rsidRPr="007070F8">
        <w:rPr>
          <w:rFonts w:hint="eastAsia"/>
          <w:lang w:eastAsia="zh-CN"/>
        </w:rPr>
        <w:t>2022</w:t>
      </w:r>
      <w:r w:rsidRPr="007070F8">
        <w:rPr>
          <w:rFonts w:hint="eastAsia"/>
          <w:lang w:eastAsia="zh-CN"/>
        </w:rPr>
        <w:t>年</w:t>
      </w:r>
      <w:r w:rsidR="005A782D">
        <w:rPr>
          <w:rFonts w:hint="eastAsia"/>
          <w:lang w:eastAsia="zh-CN"/>
        </w:rPr>
        <w:t>会议决定</w:t>
      </w:r>
      <w:r w:rsidRPr="007070F8">
        <w:rPr>
          <w:rFonts w:hint="eastAsia"/>
          <w:lang w:eastAsia="zh-CN"/>
        </w:rPr>
        <w:t>推迟</w:t>
      </w:r>
      <w:r w:rsidR="005A782D">
        <w:rPr>
          <w:rFonts w:hint="eastAsia"/>
          <w:lang w:eastAsia="zh-CN"/>
        </w:rPr>
        <w:t>批准</w:t>
      </w:r>
      <w:r w:rsidRPr="007070F8">
        <w:rPr>
          <w:rFonts w:hint="eastAsia"/>
          <w:lang w:eastAsia="zh-CN"/>
        </w:rPr>
        <w:t>这一请求。与此同时，</w:t>
      </w:r>
      <w:r w:rsidRPr="007070F8">
        <w:rPr>
          <w:rFonts w:hint="eastAsia"/>
          <w:lang w:eastAsia="zh-CN"/>
        </w:rPr>
        <w:t>TSDSI</w:t>
      </w:r>
      <w:r w:rsidRPr="007070F8">
        <w:rPr>
          <w:rFonts w:hint="eastAsia"/>
          <w:lang w:eastAsia="zh-CN"/>
        </w:rPr>
        <w:t>作为</w:t>
      </w:r>
      <w:r w:rsidR="005A782D">
        <w:rPr>
          <w:rFonts w:hint="eastAsia"/>
          <w:lang w:eastAsia="zh-CN"/>
        </w:rPr>
        <w:t>缴</w:t>
      </w:r>
      <w:r w:rsidRPr="007070F8">
        <w:rPr>
          <w:rFonts w:hint="eastAsia"/>
          <w:lang w:eastAsia="zh-CN"/>
        </w:rPr>
        <w:t>费部门成员加入了</w:t>
      </w:r>
      <w:r w:rsidRPr="007070F8">
        <w:rPr>
          <w:rFonts w:hint="eastAsia"/>
          <w:lang w:eastAsia="zh-CN"/>
        </w:rPr>
        <w:t>ITU-R</w:t>
      </w:r>
      <w:r w:rsidRPr="007070F8">
        <w:rPr>
          <w:rFonts w:hint="eastAsia"/>
          <w:lang w:eastAsia="zh-CN"/>
        </w:rPr>
        <w:t>和</w:t>
      </w:r>
      <w:r w:rsidRPr="007070F8">
        <w:rPr>
          <w:rFonts w:hint="eastAsia"/>
          <w:lang w:eastAsia="zh-CN"/>
        </w:rPr>
        <w:t>ITU-T</w:t>
      </w:r>
      <w:r w:rsidRPr="007070F8">
        <w:rPr>
          <w:rFonts w:hint="eastAsia"/>
          <w:lang w:eastAsia="zh-CN"/>
        </w:rPr>
        <w:t>。</w:t>
      </w:r>
    </w:p>
    <w:p w14:paraId="2C07A7EF" w14:textId="4215942E" w:rsidR="004C733F" w:rsidRPr="00B17C25" w:rsidRDefault="00E05BD6" w:rsidP="004C733F">
      <w:pPr>
        <w:overflowPunct/>
        <w:autoSpaceDE/>
        <w:autoSpaceDN/>
        <w:adjustRightInd/>
        <w:spacing w:after="120"/>
        <w:ind w:firstLineChars="200" w:firstLine="480"/>
        <w:jc w:val="both"/>
        <w:textAlignment w:val="auto"/>
        <w:rPr>
          <w:rFonts w:asciiTheme="minorHAnsi" w:hAnsiTheme="minorHAnsi" w:cstheme="minorHAnsi"/>
          <w:szCs w:val="24"/>
          <w:lang w:eastAsia="zh-CN"/>
        </w:rPr>
      </w:pPr>
      <w:r w:rsidRPr="186B2739">
        <w:rPr>
          <w:lang w:eastAsia="zh-CN"/>
        </w:rPr>
        <w:t>TSDSI</w:t>
      </w:r>
      <w:r w:rsidR="004C733F" w:rsidRPr="00B17C25">
        <w:rPr>
          <w:rFonts w:asciiTheme="minorHAnsi" w:hAnsiTheme="minorHAnsi" w:cstheme="minorHAnsi" w:hint="eastAsia"/>
          <w:szCs w:val="24"/>
          <w:lang w:eastAsia="zh-CN"/>
        </w:rPr>
        <w:t>是由印度业界、学术界、研究实体和印度政府共同建立的一个非营利性自治机构，旨在推动印度的电信标准化活动并在全球论坛上宣传印度</w:t>
      </w:r>
      <w:r w:rsidR="005A782D">
        <w:rPr>
          <w:rFonts w:asciiTheme="minorHAnsi" w:hAnsiTheme="minorHAnsi" w:cstheme="minorHAnsi" w:hint="eastAsia"/>
          <w:szCs w:val="24"/>
          <w:lang w:eastAsia="zh-CN"/>
        </w:rPr>
        <w:t>的关注焦点</w:t>
      </w:r>
      <w:r w:rsidR="004C733F" w:rsidRPr="00B17C25">
        <w:rPr>
          <w:rFonts w:asciiTheme="minorHAnsi" w:hAnsiTheme="minorHAnsi" w:cstheme="minorHAnsi" w:hint="eastAsia"/>
          <w:szCs w:val="24"/>
          <w:lang w:eastAsia="zh-CN"/>
        </w:rPr>
        <w:t>。</w:t>
      </w:r>
      <w:r w:rsidR="004C733F" w:rsidRPr="00B17C25">
        <w:rPr>
          <w:rFonts w:asciiTheme="minorHAnsi" w:hAnsiTheme="minorHAnsi" w:cstheme="minorHAnsi" w:hint="eastAsia"/>
          <w:szCs w:val="24"/>
          <w:lang w:eastAsia="zh-CN"/>
        </w:rPr>
        <w:t>TSDSI</w:t>
      </w:r>
      <w:r w:rsidR="004C733F" w:rsidRPr="00B17C25">
        <w:rPr>
          <w:rFonts w:asciiTheme="minorHAnsi" w:hAnsiTheme="minorHAnsi" w:cstheme="minorHAnsi" w:hint="eastAsia"/>
          <w:szCs w:val="24"/>
          <w:lang w:eastAsia="zh-CN"/>
        </w:rPr>
        <w:t>的成员包括来自许多国家的国际公司和学术</w:t>
      </w:r>
      <w:r w:rsidR="004C733F" w:rsidRPr="00B17C25">
        <w:rPr>
          <w:rFonts w:asciiTheme="minorHAnsi" w:hAnsiTheme="minorHAnsi" w:cstheme="minorHAnsi" w:hint="eastAsia"/>
          <w:szCs w:val="24"/>
          <w:lang w:eastAsia="zh-CN"/>
        </w:rPr>
        <w:t>/</w:t>
      </w:r>
      <w:r w:rsidR="004C733F" w:rsidRPr="00B17C25">
        <w:rPr>
          <w:rFonts w:asciiTheme="minorHAnsi" w:hAnsiTheme="minorHAnsi" w:cstheme="minorHAnsi" w:hint="eastAsia"/>
          <w:szCs w:val="24"/>
          <w:lang w:eastAsia="zh-CN"/>
        </w:rPr>
        <w:t>研究机构。</w:t>
      </w:r>
      <w:r w:rsidR="005A782D" w:rsidRPr="005A782D">
        <w:rPr>
          <w:rFonts w:asciiTheme="minorHAnsi" w:hAnsiTheme="minorHAnsi" w:cstheme="minorHAnsi" w:hint="eastAsia"/>
          <w:szCs w:val="24"/>
          <w:lang w:eastAsia="zh-CN"/>
        </w:rPr>
        <w:t>虽然</w:t>
      </w:r>
      <w:r w:rsidR="005A782D" w:rsidRPr="005A782D">
        <w:rPr>
          <w:rFonts w:asciiTheme="minorHAnsi" w:hAnsiTheme="minorHAnsi" w:cstheme="minorHAnsi" w:hint="eastAsia"/>
          <w:szCs w:val="24"/>
          <w:lang w:eastAsia="zh-CN"/>
        </w:rPr>
        <w:t>TSDSI</w:t>
      </w:r>
      <w:r w:rsidR="005A782D" w:rsidRPr="005A782D">
        <w:rPr>
          <w:rFonts w:asciiTheme="minorHAnsi" w:hAnsiTheme="minorHAnsi" w:cstheme="minorHAnsi" w:hint="eastAsia"/>
          <w:szCs w:val="24"/>
          <w:lang w:eastAsia="zh-CN"/>
        </w:rPr>
        <w:t>在国际</w:t>
      </w:r>
      <w:r w:rsidR="005A782D">
        <w:rPr>
          <w:rFonts w:asciiTheme="minorHAnsi" w:hAnsiTheme="minorHAnsi" w:cstheme="minorHAnsi" w:hint="eastAsia"/>
          <w:szCs w:val="24"/>
          <w:lang w:eastAsia="zh-CN"/>
        </w:rPr>
        <w:t>舞台上（</w:t>
      </w:r>
      <w:r w:rsidR="005A782D" w:rsidRPr="005A782D">
        <w:rPr>
          <w:rFonts w:asciiTheme="minorHAnsi" w:hAnsiTheme="minorHAnsi" w:cstheme="minorHAnsi" w:hint="eastAsia"/>
          <w:szCs w:val="24"/>
          <w:lang w:eastAsia="zh-CN"/>
        </w:rPr>
        <w:t>包括在国际电联</w:t>
      </w:r>
      <w:r w:rsidR="005A782D">
        <w:rPr>
          <w:rFonts w:asciiTheme="minorHAnsi" w:hAnsiTheme="minorHAnsi" w:cstheme="minorHAnsi" w:hint="eastAsia"/>
          <w:szCs w:val="24"/>
          <w:lang w:eastAsia="zh-CN"/>
        </w:rPr>
        <w:t>）</w:t>
      </w:r>
      <w:r w:rsidR="005A782D" w:rsidRPr="005A782D">
        <w:rPr>
          <w:rFonts w:asciiTheme="minorHAnsi" w:hAnsiTheme="minorHAnsi" w:cstheme="minorHAnsi" w:hint="eastAsia"/>
          <w:szCs w:val="24"/>
          <w:lang w:eastAsia="zh-CN"/>
        </w:rPr>
        <w:t>很活跃</w:t>
      </w:r>
      <w:r w:rsidR="005A782D">
        <w:rPr>
          <w:rFonts w:asciiTheme="minorHAnsi" w:hAnsiTheme="minorHAnsi" w:cstheme="minorHAnsi" w:hint="eastAsia"/>
          <w:szCs w:val="24"/>
          <w:lang w:eastAsia="zh-CN"/>
        </w:rPr>
        <w:t>且拥有</w:t>
      </w:r>
      <w:r w:rsidR="005A782D" w:rsidRPr="005A782D">
        <w:rPr>
          <w:rFonts w:asciiTheme="minorHAnsi" w:hAnsiTheme="minorHAnsi" w:cstheme="minorHAnsi" w:hint="eastAsia"/>
          <w:szCs w:val="24"/>
          <w:lang w:eastAsia="zh-CN"/>
        </w:rPr>
        <w:t>有国际成员</w:t>
      </w:r>
      <w:r w:rsidR="005A782D">
        <w:rPr>
          <w:rFonts w:asciiTheme="minorHAnsi" w:hAnsiTheme="minorHAnsi" w:cstheme="minorHAnsi" w:hint="eastAsia"/>
          <w:szCs w:val="24"/>
          <w:lang w:eastAsia="zh-CN"/>
        </w:rPr>
        <w:t>（</w:t>
      </w:r>
      <w:r w:rsidR="005A782D" w:rsidRPr="005A782D">
        <w:rPr>
          <w:rFonts w:asciiTheme="minorHAnsi" w:hAnsiTheme="minorHAnsi" w:cstheme="minorHAnsi" w:hint="eastAsia"/>
          <w:szCs w:val="24"/>
          <w:lang w:eastAsia="zh-CN"/>
        </w:rPr>
        <w:t>主要是</w:t>
      </w:r>
      <w:r w:rsidR="005A782D">
        <w:rPr>
          <w:rFonts w:asciiTheme="minorHAnsi" w:hAnsiTheme="minorHAnsi" w:cstheme="minorHAnsi" w:hint="eastAsia"/>
          <w:szCs w:val="24"/>
          <w:lang w:eastAsia="zh-CN"/>
        </w:rPr>
        <w:t>在各国的分支机构）</w:t>
      </w:r>
      <w:r w:rsidR="005A782D" w:rsidRPr="005A782D">
        <w:rPr>
          <w:rFonts w:asciiTheme="minorHAnsi" w:hAnsiTheme="minorHAnsi" w:cstheme="minorHAnsi" w:hint="eastAsia"/>
          <w:szCs w:val="24"/>
          <w:lang w:eastAsia="zh-CN"/>
        </w:rPr>
        <w:t>，但其成员主要是盈利性公司。此外，</w:t>
      </w:r>
      <w:r w:rsidR="005A782D" w:rsidRPr="005A782D">
        <w:rPr>
          <w:rFonts w:asciiTheme="minorHAnsi" w:hAnsiTheme="minorHAnsi" w:cstheme="minorHAnsi" w:hint="eastAsia"/>
          <w:szCs w:val="24"/>
          <w:lang w:eastAsia="zh-CN"/>
        </w:rPr>
        <w:t>TSDSI</w:t>
      </w:r>
      <w:r w:rsidR="005A782D" w:rsidRPr="005A782D">
        <w:rPr>
          <w:rFonts w:asciiTheme="minorHAnsi" w:hAnsiTheme="minorHAnsi" w:cstheme="minorHAnsi" w:hint="eastAsia"/>
          <w:szCs w:val="24"/>
          <w:lang w:eastAsia="zh-CN"/>
        </w:rPr>
        <w:t>是</w:t>
      </w:r>
      <w:r w:rsidR="00C069AC">
        <w:rPr>
          <w:rFonts w:asciiTheme="minorHAnsi" w:hAnsiTheme="minorHAnsi" w:cstheme="minorHAnsi" w:hint="eastAsia"/>
          <w:szCs w:val="24"/>
          <w:lang w:eastAsia="zh-CN"/>
        </w:rPr>
        <w:t>一</w:t>
      </w:r>
      <w:r w:rsidR="005A782D" w:rsidRPr="005A782D">
        <w:rPr>
          <w:rFonts w:asciiTheme="minorHAnsi" w:hAnsiTheme="minorHAnsi" w:cstheme="minorHAnsi" w:hint="eastAsia"/>
          <w:szCs w:val="24"/>
          <w:lang w:eastAsia="zh-CN"/>
        </w:rPr>
        <w:t>个国家实体而</w:t>
      </w:r>
      <w:r>
        <w:rPr>
          <w:rFonts w:asciiTheme="minorHAnsi" w:hAnsiTheme="minorHAnsi" w:cstheme="minorHAnsi" w:hint="eastAsia"/>
          <w:szCs w:val="24"/>
          <w:lang w:eastAsia="zh-CN"/>
        </w:rPr>
        <w:t>非</w:t>
      </w:r>
      <w:r w:rsidR="005A782D" w:rsidRPr="005A782D">
        <w:rPr>
          <w:rFonts w:asciiTheme="minorHAnsi" w:hAnsiTheme="minorHAnsi" w:cstheme="minorHAnsi" w:hint="eastAsia"/>
          <w:szCs w:val="24"/>
          <w:lang w:eastAsia="zh-CN"/>
        </w:rPr>
        <w:t>国际</w:t>
      </w:r>
      <w:r w:rsidR="005A782D" w:rsidRPr="005A782D">
        <w:rPr>
          <w:rFonts w:asciiTheme="minorHAnsi" w:hAnsiTheme="minorHAnsi" w:cstheme="minorHAnsi" w:hint="eastAsia"/>
          <w:szCs w:val="24"/>
          <w:lang w:eastAsia="zh-CN"/>
        </w:rPr>
        <w:t>/</w:t>
      </w:r>
      <w:r w:rsidR="005A782D" w:rsidRPr="005A782D">
        <w:rPr>
          <w:rFonts w:asciiTheme="minorHAnsi" w:hAnsiTheme="minorHAnsi" w:cstheme="minorHAnsi" w:hint="eastAsia"/>
          <w:szCs w:val="24"/>
          <w:lang w:eastAsia="zh-CN"/>
        </w:rPr>
        <w:t>区域</w:t>
      </w:r>
      <w:r w:rsidR="00C069AC">
        <w:rPr>
          <w:rFonts w:asciiTheme="minorHAnsi" w:hAnsiTheme="minorHAnsi" w:cstheme="minorHAnsi" w:hint="eastAsia"/>
          <w:szCs w:val="24"/>
          <w:lang w:eastAsia="zh-CN"/>
        </w:rPr>
        <w:t>性</w:t>
      </w:r>
      <w:r w:rsidR="005A782D" w:rsidRPr="005A782D">
        <w:rPr>
          <w:rFonts w:asciiTheme="minorHAnsi" w:hAnsiTheme="minorHAnsi" w:cstheme="minorHAnsi" w:hint="eastAsia"/>
          <w:szCs w:val="24"/>
          <w:lang w:eastAsia="zh-CN"/>
        </w:rPr>
        <w:t>组织。出于这些原因，秘书处认为，</w:t>
      </w:r>
      <w:r w:rsidR="00C069AC">
        <w:rPr>
          <w:rFonts w:asciiTheme="minorHAnsi" w:hAnsiTheme="minorHAnsi" w:cstheme="minorHAnsi" w:hint="eastAsia"/>
          <w:szCs w:val="24"/>
          <w:lang w:eastAsia="zh-CN"/>
        </w:rPr>
        <w:t>此</w:t>
      </w:r>
      <w:r w:rsidR="005A782D" w:rsidRPr="005A782D">
        <w:rPr>
          <w:rFonts w:asciiTheme="minorHAnsi" w:hAnsiTheme="minorHAnsi" w:cstheme="minorHAnsi" w:hint="eastAsia"/>
          <w:szCs w:val="24"/>
          <w:lang w:eastAsia="zh-CN"/>
        </w:rPr>
        <w:t>实体不符合理事会规定的</w:t>
      </w:r>
      <w:r w:rsidR="00C069AC">
        <w:rPr>
          <w:rFonts w:asciiTheme="minorHAnsi" w:hAnsiTheme="minorHAnsi" w:cstheme="minorHAnsi" w:hint="eastAsia"/>
          <w:szCs w:val="24"/>
          <w:lang w:eastAsia="zh-CN"/>
        </w:rPr>
        <w:t>免缴会费标准</w:t>
      </w:r>
      <w:r w:rsidR="005A782D" w:rsidRPr="005A782D">
        <w:rPr>
          <w:rFonts w:asciiTheme="minorHAnsi" w:hAnsiTheme="minorHAnsi" w:cstheme="minorHAnsi" w:hint="eastAsia"/>
          <w:szCs w:val="24"/>
          <w:lang w:eastAsia="zh-CN"/>
        </w:rPr>
        <w:t>。</w:t>
      </w:r>
    </w:p>
    <w:p w14:paraId="3CC25510" w14:textId="77777777" w:rsidR="004C733F" w:rsidRPr="009B2B06" w:rsidRDefault="004C733F" w:rsidP="004C733F">
      <w:pPr>
        <w:keepNext/>
        <w:keepLines/>
        <w:spacing w:after="120"/>
        <w:rPr>
          <w:rFonts w:asciiTheme="minorHAnsi" w:hAnsiTheme="minorHAnsi" w:cs="Calibri"/>
          <w:lang w:val="en-US"/>
        </w:rPr>
      </w:pPr>
      <w:r>
        <w:rPr>
          <w:rFonts w:asciiTheme="minorHAnsi" w:hAnsiTheme="minorHAnsi" w:cstheme="minorHAnsi"/>
          <w:bCs/>
          <w:lang w:val="en-US"/>
        </w:rPr>
        <w:t>2.3</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4C733F" w14:paraId="30ACE989" w14:textId="77777777" w:rsidTr="00710A02">
        <w:trPr>
          <w:cantSplit/>
          <w:jc w:val="center"/>
        </w:trPr>
        <w:tc>
          <w:tcPr>
            <w:tcW w:w="4331" w:type="dxa"/>
          </w:tcPr>
          <w:p w14:paraId="06462D78" w14:textId="77777777" w:rsidR="004C733F" w:rsidRPr="00E95EEC" w:rsidRDefault="004C733F" w:rsidP="00E95EEC">
            <w:pPr>
              <w:pStyle w:val="Tablehead"/>
            </w:pPr>
            <w:r w:rsidRPr="00E95EEC">
              <w:rPr>
                <w:rFonts w:hint="eastAsia"/>
              </w:rPr>
              <w:t>组织</w:t>
            </w:r>
          </w:p>
        </w:tc>
        <w:tc>
          <w:tcPr>
            <w:tcW w:w="1559" w:type="dxa"/>
          </w:tcPr>
          <w:p w14:paraId="4D4B0239" w14:textId="77777777" w:rsidR="004C733F" w:rsidRPr="00E95EEC" w:rsidRDefault="004C733F" w:rsidP="00E95EEC">
            <w:pPr>
              <w:pStyle w:val="Tablehead"/>
            </w:pPr>
            <w:r w:rsidRPr="00E95EEC">
              <w:rPr>
                <w:rFonts w:hint="eastAsia"/>
              </w:rPr>
              <w:t>部门</w:t>
            </w:r>
          </w:p>
        </w:tc>
        <w:tc>
          <w:tcPr>
            <w:tcW w:w="3325" w:type="dxa"/>
          </w:tcPr>
          <w:p w14:paraId="51A1364C" w14:textId="31DB540A" w:rsidR="004C733F" w:rsidRPr="00E95EEC" w:rsidRDefault="004C733F" w:rsidP="00E95EEC">
            <w:pPr>
              <w:pStyle w:val="Tablehead"/>
            </w:pPr>
            <w:r w:rsidRPr="00FB5FF9">
              <w:rPr>
                <w:rFonts w:hint="eastAsia"/>
              </w:rPr>
              <w:t>建议</w:t>
            </w:r>
          </w:p>
        </w:tc>
      </w:tr>
      <w:tr w:rsidR="004C733F" w14:paraId="37BFC5D4" w14:textId="77777777" w:rsidTr="00710A02">
        <w:trPr>
          <w:cantSplit/>
          <w:trHeight w:val="1254"/>
          <w:jc w:val="center"/>
        </w:trPr>
        <w:tc>
          <w:tcPr>
            <w:tcW w:w="4331" w:type="dxa"/>
            <w:vAlign w:val="center"/>
          </w:tcPr>
          <w:p w14:paraId="74880422" w14:textId="77777777" w:rsidR="004C733F" w:rsidRPr="00E95EEC" w:rsidRDefault="004C733F" w:rsidP="00E95EEC">
            <w:pPr>
              <w:pStyle w:val="TableText0"/>
              <w:spacing w:before="120" w:after="60"/>
              <w:rPr>
                <w:rFonts w:asciiTheme="minorHAnsi" w:hAnsiTheme="minorHAnsi" w:cstheme="minorHAnsi"/>
                <w:b/>
                <w:bCs/>
                <w:iCs/>
                <w:sz w:val="22"/>
                <w:szCs w:val="24"/>
                <w:lang w:val="es-ES_tradnl" w:eastAsia="zh-CN"/>
              </w:rPr>
            </w:pPr>
            <w:bookmarkStart w:id="12" w:name="lt_pId073"/>
            <w:r w:rsidRPr="00E95EEC">
              <w:rPr>
                <w:rFonts w:asciiTheme="minorHAnsi" w:hAnsiTheme="minorHAnsi" w:cstheme="minorHAnsi" w:hint="eastAsia"/>
                <w:b/>
                <w:bCs/>
                <w:iCs/>
                <w:sz w:val="22"/>
                <w:szCs w:val="24"/>
                <w:lang w:val="es-ES_tradnl" w:eastAsia="zh-CN"/>
              </w:rPr>
              <w:t>物联网实验室（</w:t>
            </w:r>
            <w:r w:rsidRPr="00E95EEC">
              <w:rPr>
                <w:rFonts w:asciiTheme="minorHAnsi" w:hAnsiTheme="minorHAnsi" w:cstheme="minorHAnsi"/>
                <w:b/>
                <w:bCs/>
                <w:iCs/>
                <w:sz w:val="22"/>
                <w:szCs w:val="24"/>
                <w:lang w:val="es-ES_tradnl" w:eastAsia="zh-CN"/>
              </w:rPr>
              <w:t>IoT Lab</w:t>
            </w:r>
            <w:bookmarkEnd w:id="12"/>
            <w:r w:rsidRPr="00E95EEC">
              <w:rPr>
                <w:rFonts w:asciiTheme="minorHAnsi" w:hAnsiTheme="minorHAnsi" w:cstheme="minorHAnsi" w:hint="eastAsia"/>
                <w:b/>
                <w:bCs/>
                <w:iCs/>
                <w:sz w:val="22"/>
                <w:szCs w:val="24"/>
                <w:lang w:val="es-ES_tradnl" w:eastAsia="zh-CN"/>
              </w:rPr>
              <w:t>）</w:t>
            </w:r>
          </w:p>
        </w:tc>
        <w:tc>
          <w:tcPr>
            <w:tcW w:w="1559" w:type="dxa"/>
            <w:vAlign w:val="center"/>
          </w:tcPr>
          <w:p w14:paraId="2113849D" w14:textId="77777777" w:rsidR="004C733F" w:rsidRPr="00E95EEC" w:rsidRDefault="004C733F" w:rsidP="00E95EEC">
            <w:pPr>
              <w:pStyle w:val="TableText0"/>
              <w:spacing w:before="0"/>
              <w:jc w:val="center"/>
              <w:rPr>
                <w:rFonts w:asciiTheme="minorHAnsi" w:hAnsiTheme="minorHAnsi" w:cstheme="minorHAnsi"/>
                <w:sz w:val="22"/>
                <w:szCs w:val="24"/>
                <w:lang w:val="fr-CH"/>
              </w:rPr>
            </w:pPr>
            <w:bookmarkStart w:id="13" w:name="lt_pId074"/>
            <w:r w:rsidRPr="00E95EEC">
              <w:rPr>
                <w:rFonts w:asciiTheme="minorHAnsi" w:hAnsiTheme="minorHAnsi" w:cstheme="minorHAnsi"/>
                <w:sz w:val="22"/>
                <w:szCs w:val="24"/>
                <w:lang w:val="fr-CH"/>
              </w:rPr>
              <w:t>ITU-T</w:t>
            </w:r>
            <w:bookmarkEnd w:id="13"/>
          </w:p>
        </w:tc>
        <w:tc>
          <w:tcPr>
            <w:tcW w:w="3325" w:type="dxa"/>
            <w:vAlign w:val="center"/>
          </w:tcPr>
          <w:p w14:paraId="04D3430C" w14:textId="2463C1A8" w:rsidR="004C733F" w:rsidRPr="00E95EEC" w:rsidRDefault="00EB50AA" w:rsidP="00E95EEC">
            <w:pPr>
              <w:pStyle w:val="TableText0"/>
              <w:spacing w:before="0"/>
              <w:jc w:val="center"/>
              <w:rPr>
                <w:rFonts w:asciiTheme="minorHAnsi" w:hAnsiTheme="minorHAnsi" w:cstheme="minorHAnsi"/>
                <w:color w:val="000000" w:themeColor="text1"/>
                <w:sz w:val="22"/>
                <w:szCs w:val="24"/>
                <w:lang w:val="en-US" w:eastAsia="zh-CN"/>
              </w:rPr>
            </w:pPr>
            <w:r w:rsidRPr="00E95EEC">
              <w:rPr>
                <w:rFonts w:asciiTheme="minorHAnsi" w:hAnsiTheme="minorHAnsi" w:hint="eastAsia"/>
                <w:sz w:val="22"/>
                <w:szCs w:val="24"/>
                <w:lang w:val="fr-CH" w:eastAsia="zh-CN"/>
              </w:rPr>
              <w:t>不予免除</w:t>
            </w:r>
          </w:p>
        </w:tc>
      </w:tr>
    </w:tbl>
    <w:p w14:paraId="012EED1C" w14:textId="4C7244D6" w:rsidR="004C733F" w:rsidRDefault="007070F8" w:rsidP="004C733F">
      <w:pPr>
        <w:overflowPunct/>
        <w:autoSpaceDE/>
        <w:autoSpaceDN/>
        <w:adjustRightInd/>
        <w:spacing w:after="120"/>
        <w:ind w:firstLineChars="200" w:firstLine="480"/>
        <w:jc w:val="both"/>
        <w:textAlignment w:val="auto"/>
        <w:rPr>
          <w:rFonts w:asciiTheme="minorHAnsi" w:hAnsiTheme="minorHAnsi" w:cstheme="minorHAnsi"/>
          <w:szCs w:val="24"/>
          <w:lang w:eastAsia="zh-CN"/>
        </w:rPr>
      </w:pPr>
      <w:r w:rsidRPr="007070F8">
        <w:rPr>
          <w:rFonts w:hint="eastAsia"/>
          <w:lang w:eastAsia="zh-CN"/>
        </w:rPr>
        <w:t>根据上文第</w:t>
      </w:r>
      <w:r w:rsidRPr="007070F8">
        <w:rPr>
          <w:rFonts w:hint="eastAsia"/>
          <w:lang w:eastAsia="zh-CN"/>
        </w:rPr>
        <w:t>1.6</w:t>
      </w:r>
      <w:r w:rsidR="00C069AC">
        <w:rPr>
          <w:rFonts w:hint="eastAsia"/>
          <w:lang w:eastAsia="zh-CN"/>
        </w:rPr>
        <w:t>段</w:t>
      </w:r>
      <w:r w:rsidRPr="007070F8">
        <w:rPr>
          <w:rFonts w:hint="eastAsia"/>
          <w:lang w:eastAsia="zh-CN"/>
        </w:rPr>
        <w:t>，理事会</w:t>
      </w:r>
      <w:r w:rsidRPr="007070F8">
        <w:rPr>
          <w:rFonts w:hint="eastAsia"/>
          <w:lang w:eastAsia="zh-CN"/>
        </w:rPr>
        <w:t>2021</w:t>
      </w:r>
      <w:r w:rsidRPr="007070F8">
        <w:rPr>
          <w:rFonts w:hint="eastAsia"/>
          <w:lang w:eastAsia="zh-CN"/>
        </w:rPr>
        <w:t>年和</w:t>
      </w:r>
      <w:r w:rsidRPr="007070F8">
        <w:rPr>
          <w:rFonts w:hint="eastAsia"/>
          <w:lang w:eastAsia="zh-CN"/>
        </w:rPr>
        <w:t>2022</w:t>
      </w:r>
      <w:r w:rsidRPr="007070F8">
        <w:rPr>
          <w:rFonts w:hint="eastAsia"/>
          <w:lang w:eastAsia="zh-CN"/>
        </w:rPr>
        <w:t>年会</w:t>
      </w:r>
      <w:r w:rsidR="00C069AC">
        <w:rPr>
          <w:rFonts w:hint="eastAsia"/>
          <w:lang w:eastAsia="zh-CN"/>
        </w:rPr>
        <w:t>议决定</w:t>
      </w:r>
      <w:r w:rsidRPr="007070F8">
        <w:rPr>
          <w:rFonts w:hint="eastAsia"/>
          <w:lang w:eastAsia="zh-CN"/>
        </w:rPr>
        <w:t>推迟</w:t>
      </w:r>
      <w:r w:rsidR="00C069AC">
        <w:rPr>
          <w:rFonts w:hint="eastAsia"/>
          <w:lang w:eastAsia="zh-CN"/>
        </w:rPr>
        <w:t>批准此</w:t>
      </w:r>
      <w:r w:rsidRPr="007070F8">
        <w:rPr>
          <w:rFonts w:hint="eastAsia"/>
          <w:lang w:eastAsia="zh-CN"/>
        </w:rPr>
        <w:t>请求，以待进一步</w:t>
      </w:r>
      <w:r w:rsidR="00C069AC">
        <w:rPr>
          <w:rFonts w:hint="eastAsia"/>
          <w:lang w:eastAsia="zh-CN"/>
        </w:rPr>
        <w:t>磋</w:t>
      </w:r>
      <w:r w:rsidRPr="007070F8">
        <w:rPr>
          <w:rFonts w:hint="eastAsia"/>
          <w:lang w:eastAsia="zh-CN"/>
        </w:rPr>
        <w:t>商</w:t>
      </w:r>
      <w:r w:rsidR="00C069AC">
        <w:rPr>
          <w:rFonts w:hint="eastAsia"/>
          <w:lang w:eastAsia="zh-CN"/>
        </w:rPr>
        <w:t>、</w:t>
      </w:r>
      <w:r w:rsidRPr="007070F8">
        <w:rPr>
          <w:rFonts w:hint="eastAsia"/>
          <w:lang w:eastAsia="zh-CN"/>
        </w:rPr>
        <w:t>研究</w:t>
      </w:r>
      <w:r w:rsidR="00C069AC">
        <w:rPr>
          <w:rFonts w:hint="eastAsia"/>
          <w:lang w:eastAsia="zh-CN"/>
        </w:rPr>
        <w:t>并</w:t>
      </w:r>
      <w:r w:rsidRPr="007070F8">
        <w:rPr>
          <w:rFonts w:hint="eastAsia"/>
          <w:lang w:eastAsia="zh-CN"/>
        </w:rPr>
        <w:t>对所有</w:t>
      </w:r>
      <w:r w:rsidR="005A782D">
        <w:rPr>
          <w:rFonts w:hint="eastAsia"/>
          <w:lang w:eastAsia="zh-CN"/>
        </w:rPr>
        <w:t>免予缴费</w:t>
      </w:r>
      <w:r w:rsidR="00C069AC">
        <w:rPr>
          <w:rFonts w:hint="eastAsia"/>
          <w:lang w:eastAsia="zh-CN"/>
        </w:rPr>
        <w:t>的</w:t>
      </w:r>
      <w:r w:rsidR="005A782D">
        <w:rPr>
          <w:rFonts w:hint="eastAsia"/>
          <w:lang w:eastAsia="zh-CN"/>
        </w:rPr>
        <w:t>实体</w:t>
      </w:r>
      <w:r w:rsidR="00C069AC">
        <w:rPr>
          <w:rFonts w:hint="eastAsia"/>
          <w:lang w:eastAsia="zh-CN"/>
        </w:rPr>
        <w:t>进行</w:t>
      </w:r>
      <w:r w:rsidRPr="007070F8">
        <w:rPr>
          <w:rFonts w:hint="eastAsia"/>
          <w:lang w:eastAsia="zh-CN"/>
        </w:rPr>
        <w:t>全面审查。</w:t>
      </w:r>
      <w:r w:rsidR="004C733F">
        <w:rPr>
          <w:rFonts w:cs="Calibri" w:hint="eastAsia"/>
          <w:szCs w:val="24"/>
          <w:lang w:val="en-US" w:eastAsia="zh-CN"/>
        </w:rPr>
        <w:t>物联网实验室</w:t>
      </w:r>
      <w:r w:rsidR="004C733F" w:rsidRPr="00B914A4">
        <w:rPr>
          <w:rFonts w:asciiTheme="minorHAnsi" w:hAnsiTheme="minorHAnsi" w:cstheme="minorHAnsi" w:hint="eastAsia"/>
          <w:color w:val="000000"/>
          <w:lang w:eastAsia="zh-CN"/>
        </w:rPr>
        <w:t>位于瑞士</w:t>
      </w:r>
      <w:r w:rsidR="004C733F">
        <w:rPr>
          <w:rFonts w:asciiTheme="minorHAnsi" w:hAnsiTheme="minorHAnsi" w:cstheme="minorHAnsi" w:hint="eastAsia"/>
          <w:color w:val="000000"/>
          <w:lang w:eastAsia="zh-CN"/>
        </w:rPr>
        <w:t>，</w:t>
      </w:r>
      <w:r w:rsidR="004C733F">
        <w:rPr>
          <w:rFonts w:cs="Calibri" w:hint="eastAsia"/>
          <w:szCs w:val="24"/>
          <w:lang w:val="en-US" w:eastAsia="zh-CN"/>
        </w:rPr>
        <w:t>是一个物联网服务和资源的国际性平台，汇集了物联网服务、隐私和安全、</w:t>
      </w:r>
      <w:r w:rsidR="004C733F" w:rsidRPr="00B914A4">
        <w:rPr>
          <w:rFonts w:asciiTheme="minorHAnsi" w:hAnsiTheme="minorHAnsi" w:cstheme="minorHAnsi" w:hint="eastAsia"/>
          <w:color w:val="000000"/>
          <w:lang w:eastAsia="zh-CN"/>
        </w:rPr>
        <w:t>测试实验室、技术转让、可持续发展目标</w:t>
      </w:r>
      <w:r w:rsidR="00C069AC">
        <w:rPr>
          <w:rFonts w:asciiTheme="minorHAnsi" w:hAnsiTheme="minorHAnsi" w:cstheme="minorHAnsi" w:hint="eastAsia"/>
          <w:color w:val="000000"/>
          <w:lang w:eastAsia="zh-CN"/>
        </w:rPr>
        <w:t>（</w:t>
      </w:r>
      <w:r w:rsidR="00C069AC">
        <w:rPr>
          <w:rFonts w:asciiTheme="minorHAnsi" w:hAnsiTheme="minorHAnsi" w:cstheme="minorHAnsi" w:hint="eastAsia"/>
          <w:color w:val="000000"/>
          <w:lang w:eastAsia="zh-CN"/>
        </w:rPr>
        <w:t>S</w:t>
      </w:r>
      <w:r w:rsidR="00C069AC">
        <w:rPr>
          <w:rFonts w:asciiTheme="minorHAnsi" w:hAnsiTheme="minorHAnsi" w:cstheme="minorHAnsi"/>
          <w:color w:val="000000"/>
          <w:lang w:eastAsia="zh-CN"/>
        </w:rPr>
        <w:t>DG</w:t>
      </w:r>
      <w:r w:rsidR="00C069AC">
        <w:rPr>
          <w:rFonts w:asciiTheme="minorHAnsi" w:hAnsiTheme="minorHAnsi" w:cstheme="minorHAnsi" w:hint="eastAsia"/>
          <w:color w:val="000000"/>
          <w:lang w:eastAsia="zh-CN"/>
        </w:rPr>
        <w:t>）</w:t>
      </w:r>
      <w:r w:rsidR="004C733F" w:rsidRPr="00B914A4">
        <w:rPr>
          <w:rFonts w:asciiTheme="minorHAnsi" w:hAnsiTheme="minorHAnsi" w:cstheme="minorHAnsi" w:hint="eastAsia"/>
          <w:color w:val="000000"/>
          <w:lang w:eastAsia="zh-CN"/>
        </w:rPr>
        <w:t>和网络与社区</w:t>
      </w:r>
      <w:r w:rsidR="004C733F">
        <w:rPr>
          <w:rFonts w:cs="Calibri" w:hint="eastAsia"/>
          <w:szCs w:val="24"/>
          <w:lang w:val="en-US" w:eastAsia="zh-CN"/>
        </w:rPr>
        <w:t>。</w:t>
      </w:r>
      <w:r w:rsidRPr="007070F8">
        <w:rPr>
          <w:rFonts w:asciiTheme="minorHAnsi" w:hAnsiTheme="minorHAnsi" w:cstheme="minorHAnsi" w:hint="eastAsia"/>
          <w:szCs w:val="24"/>
          <w:lang w:eastAsia="zh-CN"/>
        </w:rPr>
        <w:t>秘书处认为，虽然</w:t>
      </w:r>
      <w:r w:rsidR="00C069AC">
        <w:rPr>
          <w:rFonts w:asciiTheme="minorHAnsi" w:hAnsiTheme="minorHAnsi" w:cstheme="minorHAnsi" w:hint="eastAsia"/>
          <w:szCs w:val="24"/>
          <w:lang w:eastAsia="zh-CN"/>
        </w:rPr>
        <w:t>此实验室</w:t>
      </w:r>
      <w:r w:rsidRPr="007070F8">
        <w:rPr>
          <w:rFonts w:asciiTheme="minorHAnsi" w:hAnsiTheme="minorHAnsi" w:cstheme="minorHAnsi" w:hint="eastAsia"/>
          <w:szCs w:val="24"/>
          <w:lang w:eastAsia="zh-CN"/>
        </w:rPr>
        <w:t>有国际伙伴，但</w:t>
      </w:r>
      <w:r w:rsidR="0059080E">
        <w:rPr>
          <w:rFonts w:asciiTheme="minorHAnsi" w:hAnsiTheme="minorHAnsi" w:cstheme="minorHAnsi" w:hint="eastAsia"/>
          <w:szCs w:val="24"/>
          <w:lang w:eastAsia="zh-CN"/>
        </w:rPr>
        <w:t>由于该实体并非成</w:t>
      </w:r>
      <w:r w:rsidR="0059080E" w:rsidRPr="007070F8">
        <w:rPr>
          <w:rFonts w:asciiTheme="minorHAnsi" w:hAnsiTheme="minorHAnsi" w:cstheme="minorHAnsi" w:hint="eastAsia"/>
          <w:szCs w:val="24"/>
          <w:lang w:eastAsia="zh-CN"/>
        </w:rPr>
        <w:t>员制组织</w:t>
      </w:r>
      <w:r w:rsidR="0059080E">
        <w:rPr>
          <w:rFonts w:asciiTheme="minorHAnsi" w:hAnsiTheme="minorHAnsi" w:cstheme="minorHAnsi" w:hint="eastAsia"/>
          <w:szCs w:val="24"/>
          <w:lang w:eastAsia="zh-CN"/>
        </w:rPr>
        <w:t>，因此</w:t>
      </w:r>
      <w:r w:rsidRPr="007070F8">
        <w:rPr>
          <w:rFonts w:asciiTheme="minorHAnsi" w:hAnsiTheme="minorHAnsi" w:cstheme="minorHAnsi" w:hint="eastAsia"/>
          <w:szCs w:val="24"/>
          <w:lang w:eastAsia="zh-CN"/>
        </w:rPr>
        <w:t>不符合</w:t>
      </w:r>
      <w:r w:rsidR="00C069AC">
        <w:rPr>
          <w:rFonts w:asciiTheme="minorHAnsi" w:hAnsiTheme="minorHAnsi" w:cstheme="minorHAnsi" w:hint="eastAsia"/>
          <w:szCs w:val="24"/>
          <w:lang w:eastAsia="zh-CN"/>
        </w:rPr>
        <w:t>免予缴费的</w:t>
      </w:r>
      <w:r w:rsidRPr="007070F8">
        <w:rPr>
          <w:rFonts w:asciiTheme="minorHAnsi" w:hAnsiTheme="minorHAnsi" w:cstheme="minorHAnsi" w:hint="eastAsia"/>
          <w:szCs w:val="24"/>
          <w:lang w:eastAsia="zh-CN"/>
        </w:rPr>
        <w:t>标准。</w:t>
      </w:r>
    </w:p>
    <w:p w14:paraId="606CE424" w14:textId="77777777" w:rsidR="004C733F" w:rsidRPr="006D5E09" w:rsidRDefault="004C733F" w:rsidP="004C733F">
      <w:pPr>
        <w:spacing w:after="120"/>
        <w:rPr>
          <w:rFonts w:cs="Calibri"/>
          <w:lang w:val="en-US"/>
        </w:rPr>
      </w:pPr>
      <w:r w:rsidRPr="006D5E09">
        <w:rPr>
          <w:rFonts w:cs="Calibri"/>
          <w:lang w:val="en-US"/>
        </w:rPr>
        <w:t>2.4</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4C733F" w:rsidRPr="006D5E09" w14:paraId="508837D1" w14:textId="77777777" w:rsidTr="00710A02">
        <w:trPr>
          <w:cantSplit/>
          <w:jc w:val="center"/>
        </w:trPr>
        <w:tc>
          <w:tcPr>
            <w:tcW w:w="4331" w:type="dxa"/>
          </w:tcPr>
          <w:p w14:paraId="4C792667" w14:textId="4AFDABB4" w:rsidR="004C733F" w:rsidRPr="006D5E09" w:rsidRDefault="007070F8" w:rsidP="00E95EEC">
            <w:pPr>
              <w:pStyle w:val="Tablehead"/>
              <w:rPr>
                <w:lang w:val="en-US"/>
              </w:rPr>
            </w:pPr>
            <w:r>
              <w:rPr>
                <w:rFonts w:hint="eastAsia"/>
                <w:lang w:val="en-US" w:eastAsia="zh-CN"/>
              </w:rPr>
              <w:t>组织</w:t>
            </w:r>
          </w:p>
        </w:tc>
        <w:tc>
          <w:tcPr>
            <w:tcW w:w="1559" w:type="dxa"/>
          </w:tcPr>
          <w:p w14:paraId="5EC3086B" w14:textId="148B0591" w:rsidR="004C733F" w:rsidRPr="006D5E09" w:rsidRDefault="007070F8" w:rsidP="00E95EEC">
            <w:pPr>
              <w:pStyle w:val="Tablehead"/>
              <w:rPr>
                <w:lang w:val="en-US"/>
              </w:rPr>
            </w:pPr>
            <w:r>
              <w:rPr>
                <w:rFonts w:hint="eastAsia"/>
                <w:lang w:val="en-US" w:eastAsia="zh-CN"/>
              </w:rPr>
              <w:t>部门</w:t>
            </w:r>
          </w:p>
        </w:tc>
        <w:tc>
          <w:tcPr>
            <w:tcW w:w="3325" w:type="dxa"/>
          </w:tcPr>
          <w:p w14:paraId="1EF5A358" w14:textId="5A4F9FF7" w:rsidR="004C733F" w:rsidRPr="002E1BDF" w:rsidRDefault="007070F8" w:rsidP="00E95EEC">
            <w:pPr>
              <w:pStyle w:val="Tablehead"/>
              <w:rPr>
                <w:lang w:val="en-US"/>
              </w:rPr>
            </w:pPr>
            <w:r>
              <w:rPr>
                <w:rFonts w:hint="eastAsia"/>
                <w:lang w:val="en-US" w:eastAsia="zh-CN"/>
              </w:rPr>
              <w:t>建议</w:t>
            </w:r>
          </w:p>
        </w:tc>
      </w:tr>
      <w:tr w:rsidR="004C733F" w:rsidRPr="006D5E09" w14:paraId="7F9F8C69" w14:textId="77777777" w:rsidTr="00710A02">
        <w:trPr>
          <w:cantSplit/>
          <w:jc w:val="center"/>
        </w:trPr>
        <w:tc>
          <w:tcPr>
            <w:tcW w:w="4331" w:type="dxa"/>
            <w:vAlign w:val="center"/>
          </w:tcPr>
          <w:p w14:paraId="14D22665" w14:textId="663DB15F" w:rsidR="004C733F" w:rsidRPr="00E95EEC" w:rsidRDefault="004C733F" w:rsidP="00E95EEC">
            <w:pPr>
              <w:pStyle w:val="TableText0"/>
              <w:spacing w:before="120" w:after="60"/>
              <w:rPr>
                <w:rFonts w:asciiTheme="minorHAnsi" w:hAnsiTheme="minorHAnsi" w:cstheme="minorHAnsi"/>
                <w:b/>
                <w:bCs/>
                <w:iCs/>
                <w:sz w:val="22"/>
                <w:szCs w:val="24"/>
                <w:lang w:val="es-ES_tradnl"/>
              </w:rPr>
            </w:pPr>
            <w:r w:rsidRPr="00E95EEC">
              <w:rPr>
                <w:rFonts w:asciiTheme="minorHAnsi" w:hAnsiTheme="minorHAnsi" w:cstheme="minorHAnsi"/>
                <w:b/>
                <w:bCs/>
                <w:iCs/>
                <w:sz w:val="22"/>
                <w:szCs w:val="24"/>
                <w:lang w:val="es-ES_tradnl"/>
              </w:rPr>
              <w:t>Feynman</w:t>
            </w:r>
            <w:r w:rsidR="00C069AC" w:rsidRPr="00E95EEC">
              <w:rPr>
                <w:rFonts w:asciiTheme="minorHAnsi" w:hAnsiTheme="minorHAnsi" w:cstheme="minorHAnsi" w:hint="eastAsia"/>
                <w:b/>
                <w:bCs/>
                <w:iCs/>
                <w:sz w:val="22"/>
                <w:szCs w:val="24"/>
                <w:lang w:val="es-ES_tradnl" w:eastAsia="zh-CN"/>
              </w:rPr>
              <w:t>基金会</w:t>
            </w:r>
          </w:p>
        </w:tc>
        <w:tc>
          <w:tcPr>
            <w:tcW w:w="1559" w:type="dxa"/>
            <w:vAlign w:val="center"/>
          </w:tcPr>
          <w:p w14:paraId="5D179F85" w14:textId="77777777" w:rsidR="004C733F" w:rsidRPr="00E95EEC" w:rsidRDefault="004C733F" w:rsidP="00E95EEC">
            <w:pPr>
              <w:pStyle w:val="TableText0"/>
              <w:spacing w:before="0"/>
              <w:jc w:val="center"/>
              <w:rPr>
                <w:rFonts w:asciiTheme="minorHAnsi" w:hAnsiTheme="minorHAnsi" w:cstheme="minorHAnsi"/>
                <w:sz w:val="22"/>
                <w:szCs w:val="24"/>
                <w:lang w:val="fr-CH"/>
              </w:rPr>
            </w:pPr>
            <w:r w:rsidRPr="00E95EEC">
              <w:rPr>
                <w:rFonts w:asciiTheme="minorHAnsi" w:hAnsiTheme="minorHAnsi" w:cstheme="minorHAnsi"/>
                <w:sz w:val="22"/>
                <w:szCs w:val="24"/>
                <w:lang w:val="fr-CH"/>
              </w:rPr>
              <w:t>ITU-T</w:t>
            </w:r>
          </w:p>
        </w:tc>
        <w:tc>
          <w:tcPr>
            <w:tcW w:w="3325" w:type="dxa"/>
            <w:vAlign w:val="center"/>
          </w:tcPr>
          <w:p w14:paraId="6E4F9F4F" w14:textId="43951FF6" w:rsidR="004C733F" w:rsidRPr="00E95EEC" w:rsidRDefault="00EB50AA" w:rsidP="00E95EEC">
            <w:pPr>
              <w:pStyle w:val="TableText0"/>
              <w:spacing w:before="0"/>
              <w:jc w:val="center"/>
              <w:rPr>
                <w:rFonts w:asciiTheme="minorHAnsi" w:hAnsiTheme="minorHAnsi"/>
                <w:color w:val="000000" w:themeColor="text1"/>
                <w:sz w:val="22"/>
                <w:lang w:val="en-US"/>
              </w:rPr>
            </w:pPr>
            <w:r w:rsidRPr="00E95EEC">
              <w:rPr>
                <w:rFonts w:asciiTheme="minorHAnsi" w:hAnsiTheme="minorHAnsi" w:hint="eastAsia"/>
                <w:sz w:val="22"/>
                <w:szCs w:val="24"/>
                <w:lang w:val="fr-CH" w:eastAsia="zh-CN"/>
              </w:rPr>
              <w:t>不予免除</w:t>
            </w:r>
          </w:p>
        </w:tc>
      </w:tr>
    </w:tbl>
    <w:p w14:paraId="26DA9BF2" w14:textId="033576EC" w:rsidR="004C733F" w:rsidRPr="006D5E09" w:rsidRDefault="007070F8" w:rsidP="0059080E">
      <w:pPr>
        <w:overflowPunct/>
        <w:autoSpaceDE/>
        <w:autoSpaceDN/>
        <w:adjustRightInd/>
        <w:spacing w:after="120"/>
        <w:ind w:firstLineChars="200" w:firstLine="480"/>
        <w:jc w:val="both"/>
        <w:textAlignment w:val="auto"/>
        <w:rPr>
          <w:rFonts w:cs="Calibri"/>
          <w:lang w:val="en-US" w:eastAsia="zh-CN"/>
        </w:rPr>
      </w:pPr>
      <w:r w:rsidRPr="007070F8">
        <w:rPr>
          <w:rFonts w:hint="eastAsia"/>
          <w:color w:val="000000" w:themeColor="text1"/>
          <w:lang w:eastAsia="zh-CN"/>
        </w:rPr>
        <w:t>总部设在比利时的</w:t>
      </w:r>
      <w:r w:rsidR="00C069AC" w:rsidRPr="186B2739">
        <w:rPr>
          <w:rFonts w:cs="Calibri"/>
          <w:lang w:val="en-US" w:eastAsia="zh-CN"/>
        </w:rPr>
        <w:t>Feynman</w:t>
      </w:r>
      <w:r w:rsidRPr="007070F8">
        <w:rPr>
          <w:rFonts w:hint="eastAsia"/>
          <w:color w:val="000000" w:themeColor="text1"/>
          <w:lang w:eastAsia="zh-CN"/>
        </w:rPr>
        <w:t>基金会</w:t>
      </w:r>
      <w:r w:rsidR="00C069AC">
        <w:rPr>
          <w:rFonts w:hint="eastAsia"/>
          <w:color w:val="000000" w:themeColor="text1"/>
          <w:lang w:eastAsia="zh-CN"/>
        </w:rPr>
        <w:t>，旨在促进</w:t>
      </w:r>
      <w:r w:rsidRPr="007070F8">
        <w:rPr>
          <w:rFonts w:hint="eastAsia"/>
          <w:color w:val="000000" w:themeColor="text1"/>
          <w:lang w:eastAsia="zh-CN"/>
        </w:rPr>
        <w:t>比利时或</w:t>
      </w:r>
      <w:r w:rsidR="00C069AC">
        <w:rPr>
          <w:rFonts w:hint="eastAsia"/>
          <w:color w:val="000000" w:themeColor="text1"/>
          <w:lang w:eastAsia="zh-CN"/>
        </w:rPr>
        <w:t>他</w:t>
      </w:r>
      <w:r w:rsidRPr="007070F8">
        <w:rPr>
          <w:rFonts w:hint="eastAsia"/>
          <w:color w:val="000000" w:themeColor="text1"/>
          <w:lang w:eastAsia="zh-CN"/>
        </w:rPr>
        <w:t>国</w:t>
      </w:r>
      <w:r w:rsidR="00C069AC">
        <w:rPr>
          <w:rFonts w:hint="eastAsia"/>
          <w:color w:val="000000" w:themeColor="text1"/>
          <w:lang w:eastAsia="zh-CN"/>
        </w:rPr>
        <w:t>的</w:t>
      </w:r>
      <w:r w:rsidRPr="007070F8">
        <w:rPr>
          <w:rFonts w:hint="eastAsia"/>
          <w:color w:val="000000" w:themeColor="text1"/>
          <w:lang w:eastAsia="zh-CN"/>
        </w:rPr>
        <w:t>科学</w:t>
      </w:r>
      <w:r w:rsidR="00C069AC">
        <w:rPr>
          <w:rFonts w:hint="eastAsia"/>
          <w:color w:val="000000" w:themeColor="text1"/>
          <w:lang w:eastAsia="zh-CN"/>
        </w:rPr>
        <w:t>与</w:t>
      </w:r>
      <w:r w:rsidRPr="007070F8">
        <w:rPr>
          <w:rFonts w:hint="eastAsia"/>
          <w:color w:val="000000" w:themeColor="text1"/>
          <w:lang w:eastAsia="zh-CN"/>
        </w:rPr>
        <w:t>量子技术</w:t>
      </w:r>
      <w:r>
        <w:rPr>
          <w:rFonts w:hint="eastAsia"/>
          <w:color w:val="000000" w:themeColor="text1"/>
          <w:lang w:eastAsia="zh-CN"/>
        </w:rPr>
        <w:t>（</w:t>
      </w:r>
      <w:r w:rsidRPr="007070F8">
        <w:rPr>
          <w:rFonts w:hint="eastAsia"/>
          <w:color w:val="000000" w:themeColor="text1"/>
          <w:lang w:eastAsia="zh-CN"/>
        </w:rPr>
        <w:t>包括计算机、电信和量子传感器</w:t>
      </w:r>
      <w:r>
        <w:rPr>
          <w:rFonts w:hint="eastAsia"/>
          <w:color w:val="000000" w:themeColor="text1"/>
          <w:lang w:eastAsia="zh-CN"/>
        </w:rPr>
        <w:t>）</w:t>
      </w:r>
      <w:r w:rsidRPr="007070F8">
        <w:rPr>
          <w:rFonts w:hint="eastAsia"/>
          <w:color w:val="000000" w:themeColor="text1"/>
          <w:lang w:eastAsia="zh-CN"/>
        </w:rPr>
        <w:t>在个人、机构、国家、区域和国际层面的发展。</w:t>
      </w:r>
      <w:r w:rsidR="00C069AC" w:rsidRPr="186B2739">
        <w:rPr>
          <w:rFonts w:cs="Calibri"/>
          <w:lang w:val="en-US" w:eastAsia="zh-CN"/>
        </w:rPr>
        <w:t>Feynman</w:t>
      </w:r>
      <w:r w:rsidRPr="007070F8">
        <w:rPr>
          <w:rFonts w:hint="eastAsia"/>
          <w:color w:val="000000" w:themeColor="text1"/>
          <w:lang w:eastAsia="zh-CN"/>
        </w:rPr>
        <w:t>基金会通过</w:t>
      </w:r>
      <w:r w:rsidR="00C069AC">
        <w:rPr>
          <w:rFonts w:hint="eastAsia"/>
          <w:color w:val="000000" w:themeColor="text1"/>
          <w:lang w:eastAsia="zh-CN"/>
        </w:rPr>
        <w:t>资金</w:t>
      </w:r>
      <w:r w:rsidRPr="007070F8">
        <w:rPr>
          <w:rFonts w:hint="eastAsia"/>
          <w:color w:val="000000" w:themeColor="text1"/>
          <w:lang w:eastAsia="zh-CN"/>
        </w:rPr>
        <w:t>援助、</w:t>
      </w:r>
      <w:r w:rsidR="00C069AC">
        <w:rPr>
          <w:rFonts w:hint="eastAsia"/>
          <w:color w:val="000000" w:themeColor="text1"/>
          <w:lang w:eastAsia="zh-CN"/>
        </w:rPr>
        <w:t>开</w:t>
      </w:r>
      <w:r w:rsidRPr="007070F8">
        <w:rPr>
          <w:rFonts w:hint="eastAsia"/>
          <w:color w:val="000000" w:themeColor="text1"/>
          <w:lang w:eastAsia="zh-CN"/>
        </w:rPr>
        <w:t>放科学</w:t>
      </w:r>
      <w:r w:rsidR="00C069AC">
        <w:rPr>
          <w:rFonts w:hint="eastAsia"/>
          <w:color w:val="000000" w:themeColor="text1"/>
          <w:lang w:eastAsia="zh-CN"/>
        </w:rPr>
        <w:t>技术</w:t>
      </w:r>
      <w:r w:rsidRPr="007070F8">
        <w:rPr>
          <w:rFonts w:hint="eastAsia"/>
          <w:color w:val="000000" w:themeColor="text1"/>
          <w:lang w:eastAsia="zh-CN"/>
        </w:rPr>
        <w:t>、</w:t>
      </w:r>
      <w:r w:rsidR="00C069AC">
        <w:rPr>
          <w:rFonts w:hint="eastAsia"/>
          <w:color w:val="000000" w:themeColor="text1"/>
          <w:lang w:eastAsia="zh-CN"/>
        </w:rPr>
        <w:t>提供</w:t>
      </w:r>
      <w:r w:rsidRPr="007070F8">
        <w:rPr>
          <w:rFonts w:hint="eastAsia"/>
          <w:color w:val="000000" w:themeColor="text1"/>
          <w:lang w:eastAsia="zh-CN"/>
        </w:rPr>
        <w:t>免费软件、开放源代码以及开放硬件</w:t>
      </w:r>
      <w:r w:rsidR="00440DB1">
        <w:rPr>
          <w:rFonts w:hint="eastAsia"/>
          <w:color w:val="000000" w:themeColor="text1"/>
          <w:lang w:eastAsia="zh-CN"/>
        </w:rPr>
        <w:t>为相关方提供</w:t>
      </w:r>
      <w:r w:rsidRPr="007070F8">
        <w:rPr>
          <w:rFonts w:hint="eastAsia"/>
          <w:color w:val="000000" w:themeColor="text1"/>
          <w:lang w:eastAsia="zh-CN"/>
        </w:rPr>
        <w:t>支持</w:t>
      </w:r>
      <w:r w:rsidR="00440DB1">
        <w:rPr>
          <w:rFonts w:hint="eastAsia"/>
          <w:color w:val="000000" w:themeColor="text1"/>
          <w:lang w:eastAsia="zh-CN"/>
        </w:rPr>
        <w:t>，这些硬件是</w:t>
      </w:r>
      <w:r w:rsidR="00440DB1" w:rsidRPr="007070F8">
        <w:rPr>
          <w:rFonts w:hint="eastAsia"/>
          <w:color w:val="000000" w:themeColor="text1"/>
          <w:lang w:eastAsia="zh-CN"/>
        </w:rPr>
        <w:t>基于以下支柱</w:t>
      </w:r>
      <w:r w:rsidR="00440DB1">
        <w:rPr>
          <w:rFonts w:hint="eastAsia"/>
          <w:color w:val="000000" w:themeColor="text1"/>
          <w:lang w:eastAsia="zh-CN"/>
        </w:rPr>
        <w:t>：</w:t>
      </w:r>
      <w:r w:rsidRPr="007070F8">
        <w:rPr>
          <w:rFonts w:hint="eastAsia"/>
          <w:color w:val="000000" w:themeColor="text1"/>
          <w:lang w:eastAsia="zh-CN"/>
        </w:rPr>
        <w:t>免费获取科学和</w:t>
      </w:r>
      <w:r w:rsidRPr="007070F8">
        <w:rPr>
          <w:rFonts w:hint="eastAsia"/>
          <w:color w:val="000000" w:themeColor="text1"/>
          <w:lang w:eastAsia="zh-CN"/>
        </w:rPr>
        <w:t>/</w:t>
      </w:r>
      <w:r w:rsidRPr="007070F8">
        <w:rPr>
          <w:rFonts w:hint="eastAsia"/>
          <w:color w:val="000000" w:themeColor="text1"/>
          <w:lang w:eastAsia="zh-CN"/>
        </w:rPr>
        <w:t>或技术知识；开放科学和</w:t>
      </w:r>
      <w:r w:rsidRPr="007070F8">
        <w:rPr>
          <w:rFonts w:hint="eastAsia"/>
          <w:color w:val="000000" w:themeColor="text1"/>
          <w:lang w:eastAsia="zh-CN"/>
        </w:rPr>
        <w:t>/</w:t>
      </w:r>
      <w:r w:rsidRPr="007070F8">
        <w:rPr>
          <w:rFonts w:hint="eastAsia"/>
          <w:color w:val="000000" w:themeColor="text1"/>
          <w:lang w:eastAsia="zh-CN"/>
        </w:rPr>
        <w:t>或技术基础设施；开放科学和</w:t>
      </w:r>
      <w:r w:rsidRPr="007070F8">
        <w:rPr>
          <w:rFonts w:hint="eastAsia"/>
          <w:color w:val="000000" w:themeColor="text1"/>
          <w:lang w:eastAsia="zh-CN"/>
        </w:rPr>
        <w:t>/</w:t>
      </w:r>
      <w:r w:rsidRPr="007070F8">
        <w:rPr>
          <w:rFonts w:hint="eastAsia"/>
          <w:color w:val="000000" w:themeColor="text1"/>
          <w:lang w:eastAsia="zh-CN"/>
        </w:rPr>
        <w:t>或技术交流；开放</w:t>
      </w:r>
      <w:r w:rsidR="00440DB1" w:rsidRPr="007070F8">
        <w:rPr>
          <w:rFonts w:hint="eastAsia"/>
          <w:color w:val="000000" w:themeColor="text1"/>
          <w:lang w:eastAsia="zh-CN"/>
        </w:rPr>
        <w:t>社会</w:t>
      </w:r>
      <w:r w:rsidRPr="007070F8">
        <w:rPr>
          <w:rFonts w:hint="eastAsia"/>
          <w:color w:val="000000" w:themeColor="text1"/>
          <w:lang w:eastAsia="zh-CN"/>
        </w:rPr>
        <w:t>利益</w:t>
      </w:r>
      <w:r w:rsidR="00440DB1">
        <w:rPr>
          <w:rFonts w:hint="eastAsia"/>
          <w:color w:val="000000" w:themeColor="text1"/>
          <w:lang w:eastAsia="zh-CN"/>
        </w:rPr>
        <w:t>攸关方</w:t>
      </w:r>
      <w:r w:rsidRPr="007070F8">
        <w:rPr>
          <w:rFonts w:hint="eastAsia"/>
          <w:color w:val="000000" w:themeColor="text1"/>
          <w:lang w:eastAsia="zh-CN"/>
        </w:rPr>
        <w:t>的参与；</w:t>
      </w:r>
      <w:r w:rsidR="00440DB1">
        <w:rPr>
          <w:rFonts w:hint="eastAsia"/>
          <w:color w:val="000000" w:themeColor="text1"/>
          <w:lang w:eastAsia="zh-CN"/>
        </w:rPr>
        <w:t>及</w:t>
      </w:r>
      <w:r w:rsidRPr="007070F8">
        <w:rPr>
          <w:rFonts w:hint="eastAsia"/>
          <w:color w:val="000000" w:themeColor="text1"/>
          <w:lang w:eastAsia="zh-CN"/>
        </w:rPr>
        <w:t>与其他知识体系</w:t>
      </w:r>
      <w:r w:rsidR="0059080E">
        <w:rPr>
          <w:rFonts w:hint="eastAsia"/>
          <w:color w:val="000000" w:themeColor="text1"/>
          <w:lang w:eastAsia="zh-CN"/>
        </w:rPr>
        <w:t>成员</w:t>
      </w:r>
      <w:r w:rsidRPr="007070F8">
        <w:rPr>
          <w:rFonts w:hint="eastAsia"/>
          <w:color w:val="000000" w:themeColor="text1"/>
          <w:lang w:eastAsia="zh-CN"/>
        </w:rPr>
        <w:t>展开对话。秘书处认为</w:t>
      </w:r>
      <w:r w:rsidR="0059080E">
        <w:rPr>
          <w:rFonts w:asciiTheme="minorHAnsi" w:hAnsiTheme="minorHAnsi" w:cstheme="minorHAnsi" w:hint="eastAsia"/>
          <w:szCs w:val="24"/>
          <w:lang w:eastAsia="zh-CN"/>
        </w:rPr>
        <w:t>该实体并非成</w:t>
      </w:r>
      <w:r w:rsidR="0059080E" w:rsidRPr="007070F8">
        <w:rPr>
          <w:rFonts w:asciiTheme="minorHAnsi" w:hAnsiTheme="minorHAnsi" w:cstheme="minorHAnsi" w:hint="eastAsia"/>
          <w:szCs w:val="24"/>
          <w:lang w:eastAsia="zh-CN"/>
        </w:rPr>
        <w:t>员制组织</w:t>
      </w:r>
      <w:r w:rsidR="0059080E">
        <w:rPr>
          <w:rFonts w:asciiTheme="minorHAnsi" w:hAnsiTheme="minorHAnsi" w:cstheme="minorHAnsi" w:hint="eastAsia"/>
          <w:szCs w:val="24"/>
          <w:lang w:eastAsia="zh-CN"/>
        </w:rPr>
        <w:t>，因此</w:t>
      </w:r>
      <w:r w:rsidRPr="007070F8">
        <w:rPr>
          <w:rFonts w:hint="eastAsia"/>
          <w:color w:val="000000" w:themeColor="text1"/>
          <w:lang w:eastAsia="zh-CN"/>
        </w:rPr>
        <w:t>不符合理事会规定的</w:t>
      </w:r>
      <w:r w:rsidR="00440DB1">
        <w:rPr>
          <w:rFonts w:hint="eastAsia"/>
          <w:color w:val="000000" w:themeColor="text1"/>
          <w:lang w:eastAsia="zh-CN"/>
        </w:rPr>
        <w:t>免缴会费标准</w:t>
      </w:r>
      <w:r w:rsidR="00440DB1" w:rsidRPr="007070F8">
        <w:rPr>
          <w:rFonts w:asciiTheme="minorHAnsi" w:hAnsiTheme="minorHAnsi" w:cstheme="minorHAnsi" w:hint="eastAsia"/>
          <w:szCs w:val="24"/>
          <w:lang w:eastAsia="zh-CN"/>
        </w:rPr>
        <w:t>。</w:t>
      </w:r>
    </w:p>
    <w:p w14:paraId="2B9D59DF" w14:textId="77777777" w:rsidR="004C733F" w:rsidRPr="006D5E09" w:rsidRDefault="004C733F" w:rsidP="004C733F">
      <w:pPr>
        <w:spacing w:after="120"/>
        <w:rPr>
          <w:rFonts w:cs="Calibri"/>
          <w:lang w:val="en-US"/>
        </w:rPr>
      </w:pPr>
      <w:bookmarkStart w:id="14" w:name="_Hlk129002000"/>
      <w:r w:rsidRPr="006D5E09">
        <w:rPr>
          <w:rFonts w:cs="Calibri"/>
          <w:lang w:val="en-US"/>
        </w:rPr>
        <w:t>2.5</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7070F8" w:rsidRPr="006D5E09" w14:paraId="017B8343" w14:textId="77777777" w:rsidTr="00710A02">
        <w:trPr>
          <w:cantSplit/>
          <w:jc w:val="center"/>
        </w:trPr>
        <w:tc>
          <w:tcPr>
            <w:tcW w:w="4331" w:type="dxa"/>
          </w:tcPr>
          <w:p w14:paraId="4E8D9A60" w14:textId="0A983353" w:rsidR="007070F8" w:rsidRPr="006D5E09" w:rsidRDefault="007070F8" w:rsidP="00E95EEC">
            <w:pPr>
              <w:pStyle w:val="Tablehead"/>
              <w:rPr>
                <w:lang w:val="en-US"/>
              </w:rPr>
            </w:pPr>
            <w:r>
              <w:rPr>
                <w:rFonts w:hint="eastAsia"/>
                <w:lang w:val="en-US" w:eastAsia="zh-CN"/>
              </w:rPr>
              <w:t>组织</w:t>
            </w:r>
          </w:p>
        </w:tc>
        <w:tc>
          <w:tcPr>
            <w:tcW w:w="1559" w:type="dxa"/>
          </w:tcPr>
          <w:p w14:paraId="296830F7" w14:textId="68D98897" w:rsidR="007070F8" w:rsidRPr="006D5E09" w:rsidRDefault="007070F8" w:rsidP="00E95EEC">
            <w:pPr>
              <w:pStyle w:val="Tablehead"/>
              <w:rPr>
                <w:lang w:val="en-US"/>
              </w:rPr>
            </w:pPr>
            <w:r>
              <w:rPr>
                <w:rFonts w:hint="eastAsia"/>
                <w:lang w:val="en-US" w:eastAsia="zh-CN"/>
              </w:rPr>
              <w:t>部门</w:t>
            </w:r>
          </w:p>
        </w:tc>
        <w:tc>
          <w:tcPr>
            <w:tcW w:w="3325" w:type="dxa"/>
          </w:tcPr>
          <w:p w14:paraId="1CE7BE48" w14:textId="3BB89A47" w:rsidR="007070F8" w:rsidRPr="002E1BDF" w:rsidRDefault="007070F8" w:rsidP="00E95EEC">
            <w:pPr>
              <w:pStyle w:val="Tablehead"/>
              <w:rPr>
                <w:lang w:val="en-US"/>
              </w:rPr>
            </w:pPr>
            <w:r>
              <w:rPr>
                <w:rFonts w:hint="eastAsia"/>
                <w:lang w:val="en-US" w:eastAsia="zh-CN"/>
              </w:rPr>
              <w:t>建议</w:t>
            </w:r>
          </w:p>
        </w:tc>
      </w:tr>
      <w:tr w:rsidR="004C733F" w:rsidRPr="006D5E09" w14:paraId="5DF76B31" w14:textId="77777777" w:rsidTr="00710A02">
        <w:trPr>
          <w:cantSplit/>
          <w:jc w:val="center"/>
        </w:trPr>
        <w:tc>
          <w:tcPr>
            <w:tcW w:w="4331" w:type="dxa"/>
            <w:vAlign w:val="center"/>
          </w:tcPr>
          <w:p w14:paraId="7A67502B" w14:textId="29D4BE8F" w:rsidR="004C733F" w:rsidRPr="00E95EEC" w:rsidRDefault="00440DB1" w:rsidP="00E95EEC">
            <w:pPr>
              <w:pStyle w:val="TableText0"/>
              <w:spacing w:before="120" w:after="60"/>
              <w:rPr>
                <w:rFonts w:asciiTheme="minorHAnsi" w:hAnsiTheme="minorHAnsi"/>
                <w:b/>
                <w:bCs/>
                <w:sz w:val="22"/>
                <w:lang w:eastAsia="zh-CN"/>
              </w:rPr>
            </w:pPr>
            <w:r w:rsidRPr="00E95EEC">
              <w:rPr>
                <w:rFonts w:asciiTheme="minorHAnsi" w:hAnsiTheme="minorHAnsi" w:hint="eastAsia"/>
                <w:b/>
                <w:bCs/>
                <w:sz w:val="22"/>
                <w:lang w:eastAsia="zh-CN"/>
              </w:rPr>
              <w:t>利比亚信息技术和电信组织</w:t>
            </w:r>
          </w:p>
        </w:tc>
        <w:tc>
          <w:tcPr>
            <w:tcW w:w="1559" w:type="dxa"/>
            <w:vAlign w:val="center"/>
          </w:tcPr>
          <w:p w14:paraId="687B6F9D" w14:textId="77777777" w:rsidR="004C733F" w:rsidRPr="00E95EEC" w:rsidRDefault="004C733F" w:rsidP="00E95EEC">
            <w:pPr>
              <w:pStyle w:val="TableText0"/>
              <w:spacing w:before="0"/>
              <w:jc w:val="center"/>
              <w:rPr>
                <w:rFonts w:asciiTheme="minorHAnsi" w:hAnsiTheme="minorHAnsi" w:cstheme="minorHAnsi"/>
                <w:sz w:val="22"/>
                <w:szCs w:val="24"/>
                <w:lang w:val="fr-CH"/>
              </w:rPr>
            </w:pPr>
            <w:r w:rsidRPr="00E95EEC">
              <w:rPr>
                <w:rFonts w:asciiTheme="minorHAnsi" w:hAnsiTheme="minorHAnsi" w:cstheme="minorHAnsi"/>
                <w:sz w:val="22"/>
                <w:szCs w:val="24"/>
                <w:lang w:val="fr-CH"/>
              </w:rPr>
              <w:t>ITU-D</w:t>
            </w:r>
          </w:p>
        </w:tc>
        <w:tc>
          <w:tcPr>
            <w:tcW w:w="3325" w:type="dxa"/>
            <w:vAlign w:val="center"/>
          </w:tcPr>
          <w:p w14:paraId="6275D84A" w14:textId="34CB9E65" w:rsidR="004C733F" w:rsidRPr="00E95EEC" w:rsidRDefault="00EB50AA" w:rsidP="00E95EEC">
            <w:pPr>
              <w:pStyle w:val="TableText0"/>
              <w:spacing w:before="0"/>
              <w:jc w:val="center"/>
              <w:rPr>
                <w:rFonts w:asciiTheme="minorHAnsi" w:hAnsiTheme="minorHAnsi"/>
                <w:color w:val="000000" w:themeColor="text1"/>
                <w:sz w:val="22"/>
                <w:lang w:val="en-US"/>
              </w:rPr>
            </w:pPr>
            <w:r w:rsidRPr="00E95EEC">
              <w:rPr>
                <w:rFonts w:asciiTheme="minorHAnsi" w:hAnsiTheme="minorHAnsi" w:hint="eastAsia"/>
                <w:sz w:val="22"/>
                <w:szCs w:val="24"/>
                <w:lang w:val="fr-CH" w:eastAsia="zh-CN"/>
              </w:rPr>
              <w:t>不予免除</w:t>
            </w:r>
          </w:p>
        </w:tc>
      </w:tr>
    </w:tbl>
    <w:bookmarkEnd w:id="14"/>
    <w:p w14:paraId="77D82E9C" w14:textId="10D2D4AC" w:rsidR="004C733F" w:rsidRPr="006D5E09" w:rsidRDefault="00EB50AA" w:rsidP="0059080E">
      <w:pPr>
        <w:overflowPunct/>
        <w:autoSpaceDE/>
        <w:autoSpaceDN/>
        <w:adjustRightInd/>
        <w:spacing w:after="120"/>
        <w:ind w:firstLineChars="200" w:firstLine="480"/>
        <w:jc w:val="both"/>
        <w:textAlignment w:val="auto"/>
        <w:rPr>
          <w:color w:val="000000"/>
          <w:lang w:eastAsia="zh-CN"/>
        </w:rPr>
      </w:pPr>
      <w:r w:rsidRPr="00EB50AA">
        <w:rPr>
          <w:rFonts w:hint="eastAsia"/>
          <w:color w:val="000000" w:themeColor="text1"/>
          <w:lang w:eastAsia="zh-CN"/>
        </w:rPr>
        <w:t>利比亚信息技术和电信组织是一个设在利比亚的非营利民间社会组织，</w:t>
      </w:r>
      <w:r w:rsidR="0059080E">
        <w:rPr>
          <w:rFonts w:hint="eastAsia"/>
          <w:color w:val="000000" w:themeColor="text1"/>
          <w:lang w:eastAsia="zh-CN"/>
        </w:rPr>
        <w:t>其目标是成为联系</w:t>
      </w:r>
      <w:r w:rsidR="00440DB1" w:rsidRPr="00EB50AA">
        <w:rPr>
          <w:rFonts w:hint="eastAsia"/>
          <w:color w:val="000000" w:themeColor="text1"/>
          <w:lang w:eastAsia="zh-CN"/>
        </w:rPr>
        <w:t>公众、公司、政府和</w:t>
      </w:r>
      <w:r w:rsidR="00440DB1">
        <w:rPr>
          <w:rFonts w:hint="eastAsia"/>
          <w:color w:val="000000" w:themeColor="text1"/>
          <w:lang w:eastAsia="zh-CN"/>
        </w:rPr>
        <w:t>各</w:t>
      </w:r>
      <w:r w:rsidR="00440DB1" w:rsidRPr="00EB50AA">
        <w:rPr>
          <w:rFonts w:hint="eastAsia"/>
          <w:color w:val="000000" w:themeColor="text1"/>
          <w:lang w:eastAsia="zh-CN"/>
        </w:rPr>
        <w:t>部委</w:t>
      </w:r>
      <w:r w:rsidR="00440DB1">
        <w:rPr>
          <w:rFonts w:hint="eastAsia"/>
          <w:color w:val="000000" w:themeColor="text1"/>
          <w:lang w:eastAsia="zh-CN"/>
        </w:rPr>
        <w:t>等各社会</w:t>
      </w:r>
      <w:r w:rsidRPr="00EB50AA">
        <w:rPr>
          <w:rFonts w:hint="eastAsia"/>
          <w:color w:val="000000" w:themeColor="text1"/>
          <w:lang w:eastAsia="zh-CN"/>
        </w:rPr>
        <w:t>利益攸关方</w:t>
      </w:r>
      <w:r w:rsidR="00440DB1">
        <w:rPr>
          <w:rFonts w:hint="eastAsia"/>
          <w:color w:val="000000" w:themeColor="text1"/>
          <w:lang w:eastAsia="zh-CN"/>
        </w:rPr>
        <w:t>的纽带</w:t>
      </w:r>
      <w:r w:rsidRPr="00EB50AA">
        <w:rPr>
          <w:rFonts w:hint="eastAsia"/>
          <w:color w:val="000000" w:themeColor="text1"/>
          <w:lang w:eastAsia="zh-CN"/>
        </w:rPr>
        <w:t>。秘书处认为</w:t>
      </w:r>
      <w:r w:rsidR="0059080E">
        <w:rPr>
          <w:rFonts w:hint="eastAsia"/>
          <w:color w:val="000000" w:themeColor="text1"/>
          <w:lang w:eastAsia="zh-CN"/>
        </w:rPr>
        <w:t>该实体</w:t>
      </w:r>
      <w:r w:rsidR="0059080E" w:rsidRPr="00EB50AA">
        <w:rPr>
          <w:rFonts w:hint="eastAsia"/>
          <w:color w:val="000000" w:themeColor="text1"/>
          <w:lang w:eastAsia="zh-CN"/>
        </w:rPr>
        <w:t>是一个国家实体</w:t>
      </w:r>
      <w:r w:rsidR="0059080E">
        <w:rPr>
          <w:rFonts w:hint="eastAsia"/>
          <w:color w:val="000000" w:themeColor="text1"/>
          <w:lang w:eastAsia="zh-CN"/>
        </w:rPr>
        <w:t>，因此</w:t>
      </w:r>
      <w:r w:rsidRPr="00EB50AA">
        <w:rPr>
          <w:rFonts w:hint="eastAsia"/>
          <w:color w:val="000000" w:themeColor="text1"/>
          <w:lang w:eastAsia="zh-CN"/>
        </w:rPr>
        <w:t>不符合理事会规定的</w:t>
      </w:r>
      <w:r w:rsidR="00C069AC">
        <w:rPr>
          <w:rFonts w:hint="eastAsia"/>
          <w:color w:val="000000" w:themeColor="text1"/>
          <w:lang w:eastAsia="zh-CN"/>
        </w:rPr>
        <w:t>免缴会费标准</w:t>
      </w:r>
      <w:r w:rsidRPr="00EB50AA">
        <w:rPr>
          <w:rFonts w:hint="eastAsia"/>
          <w:color w:val="000000" w:themeColor="text1"/>
          <w:lang w:eastAsia="zh-CN"/>
        </w:rPr>
        <w:t>。</w:t>
      </w:r>
    </w:p>
    <w:p w14:paraId="3B810185" w14:textId="77777777" w:rsidR="004C733F" w:rsidRPr="006D5E09" w:rsidRDefault="004C733F" w:rsidP="004C733F">
      <w:pPr>
        <w:spacing w:after="120"/>
        <w:rPr>
          <w:rFonts w:cs="Calibri"/>
          <w:lang w:val="en-US"/>
        </w:rPr>
      </w:pPr>
      <w:r w:rsidRPr="006D5E09">
        <w:rPr>
          <w:rFonts w:cs="Calibri"/>
          <w:lang w:val="en-US"/>
        </w:rPr>
        <w:t>2.6</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7070F8" w:rsidRPr="006D5E09" w14:paraId="2053D4C9" w14:textId="77777777" w:rsidTr="00710A02">
        <w:trPr>
          <w:cantSplit/>
          <w:jc w:val="center"/>
        </w:trPr>
        <w:tc>
          <w:tcPr>
            <w:tcW w:w="4331" w:type="dxa"/>
          </w:tcPr>
          <w:p w14:paraId="5F24260E" w14:textId="1067C65D" w:rsidR="007070F8" w:rsidRPr="006D5E09" w:rsidRDefault="007070F8" w:rsidP="00E95EEC">
            <w:pPr>
              <w:pStyle w:val="Tablehead"/>
              <w:rPr>
                <w:lang w:val="en-US"/>
              </w:rPr>
            </w:pPr>
            <w:r>
              <w:rPr>
                <w:rFonts w:hint="eastAsia"/>
                <w:lang w:val="en-US" w:eastAsia="zh-CN"/>
              </w:rPr>
              <w:lastRenderedPageBreak/>
              <w:t>组织</w:t>
            </w:r>
          </w:p>
        </w:tc>
        <w:tc>
          <w:tcPr>
            <w:tcW w:w="1559" w:type="dxa"/>
          </w:tcPr>
          <w:p w14:paraId="08D4BFA8" w14:textId="20708B15" w:rsidR="007070F8" w:rsidRPr="006D5E09" w:rsidRDefault="007070F8" w:rsidP="00E95EEC">
            <w:pPr>
              <w:pStyle w:val="Tablehead"/>
              <w:rPr>
                <w:lang w:val="en-US"/>
              </w:rPr>
            </w:pPr>
            <w:r>
              <w:rPr>
                <w:rFonts w:hint="eastAsia"/>
                <w:lang w:val="en-US" w:eastAsia="zh-CN"/>
              </w:rPr>
              <w:t>部门</w:t>
            </w:r>
          </w:p>
        </w:tc>
        <w:tc>
          <w:tcPr>
            <w:tcW w:w="3325" w:type="dxa"/>
          </w:tcPr>
          <w:p w14:paraId="1674F7D1" w14:textId="34035D93" w:rsidR="007070F8" w:rsidRPr="002E1BDF" w:rsidRDefault="007070F8" w:rsidP="00E95EEC">
            <w:pPr>
              <w:pStyle w:val="Tablehead"/>
              <w:rPr>
                <w:lang w:val="en-US"/>
              </w:rPr>
            </w:pPr>
            <w:r>
              <w:rPr>
                <w:rFonts w:hint="eastAsia"/>
                <w:lang w:val="en-US" w:eastAsia="zh-CN"/>
              </w:rPr>
              <w:t>建议</w:t>
            </w:r>
          </w:p>
        </w:tc>
      </w:tr>
      <w:tr w:rsidR="004C733F" w:rsidRPr="00E660F6" w14:paraId="2C90D636" w14:textId="77777777" w:rsidTr="00710A02">
        <w:trPr>
          <w:cantSplit/>
          <w:jc w:val="center"/>
        </w:trPr>
        <w:tc>
          <w:tcPr>
            <w:tcW w:w="4331" w:type="dxa"/>
            <w:vAlign w:val="center"/>
          </w:tcPr>
          <w:p w14:paraId="4B16DDEA" w14:textId="6B813E02" w:rsidR="004C733F" w:rsidRPr="00E95EEC" w:rsidRDefault="00082B51" w:rsidP="00E95EEC">
            <w:pPr>
              <w:pStyle w:val="TableText0"/>
              <w:spacing w:before="120" w:after="60"/>
              <w:rPr>
                <w:rFonts w:asciiTheme="minorHAnsi" w:hAnsiTheme="minorHAnsi" w:cstheme="minorHAnsi"/>
                <w:b/>
                <w:bCs/>
                <w:iCs/>
                <w:sz w:val="22"/>
                <w:szCs w:val="24"/>
                <w:lang w:eastAsia="zh-CN"/>
              </w:rPr>
            </w:pPr>
            <w:r w:rsidRPr="00E95EEC">
              <w:rPr>
                <w:rFonts w:asciiTheme="minorHAnsi" w:hAnsiTheme="minorHAnsi" w:cstheme="minorHAnsi" w:hint="eastAsia"/>
                <w:b/>
                <w:bCs/>
                <w:iCs/>
                <w:sz w:val="22"/>
                <w:szCs w:val="24"/>
                <w:lang w:eastAsia="zh-CN"/>
              </w:rPr>
              <w:t>世界工程组织联合会（</w:t>
            </w:r>
            <w:r w:rsidRPr="00E95EEC">
              <w:rPr>
                <w:rFonts w:asciiTheme="minorHAnsi" w:hAnsiTheme="minorHAnsi" w:cstheme="minorHAnsi"/>
                <w:b/>
                <w:bCs/>
                <w:iCs/>
                <w:sz w:val="22"/>
                <w:szCs w:val="24"/>
                <w:lang w:eastAsia="zh-CN"/>
              </w:rPr>
              <w:t>WFEO</w:t>
            </w:r>
            <w:r w:rsidRPr="00E95EEC">
              <w:rPr>
                <w:rFonts w:asciiTheme="minorHAnsi" w:hAnsiTheme="minorHAnsi" w:cstheme="minorHAnsi" w:hint="eastAsia"/>
                <w:b/>
                <w:bCs/>
                <w:iCs/>
                <w:sz w:val="22"/>
                <w:szCs w:val="24"/>
                <w:lang w:eastAsia="zh-CN"/>
              </w:rPr>
              <w:t>）</w:t>
            </w:r>
          </w:p>
        </w:tc>
        <w:tc>
          <w:tcPr>
            <w:tcW w:w="1559" w:type="dxa"/>
            <w:vAlign w:val="center"/>
          </w:tcPr>
          <w:p w14:paraId="474C2B01" w14:textId="77777777" w:rsidR="004C733F" w:rsidRPr="00E95EEC" w:rsidRDefault="004C733F" w:rsidP="00E95EEC">
            <w:pPr>
              <w:pStyle w:val="TableText0"/>
              <w:spacing w:before="0"/>
              <w:jc w:val="center"/>
              <w:rPr>
                <w:rFonts w:asciiTheme="minorHAnsi" w:hAnsiTheme="minorHAnsi" w:cstheme="minorHAnsi"/>
                <w:sz w:val="22"/>
                <w:szCs w:val="24"/>
                <w:lang w:val="fr-CH"/>
              </w:rPr>
            </w:pPr>
            <w:r w:rsidRPr="00E95EEC">
              <w:rPr>
                <w:rFonts w:asciiTheme="minorHAnsi" w:hAnsiTheme="minorHAnsi" w:cstheme="minorHAnsi"/>
                <w:sz w:val="22"/>
                <w:szCs w:val="24"/>
                <w:lang w:val="fr-CH"/>
              </w:rPr>
              <w:t>ITU-R</w:t>
            </w:r>
          </w:p>
          <w:p w14:paraId="501AACC3" w14:textId="77777777" w:rsidR="004C733F" w:rsidRPr="00E95EEC" w:rsidRDefault="004C733F" w:rsidP="00E95EEC">
            <w:pPr>
              <w:pStyle w:val="TableText0"/>
              <w:spacing w:before="0"/>
              <w:jc w:val="center"/>
              <w:rPr>
                <w:rFonts w:asciiTheme="minorHAnsi" w:hAnsiTheme="minorHAnsi" w:cstheme="minorHAnsi"/>
                <w:sz w:val="22"/>
                <w:szCs w:val="24"/>
                <w:lang w:val="fr-CH"/>
              </w:rPr>
            </w:pPr>
            <w:r w:rsidRPr="00E95EEC">
              <w:rPr>
                <w:rFonts w:asciiTheme="minorHAnsi" w:hAnsiTheme="minorHAnsi" w:cstheme="minorHAnsi"/>
                <w:sz w:val="22"/>
                <w:szCs w:val="24"/>
                <w:lang w:val="fr-CH"/>
              </w:rPr>
              <w:t>ITU-T</w:t>
            </w:r>
          </w:p>
          <w:p w14:paraId="2A62A828" w14:textId="77777777" w:rsidR="004C733F" w:rsidRPr="00E95EEC" w:rsidRDefault="004C733F" w:rsidP="00E95EEC">
            <w:pPr>
              <w:pStyle w:val="TableText0"/>
              <w:spacing w:before="0"/>
              <w:jc w:val="center"/>
              <w:rPr>
                <w:rFonts w:asciiTheme="minorHAnsi" w:hAnsiTheme="minorHAnsi" w:cstheme="minorHAnsi"/>
                <w:sz w:val="22"/>
                <w:szCs w:val="24"/>
                <w:lang w:val="fr-CH"/>
              </w:rPr>
            </w:pPr>
            <w:r w:rsidRPr="00E95EEC">
              <w:rPr>
                <w:rFonts w:asciiTheme="minorHAnsi" w:hAnsiTheme="minorHAnsi" w:cstheme="minorHAnsi"/>
                <w:sz w:val="22"/>
                <w:szCs w:val="24"/>
                <w:lang w:val="fr-CH"/>
              </w:rPr>
              <w:t>ITU-D</w:t>
            </w:r>
          </w:p>
        </w:tc>
        <w:tc>
          <w:tcPr>
            <w:tcW w:w="3325" w:type="dxa"/>
            <w:vAlign w:val="center"/>
          </w:tcPr>
          <w:p w14:paraId="2CEFDD05" w14:textId="77777777" w:rsidR="00EB50AA" w:rsidRPr="00E95EEC" w:rsidRDefault="00EB50AA" w:rsidP="00E95EEC">
            <w:pPr>
              <w:pStyle w:val="TableText0"/>
              <w:spacing w:before="0"/>
              <w:jc w:val="center"/>
              <w:rPr>
                <w:rFonts w:asciiTheme="minorHAnsi" w:hAnsiTheme="minorHAnsi"/>
                <w:sz w:val="22"/>
                <w:szCs w:val="24"/>
                <w:lang w:val="fr-CH" w:eastAsia="zh-CN"/>
              </w:rPr>
            </w:pPr>
            <w:r w:rsidRPr="00E95EEC">
              <w:rPr>
                <w:rFonts w:asciiTheme="minorHAnsi" w:hAnsiTheme="minorHAnsi" w:hint="eastAsia"/>
                <w:sz w:val="22"/>
                <w:szCs w:val="24"/>
                <w:lang w:val="fr-CH" w:eastAsia="zh-CN"/>
              </w:rPr>
              <w:t>不予免除</w:t>
            </w:r>
          </w:p>
          <w:p w14:paraId="2FE3AC51" w14:textId="74C10BD5" w:rsidR="004C733F" w:rsidRPr="00E95EEC" w:rsidRDefault="00EB50AA" w:rsidP="00E95EEC">
            <w:pPr>
              <w:pStyle w:val="TableText0"/>
              <w:spacing w:before="0"/>
              <w:jc w:val="center"/>
              <w:rPr>
                <w:rFonts w:asciiTheme="minorHAnsi" w:hAnsiTheme="minorHAnsi"/>
                <w:color w:val="000000" w:themeColor="text1"/>
                <w:sz w:val="22"/>
                <w:lang w:val="fr-FR"/>
              </w:rPr>
            </w:pPr>
            <w:r w:rsidRPr="00E95EEC">
              <w:rPr>
                <w:rFonts w:asciiTheme="minorHAnsi" w:hAnsiTheme="minorHAnsi" w:hint="eastAsia"/>
                <w:sz w:val="22"/>
                <w:szCs w:val="24"/>
                <w:lang w:val="fr-CH" w:eastAsia="zh-CN"/>
              </w:rPr>
              <w:t>予以免除</w:t>
            </w:r>
          </w:p>
          <w:p w14:paraId="4C5679F0" w14:textId="7A9693DB" w:rsidR="004C733F" w:rsidRPr="00E95EEC" w:rsidRDefault="00EB50AA" w:rsidP="00E95EEC">
            <w:pPr>
              <w:pStyle w:val="TableText0"/>
              <w:spacing w:before="0"/>
              <w:jc w:val="center"/>
              <w:rPr>
                <w:rFonts w:asciiTheme="minorHAnsi" w:hAnsiTheme="minorHAnsi"/>
                <w:color w:val="000000" w:themeColor="text1"/>
                <w:sz w:val="22"/>
                <w:lang w:val="fr-FR"/>
              </w:rPr>
            </w:pPr>
            <w:r w:rsidRPr="00E95EEC">
              <w:rPr>
                <w:rFonts w:asciiTheme="minorHAnsi" w:hAnsiTheme="minorHAnsi" w:hint="eastAsia"/>
                <w:sz w:val="22"/>
                <w:szCs w:val="24"/>
                <w:lang w:val="fr-CH" w:eastAsia="zh-CN"/>
              </w:rPr>
              <w:t>予以免除</w:t>
            </w:r>
          </w:p>
        </w:tc>
      </w:tr>
    </w:tbl>
    <w:p w14:paraId="4B76B048" w14:textId="4DC82204" w:rsidR="004C733F" w:rsidRPr="00EB50AA" w:rsidRDefault="00EB50AA" w:rsidP="00912047">
      <w:pPr>
        <w:spacing w:after="120"/>
        <w:ind w:firstLineChars="200" w:firstLine="480"/>
        <w:jc w:val="both"/>
        <w:rPr>
          <w:rFonts w:cs="Calibri"/>
          <w:color w:val="000000" w:themeColor="text1"/>
          <w:lang w:eastAsia="zh-CN"/>
        </w:rPr>
      </w:pPr>
      <w:r w:rsidRPr="00EB50AA">
        <w:rPr>
          <w:rFonts w:cs="Calibri" w:hint="eastAsia"/>
          <w:lang w:eastAsia="zh-CN"/>
        </w:rPr>
        <w:t>世界工程组织联合会</w:t>
      </w:r>
      <w:r>
        <w:rPr>
          <w:rFonts w:cs="Calibri" w:hint="eastAsia"/>
          <w:lang w:eastAsia="zh-CN"/>
        </w:rPr>
        <w:t>（</w:t>
      </w:r>
      <w:r w:rsidRPr="00EB50AA">
        <w:rPr>
          <w:rFonts w:cs="Calibri" w:hint="eastAsia"/>
          <w:lang w:eastAsia="zh-CN"/>
        </w:rPr>
        <w:t>WFEO</w:t>
      </w:r>
      <w:r>
        <w:rPr>
          <w:rFonts w:cs="Calibri" w:hint="eastAsia"/>
          <w:lang w:eastAsia="zh-CN"/>
        </w:rPr>
        <w:t>）</w:t>
      </w:r>
      <w:r w:rsidRPr="00EB50AA">
        <w:rPr>
          <w:rFonts w:cs="Calibri" w:hint="eastAsia"/>
          <w:lang w:eastAsia="zh-CN"/>
        </w:rPr>
        <w:t>是一个非政府</w:t>
      </w:r>
      <w:r w:rsidR="00082B51" w:rsidRPr="00EB50AA">
        <w:rPr>
          <w:rFonts w:cs="Calibri" w:hint="eastAsia"/>
          <w:lang w:eastAsia="zh-CN"/>
        </w:rPr>
        <w:t>国际</w:t>
      </w:r>
      <w:r w:rsidRPr="00EB50AA">
        <w:rPr>
          <w:rFonts w:cs="Calibri" w:hint="eastAsia"/>
          <w:lang w:eastAsia="zh-CN"/>
        </w:rPr>
        <w:t>组织，旨在</w:t>
      </w:r>
      <w:r w:rsidR="00082B51">
        <w:rPr>
          <w:rFonts w:cs="Calibri" w:hint="eastAsia"/>
          <w:lang w:eastAsia="zh-CN"/>
        </w:rPr>
        <w:t>将</w:t>
      </w:r>
      <w:r w:rsidRPr="00EB50AA">
        <w:rPr>
          <w:rFonts w:cs="Calibri" w:hint="eastAsia"/>
          <w:lang w:eastAsia="zh-CN"/>
        </w:rPr>
        <w:t>世界各地的</w:t>
      </w:r>
      <w:r w:rsidR="00082B51">
        <w:rPr>
          <w:rFonts w:cs="Calibri" w:hint="eastAsia"/>
          <w:lang w:eastAsia="zh-CN"/>
        </w:rPr>
        <w:t>跨</w:t>
      </w:r>
      <w:r w:rsidRPr="00EB50AA">
        <w:rPr>
          <w:rFonts w:cs="Calibri" w:hint="eastAsia"/>
          <w:lang w:eastAsia="zh-CN"/>
        </w:rPr>
        <w:t>学科工程协会</w:t>
      </w:r>
      <w:r w:rsidR="00082B51" w:rsidRPr="00EB50AA">
        <w:rPr>
          <w:rFonts w:cs="Calibri" w:hint="eastAsia"/>
          <w:lang w:eastAsia="zh-CN"/>
        </w:rPr>
        <w:t>团结</w:t>
      </w:r>
      <w:r w:rsidR="00082B51">
        <w:rPr>
          <w:rFonts w:cs="Calibri" w:hint="eastAsia"/>
          <w:lang w:eastAsia="zh-CN"/>
        </w:rPr>
        <w:t>在一起</w:t>
      </w:r>
      <w:r w:rsidRPr="00EB50AA">
        <w:rPr>
          <w:rFonts w:cs="Calibri" w:hint="eastAsia"/>
          <w:lang w:eastAsia="zh-CN"/>
        </w:rPr>
        <w:t>。</w:t>
      </w:r>
      <w:r w:rsidRPr="00EB50AA">
        <w:rPr>
          <w:rFonts w:cs="Calibri" w:hint="eastAsia"/>
          <w:lang w:eastAsia="zh-CN"/>
        </w:rPr>
        <w:t>WFEO</w:t>
      </w:r>
      <w:r w:rsidRPr="00EB50AA">
        <w:rPr>
          <w:rFonts w:cs="Calibri" w:hint="eastAsia"/>
          <w:lang w:eastAsia="zh-CN"/>
        </w:rPr>
        <w:t>汇集了来自约</w:t>
      </w:r>
      <w:r w:rsidRPr="00EB50AA">
        <w:rPr>
          <w:rFonts w:cs="Calibri" w:hint="eastAsia"/>
          <w:lang w:eastAsia="zh-CN"/>
        </w:rPr>
        <w:t>100</w:t>
      </w:r>
      <w:r w:rsidRPr="00EB50AA">
        <w:rPr>
          <w:rFonts w:cs="Calibri" w:hint="eastAsia"/>
          <w:lang w:eastAsia="zh-CN"/>
        </w:rPr>
        <w:t>个国家的国家</w:t>
      </w:r>
      <w:r w:rsidR="0059080E">
        <w:rPr>
          <w:rFonts w:cs="Calibri" w:hint="eastAsia"/>
          <w:lang w:eastAsia="zh-CN"/>
        </w:rPr>
        <w:t>级</w:t>
      </w:r>
      <w:r w:rsidRPr="00EB50AA">
        <w:rPr>
          <w:rFonts w:cs="Calibri" w:hint="eastAsia"/>
          <w:lang w:eastAsia="zh-CN"/>
        </w:rPr>
        <w:t>工程机构，</w:t>
      </w:r>
      <w:r w:rsidR="00082B51">
        <w:rPr>
          <w:rFonts w:cs="Calibri" w:hint="eastAsia"/>
          <w:lang w:eastAsia="zh-CN"/>
        </w:rPr>
        <w:t>是</w:t>
      </w:r>
      <w:r w:rsidRPr="00EB50AA">
        <w:rPr>
          <w:rFonts w:cs="Calibri" w:hint="eastAsia"/>
          <w:lang w:eastAsia="zh-CN"/>
        </w:rPr>
        <w:t>3000</w:t>
      </w:r>
      <w:r w:rsidRPr="00EB50AA">
        <w:rPr>
          <w:rFonts w:cs="Calibri" w:hint="eastAsia"/>
          <w:lang w:eastAsia="zh-CN"/>
        </w:rPr>
        <w:t>多万名工程师</w:t>
      </w:r>
      <w:r w:rsidR="00082B51">
        <w:rPr>
          <w:rFonts w:cs="Calibri" w:hint="eastAsia"/>
          <w:lang w:eastAsia="zh-CN"/>
        </w:rPr>
        <w:t>的代言人</w:t>
      </w:r>
      <w:r w:rsidRPr="00EB50AA">
        <w:rPr>
          <w:rFonts w:cs="Calibri" w:hint="eastAsia"/>
          <w:lang w:eastAsia="zh-CN"/>
        </w:rPr>
        <w:t>。秘书处认为，作为一个在世界各地拥有众多科学和技术协会成员的国际组织，</w:t>
      </w:r>
      <w:r w:rsidR="00082B51">
        <w:rPr>
          <w:rFonts w:cs="Calibri" w:hint="eastAsia"/>
          <w:lang w:eastAsia="zh-CN"/>
        </w:rPr>
        <w:t>此</w:t>
      </w:r>
      <w:r w:rsidRPr="00EB50AA">
        <w:rPr>
          <w:rFonts w:cs="Calibri" w:hint="eastAsia"/>
          <w:lang w:eastAsia="zh-CN"/>
        </w:rPr>
        <w:t>实体符合理事会制定的</w:t>
      </w:r>
      <w:r w:rsidR="00082B51">
        <w:rPr>
          <w:rFonts w:hint="eastAsia"/>
          <w:color w:val="000000" w:themeColor="text1"/>
          <w:lang w:eastAsia="zh-CN"/>
        </w:rPr>
        <w:t>免缴会费标准</w:t>
      </w:r>
      <w:r w:rsidR="0059080E">
        <w:rPr>
          <w:rFonts w:cs="Calibri" w:hint="eastAsia"/>
          <w:lang w:eastAsia="zh-CN"/>
        </w:rPr>
        <w:t>且</w:t>
      </w:r>
      <w:r w:rsidRPr="00EB50AA">
        <w:rPr>
          <w:rFonts w:cs="Calibri" w:hint="eastAsia"/>
          <w:lang w:eastAsia="zh-CN"/>
        </w:rPr>
        <w:t>符合</w:t>
      </w:r>
      <w:r w:rsidRPr="00EB50AA">
        <w:rPr>
          <w:rFonts w:cs="Calibri" w:hint="eastAsia"/>
          <w:lang w:eastAsia="zh-CN"/>
        </w:rPr>
        <w:t>ITU-T</w:t>
      </w:r>
      <w:r w:rsidRPr="00EB50AA">
        <w:rPr>
          <w:rFonts w:cs="Calibri" w:hint="eastAsia"/>
          <w:lang w:eastAsia="zh-CN"/>
        </w:rPr>
        <w:t>和</w:t>
      </w:r>
      <w:r w:rsidRPr="00EB50AA">
        <w:rPr>
          <w:rFonts w:cs="Calibri" w:hint="eastAsia"/>
          <w:lang w:eastAsia="zh-CN"/>
        </w:rPr>
        <w:t>ITU-D</w:t>
      </w:r>
      <w:r w:rsidRPr="00EB50AA">
        <w:rPr>
          <w:rFonts w:cs="Calibri" w:hint="eastAsia"/>
          <w:lang w:eastAsia="zh-CN"/>
        </w:rPr>
        <w:t>的互惠原则。然而，尚不清楚该组织作为一个部门成员将如何为</w:t>
      </w:r>
      <w:r w:rsidRPr="00EB50AA">
        <w:rPr>
          <w:rFonts w:cs="Calibri" w:hint="eastAsia"/>
          <w:lang w:eastAsia="zh-CN"/>
        </w:rPr>
        <w:t>ITU-R</w:t>
      </w:r>
      <w:r w:rsidRPr="00EB50AA">
        <w:rPr>
          <w:rFonts w:cs="Calibri" w:hint="eastAsia"/>
          <w:lang w:eastAsia="zh-CN"/>
        </w:rPr>
        <w:t>提供价值，因为</w:t>
      </w:r>
      <w:r w:rsidR="00082B51">
        <w:rPr>
          <w:rFonts w:cs="Calibri" w:hint="eastAsia"/>
          <w:lang w:eastAsia="zh-CN"/>
        </w:rPr>
        <w:t>该组织并未</w:t>
      </w:r>
      <w:r w:rsidRPr="00EB50AA">
        <w:rPr>
          <w:rFonts w:cs="Calibri" w:hint="eastAsia"/>
          <w:lang w:eastAsia="zh-CN"/>
        </w:rPr>
        <w:t>说明</w:t>
      </w:r>
      <w:r w:rsidR="00082B51">
        <w:rPr>
          <w:rFonts w:cs="Calibri" w:hint="eastAsia"/>
          <w:lang w:eastAsia="zh-CN"/>
        </w:rPr>
        <w:t>其</w:t>
      </w:r>
      <w:r w:rsidRPr="00EB50AA">
        <w:rPr>
          <w:rFonts w:cs="Calibri" w:hint="eastAsia"/>
          <w:lang w:eastAsia="zh-CN"/>
        </w:rPr>
        <w:t>是否拥有无线电频谱管理方面的专门知识。</w:t>
      </w:r>
    </w:p>
    <w:p w14:paraId="23558BC1" w14:textId="77777777" w:rsidR="004C733F" w:rsidRPr="006D5E09" w:rsidRDefault="004C733F" w:rsidP="004C733F">
      <w:pPr>
        <w:spacing w:after="120"/>
        <w:jc w:val="both"/>
        <w:rPr>
          <w:sz w:val="23"/>
          <w:szCs w:val="23"/>
        </w:rPr>
      </w:pPr>
      <w:r w:rsidRPr="381D1C48">
        <w:rPr>
          <w:rFonts w:cs="Calibri"/>
          <w:lang w:val="en-US"/>
        </w:rPr>
        <w:t>2.7</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7070F8" w:rsidRPr="006D5E09" w14:paraId="26A67C5F" w14:textId="77777777" w:rsidTr="00710A02">
        <w:trPr>
          <w:cantSplit/>
          <w:jc w:val="center"/>
        </w:trPr>
        <w:tc>
          <w:tcPr>
            <w:tcW w:w="4331" w:type="dxa"/>
          </w:tcPr>
          <w:p w14:paraId="23DF3D89" w14:textId="656DCB1A" w:rsidR="007070F8" w:rsidRPr="006D5E09" w:rsidRDefault="007070F8" w:rsidP="00E95EEC">
            <w:pPr>
              <w:pStyle w:val="Tablehead"/>
              <w:rPr>
                <w:lang w:val="en-US"/>
              </w:rPr>
            </w:pPr>
            <w:r>
              <w:rPr>
                <w:rFonts w:hint="eastAsia"/>
                <w:lang w:val="en-US" w:eastAsia="zh-CN"/>
              </w:rPr>
              <w:t>组织</w:t>
            </w:r>
          </w:p>
        </w:tc>
        <w:tc>
          <w:tcPr>
            <w:tcW w:w="1559" w:type="dxa"/>
          </w:tcPr>
          <w:p w14:paraId="4648831E" w14:textId="1826B3D1" w:rsidR="007070F8" w:rsidRPr="006D5E09" w:rsidRDefault="007070F8" w:rsidP="00E95EEC">
            <w:pPr>
              <w:pStyle w:val="Tablehead"/>
              <w:rPr>
                <w:lang w:val="en-US"/>
              </w:rPr>
            </w:pPr>
            <w:r>
              <w:rPr>
                <w:rFonts w:hint="eastAsia"/>
                <w:lang w:val="en-US" w:eastAsia="zh-CN"/>
              </w:rPr>
              <w:t>部门</w:t>
            </w:r>
          </w:p>
        </w:tc>
        <w:tc>
          <w:tcPr>
            <w:tcW w:w="3325" w:type="dxa"/>
          </w:tcPr>
          <w:p w14:paraId="7601304A" w14:textId="0029AAB2" w:rsidR="007070F8" w:rsidRPr="002E1BDF" w:rsidRDefault="007070F8" w:rsidP="00E95EEC">
            <w:pPr>
              <w:pStyle w:val="Tablehead"/>
              <w:rPr>
                <w:lang w:val="en-US"/>
              </w:rPr>
            </w:pPr>
            <w:r>
              <w:rPr>
                <w:rFonts w:hint="eastAsia"/>
                <w:lang w:val="en-US" w:eastAsia="zh-CN"/>
              </w:rPr>
              <w:t>建议</w:t>
            </w:r>
          </w:p>
        </w:tc>
      </w:tr>
      <w:tr w:rsidR="004C733F" w:rsidRPr="006D5E09" w14:paraId="788A23E4" w14:textId="77777777" w:rsidTr="00710A02">
        <w:trPr>
          <w:cantSplit/>
          <w:jc w:val="center"/>
        </w:trPr>
        <w:tc>
          <w:tcPr>
            <w:tcW w:w="4331" w:type="dxa"/>
            <w:vAlign w:val="center"/>
          </w:tcPr>
          <w:p w14:paraId="5BFE1B28" w14:textId="25723CE3" w:rsidR="004C733F" w:rsidRPr="00E95EEC" w:rsidRDefault="00082B51" w:rsidP="00E95EEC">
            <w:pPr>
              <w:pStyle w:val="TableText0"/>
              <w:spacing w:before="120" w:after="60"/>
              <w:rPr>
                <w:rFonts w:asciiTheme="minorHAnsi" w:hAnsiTheme="minorHAnsi" w:cstheme="minorHAnsi"/>
                <w:b/>
                <w:bCs/>
                <w:iCs/>
                <w:sz w:val="22"/>
                <w:szCs w:val="24"/>
                <w:lang w:val="fr-FR" w:eastAsia="zh-CN"/>
              </w:rPr>
            </w:pPr>
            <w:r w:rsidRPr="00E95EEC">
              <w:rPr>
                <w:rFonts w:asciiTheme="minorHAnsi" w:hAnsiTheme="minorHAnsi" w:cstheme="minorHAnsi" w:hint="eastAsia"/>
                <w:b/>
                <w:bCs/>
                <w:iCs/>
                <w:sz w:val="22"/>
                <w:szCs w:val="24"/>
                <w:lang w:val="fr-FR" w:eastAsia="zh-CN"/>
              </w:rPr>
              <w:t>环境标准联盟（</w:t>
            </w:r>
            <w:r w:rsidRPr="00E95EEC">
              <w:rPr>
                <w:rFonts w:asciiTheme="minorHAnsi" w:hAnsiTheme="minorHAnsi" w:cstheme="minorHAnsi" w:hint="eastAsia"/>
                <w:b/>
                <w:bCs/>
                <w:iCs/>
                <w:sz w:val="22"/>
                <w:szCs w:val="24"/>
                <w:lang w:val="fr-FR" w:eastAsia="zh-CN"/>
              </w:rPr>
              <w:t>ECOS</w:t>
            </w:r>
            <w:r w:rsidRPr="00E95EEC">
              <w:rPr>
                <w:rFonts w:asciiTheme="minorHAnsi" w:hAnsiTheme="minorHAnsi" w:cstheme="minorHAnsi" w:hint="eastAsia"/>
                <w:b/>
                <w:bCs/>
                <w:iCs/>
                <w:sz w:val="22"/>
                <w:szCs w:val="24"/>
                <w:lang w:val="fr-FR" w:eastAsia="zh-CN"/>
              </w:rPr>
              <w:t>）</w:t>
            </w:r>
          </w:p>
        </w:tc>
        <w:tc>
          <w:tcPr>
            <w:tcW w:w="1559" w:type="dxa"/>
            <w:vAlign w:val="center"/>
          </w:tcPr>
          <w:p w14:paraId="3E64B4C8" w14:textId="77777777" w:rsidR="004C733F" w:rsidRPr="00E95EEC" w:rsidRDefault="004C733F" w:rsidP="00E95EEC">
            <w:pPr>
              <w:pStyle w:val="TableText0"/>
              <w:spacing w:before="0"/>
              <w:jc w:val="center"/>
              <w:rPr>
                <w:rFonts w:asciiTheme="minorHAnsi" w:hAnsiTheme="minorHAnsi" w:cstheme="minorHAnsi"/>
                <w:sz w:val="22"/>
                <w:szCs w:val="24"/>
                <w:lang w:val="fr-CH"/>
              </w:rPr>
            </w:pPr>
            <w:r w:rsidRPr="00E95EEC">
              <w:rPr>
                <w:rFonts w:asciiTheme="minorHAnsi" w:hAnsiTheme="minorHAnsi" w:cstheme="minorHAnsi"/>
                <w:sz w:val="22"/>
                <w:szCs w:val="24"/>
                <w:lang w:val="fr-CH"/>
              </w:rPr>
              <w:t>ITU-T</w:t>
            </w:r>
          </w:p>
        </w:tc>
        <w:tc>
          <w:tcPr>
            <w:tcW w:w="3325" w:type="dxa"/>
            <w:vAlign w:val="center"/>
          </w:tcPr>
          <w:p w14:paraId="38784209" w14:textId="610831D4" w:rsidR="004C733F" w:rsidRPr="00E95EEC" w:rsidRDefault="00EB50AA" w:rsidP="00E95EEC">
            <w:pPr>
              <w:pStyle w:val="TableText0"/>
              <w:spacing w:before="0"/>
              <w:jc w:val="center"/>
              <w:rPr>
                <w:rFonts w:asciiTheme="minorHAnsi" w:hAnsiTheme="minorHAnsi" w:cstheme="minorHAnsi"/>
                <w:color w:val="000000" w:themeColor="text1"/>
                <w:sz w:val="22"/>
                <w:lang w:val="en-US"/>
              </w:rPr>
            </w:pPr>
            <w:r w:rsidRPr="00E95EEC">
              <w:rPr>
                <w:rFonts w:asciiTheme="minorHAnsi" w:hAnsiTheme="minorHAnsi" w:hint="eastAsia"/>
                <w:sz w:val="22"/>
                <w:szCs w:val="24"/>
                <w:lang w:val="fr-CH" w:eastAsia="zh-CN"/>
              </w:rPr>
              <w:t>予以免除</w:t>
            </w:r>
          </w:p>
        </w:tc>
      </w:tr>
    </w:tbl>
    <w:p w14:paraId="668FCCC0" w14:textId="2BD0BAF1" w:rsidR="004C733F" w:rsidRPr="006D5E09" w:rsidRDefault="00EB50AA" w:rsidP="00BC38B1">
      <w:pPr>
        <w:ind w:firstLineChars="200" w:firstLine="480"/>
        <w:jc w:val="both"/>
        <w:rPr>
          <w:color w:val="000000" w:themeColor="text1"/>
          <w:lang w:val="en-US" w:eastAsia="zh-CN"/>
        </w:rPr>
      </w:pPr>
      <w:bookmarkStart w:id="15" w:name="_Hlk133403443"/>
      <w:r w:rsidRPr="00EB50AA">
        <w:rPr>
          <w:rFonts w:hint="eastAsia"/>
          <w:color w:val="000000" w:themeColor="text1"/>
          <w:lang w:eastAsia="zh-CN"/>
        </w:rPr>
        <w:t>环境标准联盟</w:t>
      </w:r>
      <w:r>
        <w:rPr>
          <w:rFonts w:hint="eastAsia"/>
          <w:color w:val="000000" w:themeColor="text1"/>
          <w:lang w:eastAsia="zh-CN"/>
        </w:rPr>
        <w:t>（</w:t>
      </w:r>
      <w:r w:rsidRPr="00EB50AA">
        <w:rPr>
          <w:rFonts w:hint="eastAsia"/>
          <w:color w:val="000000" w:themeColor="text1"/>
          <w:lang w:eastAsia="zh-CN"/>
        </w:rPr>
        <w:t>ECOS</w:t>
      </w:r>
      <w:r>
        <w:rPr>
          <w:rFonts w:hint="eastAsia"/>
          <w:color w:val="000000" w:themeColor="text1"/>
          <w:lang w:eastAsia="zh-CN"/>
        </w:rPr>
        <w:t>）</w:t>
      </w:r>
      <w:r w:rsidRPr="00EB50AA">
        <w:rPr>
          <w:rFonts w:hint="eastAsia"/>
          <w:color w:val="000000" w:themeColor="text1"/>
          <w:lang w:eastAsia="zh-CN"/>
        </w:rPr>
        <w:t>成立于</w:t>
      </w:r>
      <w:r w:rsidRPr="00EB50AA">
        <w:rPr>
          <w:rFonts w:hint="eastAsia"/>
          <w:color w:val="000000" w:themeColor="text1"/>
          <w:lang w:eastAsia="zh-CN"/>
        </w:rPr>
        <w:t>2001</w:t>
      </w:r>
      <w:r w:rsidRPr="00EB50AA">
        <w:rPr>
          <w:rFonts w:hint="eastAsia"/>
          <w:color w:val="000000" w:themeColor="text1"/>
          <w:lang w:eastAsia="zh-CN"/>
        </w:rPr>
        <w:t>年，是一个非政府</w:t>
      </w:r>
      <w:r w:rsidR="0059080E" w:rsidRPr="00EB50AA">
        <w:rPr>
          <w:rFonts w:hint="eastAsia"/>
          <w:color w:val="000000" w:themeColor="text1"/>
          <w:lang w:eastAsia="zh-CN"/>
        </w:rPr>
        <w:t>国际</w:t>
      </w:r>
      <w:r w:rsidRPr="00EB50AA">
        <w:rPr>
          <w:rFonts w:hint="eastAsia"/>
          <w:color w:val="000000" w:themeColor="text1"/>
          <w:lang w:eastAsia="zh-CN"/>
        </w:rPr>
        <w:t>组织，由倡导环境友好型技术标准、政策和法律的成员和专家组成。</w:t>
      </w:r>
      <w:r w:rsidRPr="00EB50AA">
        <w:rPr>
          <w:rFonts w:hint="eastAsia"/>
          <w:color w:val="000000" w:themeColor="text1"/>
          <w:lang w:eastAsia="zh-CN"/>
        </w:rPr>
        <w:t>ECOS</w:t>
      </w:r>
      <w:r w:rsidRPr="00EB50AA">
        <w:rPr>
          <w:rFonts w:hint="eastAsia"/>
          <w:color w:val="000000" w:themeColor="text1"/>
          <w:lang w:eastAsia="zh-CN"/>
        </w:rPr>
        <w:t>声称自己是唯一一</w:t>
      </w:r>
      <w:r w:rsidR="0059080E">
        <w:rPr>
          <w:rFonts w:hint="eastAsia"/>
          <w:color w:val="000000" w:themeColor="text1"/>
          <w:lang w:eastAsia="zh-CN"/>
        </w:rPr>
        <w:t>家</w:t>
      </w:r>
      <w:r w:rsidRPr="00EB50AA">
        <w:rPr>
          <w:rFonts w:hint="eastAsia"/>
          <w:color w:val="000000" w:themeColor="text1"/>
          <w:lang w:eastAsia="zh-CN"/>
        </w:rPr>
        <w:t>专门从事</w:t>
      </w:r>
      <w:r w:rsidR="00AF1A52" w:rsidRPr="00EB50AA">
        <w:rPr>
          <w:rFonts w:hint="eastAsia"/>
          <w:color w:val="000000" w:themeColor="text1"/>
          <w:lang w:eastAsia="zh-CN"/>
        </w:rPr>
        <w:t>标准化</w:t>
      </w:r>
      <w:r w:rsidR="00AF1A52">
        <w:rPr>
          <w:rFonts w:hint="eastAsia"/>
          <w:color w:val="000000" w:themeColor="text1"/>
          <w:lang w:eastAsia="zh-CN"/>
        </w:rPr>
        <w:t>工作</w:t>
      </w:r>
      <w:r w:rsidRPr="00EB50AA">
        <w:rPr>
          <w:rFonts w:hint="eastAsia"/>
          <w:color w:val="000000" w:themeColor="text1"/>
          <w:lang w:eastAsia="zh-CN"/>
        </w:rPr>
        <w:t>的全球环境组织。</w:t>
      </w:r>
      <w:r w:rsidR="00AF1A52">
        <w:rPr>
          <w:rFonts w:hint="eastAsia"/>
          <w:color w:val="000000" w:themeColor="text1"/>
          <w:lang w:eastAsia="zh-CN"/>
        </w:rPr>
        <w:t>此联盟</w:t>
      </w:r>
      <w:r w:rsidRPr="00EB50AA">
        <w:rPr>
          <w:rFonts w:hint="eastAsia"/>
          <w:color w:val="000000" w:themeColor="text1"/>
          <w:lang w:eastAsia="zh-CN"/>
        </w:rPr>
        <w:t>致力于在国际、欧洲和国家层面建立更加包容、开放</w:t>
      </w:r>
      <w:r w:rsidR="00AF1A52">
        <w:rPr>
          <w:rFonts w:hint="eastAsia"/>
          <w:color w:val="000000" w:themeColor="text1"/>
          <w:lang w:eastAsia="zh-CN"/>
        </w:rPr>
        <w:t>且</w:t>
      </w:r>
      <w:r w:rsidRPr="00EB50AA">
        <w:rPr>
          <w:rFonts w:hint="eastAsia"/>
          <w:color w:val="000000" w:themeColor="text1"/>
          <w:lang w:eastAsia="zh-CN"/>
        </w:rPr>
        <w:t>透明的标准化体系，确保</w:t>
      </w:r>
      <w:r w:rsidR="00AF1A52">
        <w:rPr>
          <w:rFonts w:hint="eastAsia"/>
          <w:color w:val="000000" w:themeColor="text1"/>
          <w:lang w:eastAsia="zh-CN"/>
        </w:rPr>
        <w:t>采用</w:t>
      </w:r>
      <w:r w:rsidRPr="00EB50AA">
        <w:rPr>
          <w:rFonts w:hint="eastAsia"/>
          <w:color w:val="000000" w:themeColor="text1"/>
          <w:lang w:eastAsia="zh-CN"/>
        </w:rPr>
        <w:t>适当</w:t>
      </w:r>
      <w:r w:rsidR="00AF1A52">
        <w:rPr>
          <w:rFonts w:hint="eastAsia"/>
          <w:color w:val="000000" w:themeColor="text1"/>
          <w:lang w:eastAsia="zh-CN"/>
        </w:rPr>
        <w:t>的</w:t>
      </w:r>
      <w:r w:rsidRPr="00EB50AA">
        <w:rPr>
          <w:rFonts w:hint="eastAsia"/>
          <w:color w:val="000000" w:themeColor="text1"/>
          <w:lang w:eastAsia="zh-CN"/>
        </w:rPr>
        <w:t>标准</w:t>
      </w:r>
      <w:r w:rsidR="0059080E">
        <w:rPr>
          <w:rFonts w:hint="eastAsia"/>
          <w:color w:val="000000" w:themeColor="text1"/>
          <w:lang w:eastAsia="zh-CN"/>
        </w:rPr>
        <w:t>为</w:t>
      </w:r>
      <w:r w:rsidRPr="00EB50AA">
        <w:rPr>
          <w:rFonts w:hint="eastAsia"/>
          <w:color w:val="000000" w:themeColor="text1"/>
          <w:lang w:eastAsia="zh-CN"/>
        </w:rPr>
        <w:t>环境立法</w:t>
      </w:r>
      <w:r w:rsidR="00AF1A52">
        <w:rPr>
          <w:rFonts w:hint="eastAsia"/>
          <w:color w:val="000000" w:themeColor="text1"/>
          <w:lang w:eastAsia="zh-CN"/>
        </w:rPr>
        <w:t>与</w:t>
      </w:r>
      <w:r w:rsidRPr="00EB50AA">
        <w:rPr>
          <w:rFonts w:hint="eastAsia"/>
          <w:color w:val="000000" w:themeColor="text1"/>
          <w:lang w:eastAsia="zh-CN"/>
        </w:rPr>
        <w:t>政策</w:t>
      </w:r>
      <w:r w:rsidR="0059080E">
        <w:rPr>
          <w:rFonts w:hint="eastAsia"/>
          <w:color w:val="000000" w:themeColor="text1"/>
          <w:lang w:eastAsia="zh-CN"/>
        </w:rPr>
        <w:t>提供</w:t>
      </w:r>
      <w:r w:rsidR="0059080E" w:rsidRPr="00EB50AA">
        <w:rPr>
          <w:rFonts w:hint="eastAsia"/>
          <w:color w:val="000000" w:themeColor="text1"/>
          <w:lang w:eastAsia="zh-CN"/>
        </w:rPr>
        <w:t>支持</w:t>
      </w:r>
      <w:r w:rsidRPr="00EB50AA">
        <w:rPr>
          <w:rFonts w:hint="eastAsia"/>
          <w:color w:val="000000" w:themeColor="text1"/>
          <w:lang w:eastAsia="zh-CN"/>
        </w:rPr>
        <w:t>。秘书处认为，作为一个拥有非政府组织成员的国际组织，该实体符合理事会规定的</w:t>
      </w:r>
      <w:r w:rsidR="00C069AC">
        <w:rPr>
          <w:rFonts w:hint="eastAsia"/>
          <w:color w:val="000000" w:themeColor="text1"/>
          <w:lang w:eastAsia="zh-CN"/>
        </w:rPr>
        <w:t>免缴会费标准</w:t>
      </w:r>
      <w:r w:rsidRPr="00EB50AA">
        <w:rPr>
          <w:rFonts w:hint="eastAsia"/>
          <w:color w:val="000000" w:themeColor="text1"/>
          <w:lang w:eastAsia="zh-CN"/>
        </w:rPr>
        <w:t>。</w:t>
      </w:r>
    </w:p>
    <w:bookmarkEnd w:id="15"/>
    <w:p w14:paraId="35AEC362" w14:textId="77777777" w:rsidR="004C733F" w:rsidRPr="006D5E09" w:rsidRDefault="004C733F" w:rsidP="004C733F">
      <w:pPr>
        <w:spacing w:after="120"/>
        <w:rPr>
          <w:rFonts w:cs="Calibri"/>
          <w:lang w:val="en-US"/>
        </w:rPr>
      </w:pPr>
      <w:r w:rsidRPr="006D5E09">
        <w:rPr>
          <w:rFonts w:cs="Calibri"/>
          <w:lang w:val="en-US"/>
        </w:rPr>
        <w:t>2.8</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7070F8" w:rsidRPr="006D5E09" w14:paraId="230FB225" w14:textId="77777777" w:rsidTr="00710A02">
        <w:trPr>
          <w:cantSplit/>
          <w:jc w:val="center"/>
        </w:trPr>
        <w:tc>
          <w:tcPr>
            <w:tcW w:w="4331" w:type="dxa"/>
          </w:tcPr>
          <w:p w14:paraId="0C8A5415" w14:textId="27755475" w:rsidR="007070F8" w:rsidRPr="006D5E09" w:rsidRDefault="007070F8" w:rsidP="00E95EEC">
            <w:pPr>
              <w:pStyle w:val="Tablehead"/>
              <w:rPr>
                <w:lang w:val="en-US"/>
              </w:rPr>
            </w:pPr>
            <w:r>
              <w:rPr>
                <w:rFonts w:hint="eastAsia"/>
                <w:lang w:val="en-US" w:eastAsia="zh-CN"/>
              </w:rPr>
              <w:t>组织</w:t>
            </w:r>
          </w:p>
        </w:tc>
        <w:tc>
          <w:tcPr>
            <w:tcW w:w="1559" w:type="dxa"/>
          </w:tcPr>
          <w:p w14:paraId="31C85610" w14:textId="3AE73144" w:rsidR="007070F8" w:rsidRPr="006D5E09" w:rsidRDefault="007070F8" w:rsidP="00E95EEC">
            <w:pPr>
              <w:pStyle w:val="Tablehead"/>
              <w:rPr>
                <w:lang w:val="en-US"/>
              </w:rPr>
            </w:pPr>
            <w:r>
              <w:rPr>
                <w:rFonts w:hint="eastAsia"/>
                <w:lang w:val="en-US" w:eastAsia="zh-CN"/>
              </w:rPr>
              <w:t>部门</w:t>
            </w:r>
          </w:p>
        </w:tc>
        <w:tc>
          <w:tcPr>
            <w:tcW w:w="3325" w:type="dxa"/>
          </w:tcPr>
          <w:p w14:paraId="592CB459" w14:textId="59861D6B" w:rsidR="007070F8" w:rsidRPr="002E1BDF" w:rsidRDefault="007070F8" w:rsidP="00E95EEC">
            <w:pPr>
              <w:pStyle w:val="Tablehead"/>
              <w:rPr>
                <w:lang w:val="en-US"/>
              </w:rPr>
            </w:pPr>
            <w:r>
              <w:rPr>
                <w:rFonts w:hint="eastAsia"/>
                <w:lang w:val="en-US" w:eastAsia="zh-CN"/>
              </w:rPr>
              <w:t>建议</w:t>
            </w:r>
          </w:p>
        </w:tc>
      </w:tr>
      <w:tr w:rsidR="004C733F" w:rsidRPr="006D5E09" w14:paraId="1C047E54" w14:textId="77777777" w:rsidTr="00710A02">
        <w:trPr>
          <w:cantSplit/>
          <w:jc w:val="center"/>
        </w:trPr>
        <w:tc>
          <w:tcPr>
            <w:tcW w:w="4331" w:type="dxa"/>
            <w:vAlign w:val="center"/>
          </w:tcPr>
          <w:p w14:paraId="2C31F9ED" w14:textId="3A79B2F8" w:rsidR="004C733F" w:rsidRPr="00E95EEC" w:rsidRDefault="00AF1A52" w:rsidP="00E95EEC">
            <w:pPr>
              <w:pStyle w:val="TableText0"/>
              <w:spacing w:before="120" w:after="60"/>
              <w:rPr>
                <w:rFonts w:asciiTheme="minorHAnsi" w:hAnsiTheme="minorHAnsi" w:cstheme="minorHAnsi"/>
                <w:b/>
                <w:bCs/>
                <w:iCs/>
                <w:sz w:val="22"/>
                <w:szCs w:val="24"/>
                <w:lang w:eastAsia="zh-CN"/>
              </w:rPr>
            </w:pPr>
            <w:r w:rsidRPr="00E95EEC">
              <w:rPr>
                <w:rFonts w:asciiTheme="minorHAnsi" w:hAnsiTheme="minorHAnsi" w:cstheme="minorHAnsi" w:hint="eastAsia"/>
                <w:b/>
                <w:bCs/>
                <w:iCs/>
                <w:sz w:val="22"/>
                <w:szCs w:val="24"/>
                <w:lang w:eastAsia="zh-CN"/>
              </w:rPr>
              <w:t>MTU XRP</w:t>
            </w:r>
            <w:r w:rsidRPr="00E95EEC">
              <w:rPr>
                <w:rFonts w:asciiTheme="minorHAnsi" w:hAnsiTheme="minorHAnsi" w:cstheme="minorHAnsi" w:hint="eastAsia"/>
                <w:b/>
                <w:bCs/>
                <w:iCs/>
                <w:sz w:val="22"/>
                <w:szCs w:val="24"/>
                <w:lang w:eastAsia="zh-CN"/>
              </w:rPr>
              <w:t>分类账信托</w:t>
            </w:r>
          </w:p>
        </w:tc>
        <w:tc>
          <w:tcPr>
            <w:tcW w:w="1559" w:type="dxa"/>
            <w:vAlign w:val="center"/>
          </w:tcPr>
          <w:p w14:paraId="144DD3B0" w14:textId="77777777" w:rsidR="004C733F" w:rsidRPr="00E95EEC" w:rsidRDefault="004C733F" w:rsidP="00E95EEC">
            <w:pPr>
              <w:pStyle w:val="TableText0"/>
              <w:spacing w:before="0"/>
              <w:jc w:val="center"/>
              <w:rPr>
                <w:rFonts w:asciiTheme="minorHAnsi" w:hAnsiTheme="minorHAnsi" w:cstheme="minorHAnsi"/>
                <w:sz w:val="22"/>
                <w:szCs w:val="24"/>
                <w:lang w:val="fr-CH"/>
              </w:rPr>
            </w:pPr>
            <w:r w:rsidRPr="00E95EEC">
              <w:rPr>
                <w:rFonts w:asciiTheme="minorHAnsi" w:hAnsiTheme="minorHAnsi" w:cstheme="minorHAnsi"/>
                <w:sz w:val="22"/>
                <w:szCs w:val="24"/>
                <w:lang w:val="fr-CH"/>
              </w:rPr>
              <w:t>ITU-T</w:t>
            </w:r>
          </w:p>
          <w:p w14:paraId="08BED192" w14:textId="77777777" w:rsidR="004C733F" w:rsidRPr="00E95EEC" w:rsidRDefault="004C733F" w:rsidP="00E95EEC">
            <w:pPr>
              <w:pStyle w:val="TableText0"/>
              <w:spacing w:before="0"/>
              <w:jc w:val="center"/>
              <w:rPr>
                <w:rFonts w:asciiTheme="minorHAnsi" w:hAnsiTheme="minorHAnsi" w:cstheme="minorHAnsi"/>
                <w:sz w:val="22"/>
                <w:szCs w:val="24"/>
                <w:lang w:val="fr-CH"/>
              </w:rPr>
            </w:pPr>
            <w:r w:rsidRPr="00E95EEC">
              <w:rPr>
                <w:rFonts w:asciiTheme="minorHAnsi" w:hAnsiTheme="minorHAnsi" w:cstheme="minorHAnsi"/>
                <w:sz w:val="22"/>
                <w:szCs w:val="24"/>
                <w:lang w:val="fr-CH"/>
              </w:rPr>
              <w:t>ITU-D</w:t>
            </w:r>
          </w:p>
        </w:tc>
        <w:tc>
          <w:tcPr>
            <w:tcW w:w="3325" w:type="dxa"/>
            <w:vAlign w:val="center"/>
          </w:tcPr>
          <w:p w14:paraId="1B7A7E38" w14:textId="15246C30" w:rsidR="004C733F" w:rsidRPr="00E95EEC" w:rsidRDefault="00EB50AA" w:rsidP="00E95EEC">
            <w:pPr>
              <w:pStyle w:val="TableText0"/>
              <w:spacing w:before="0"/>
              <w:jc w:val="center"/>
              <w:rPr>
                <w:rFonts w:asciiTheme="minorHAnsi" w:hAnsiTheme="minorHAnsi"/>
                <w:sz w:val="22"/>
              </w:rPr>
            </w:pPr>
            <w:r w:rsidRPr="00E95EEC">
              <w:rPr>
                <w:rFonts w:asciiTheme="minorHAnsi" w:hAnsiTheme="minorHAnsi" w:hint="eastAsia"/>
                <w:sz w:val="22"/>
                <w:szCs w:val="24"/>
                <w:lang w:val="fr-CH" w:eastAsia="zh-CN"/>
              </w:rPr>
              <w:t>不予免除</w:t>
            </w:r>
          </w:p>
          <w:p w14:paraId="4548FC51" w14:textId="47B26C44" w:rsidR="004C733F" w:rsidRPr="00E95EEC" w:rsidRDefault="00EB50AA" w:rsidP="00E95EEC">
            <w:pPr>
              <w:pStyle w:val="TableText0"/>
              <w:spacing w:before="0"/>
              <w:jc w:val="center"/>
              <w:rPr>
                <w:rFonts w:asciiTheme="minorHAnsi" w:hAnsiTheme="minorHAnsi"/>
                <w:color w:val="000000" w:themeColor="text1"/>
                <w:sz w:val="22"/>
                <w:lang w:val="en-US"/>
              </w:rPr>
            </w:pPr>
            <w:r w:rsidRPr="00E95EEC">
              <w:rPr>
                <w:rFonts w:asciiTheme="minorHAnsi" w:hAnsiTheme="minorHAnsi" w:hint="eastAsia"/>
                <w:sz w:val="22"/>
                <w:szCs w:val="24"/>
                <w:lang w:val="fr-CH" w:eastAsia="zh-CN"/>
              </w:rPr>
              <w:t>不予免除</w:t>
            </w:r>
          </w:p>
        </w:tc>
      </w:tr>
    </w:tbl>
    <w:p w14:paraId="736F1A41" w14:textId="424EDA98" w:rsidR="004C733F" w:rsidRPr="006D5E09" w:rsidRDefault="00EB50AA" w:rsidP="00912047">
      <w:pPr>
        <w:spacing w:after="120"/>
        <w:ind w:firstLineChars="200" w:firstLine="480"/>
        <w:jc w:val="both"/>
        <w:rPr>
          <w:rFonts w:cs="Calibri"/>
          <w:highlight w:val="yellow"/>
          <w:lang w:val="en-US" w:eastAsia="zh-CN"/>
        </w:rPr>
      </w:pPr>
      <w:r w:rsidRPr="00EB50AA">
        <w:rPr>
          <w:rFonts w:hint="eastAsia"/>
          <w:color w:val="000000" w:themeColor="text1"/>
          <w:lang w:eastAsia="zh-CN"/>
        </w:rPr>
        <w:t>MTU XRP</w:t>
      </w:r>
      <w:r w:rsidRPr="00EB50AA">
        <w:rPr>
          <w:rFonts w:hint="eastAsia"/>
          <w:color w:val="000000" w:themeColor="text1"/>
          <w:lang w:eastAsia="zh-CN"/>
        </w:rPr>
        <w:t>分类</w:t>
      </w:r>
      <w:r w:rsidR="00AF1A52">
        <w:rPr>
          <w:rFonts w:hint="eastAsia"/>
          <w:color w:val="000000" w:themeColor="text1"/>
          <w:lang w:eastAsia="zh-CN"/>
        </w:rPr>
        <w:t>账</w:t>
      </w:r>
      <w:r w:rsidRPr="00EB50AA">
        <w:rPr>
          <w:rFonts w:hint="eastAsia"/>
          <w:color w:val="000000" w:themeColor="text1"/>
          <w:lang w:eastAsia="zh-CN"/>
        </w:rPr>
        <w:t>信托是一个独立的非营利实体，致力于支持</w:t>
      </w:r>
      <w:r w:rsidRPr="00EB50AA">
        <w:rPr>
          <w:rFonts w:hint="eastAsia"/>
          <w:color w:val="000000" w:themeColor="text1"/>
          <w:lang w:eastAsia="zh-CN"/>
        </w:rPr>
        <w:t>XRP</w:t>
      </w:r>
      <w:r w:rsidRPr="00EB50AA">
        <w:rPr>
          <w:rFonts w:hint="eastAsia"/>
          <w:color w:val="000000" w:themeColor="text1"/>
          <w:lang w:eastAsia="zh-CN"/>
        </w:rPr>
        <w:t>分类</w:t>
      </w:r>
      <w:r w:rsidR="00AF1A52">
        <w:rPr>
          <w:rFonts w:hint="eastAsia"/>
          <w:color w:val="000000" w:themeColor="text1"/>
          <w:lang w:eastAsia="zh-CN"/>
        </w:rPr>
        <w:t>账</w:t>
      </w:r>
      <w:r w:rsidRPr="00EB50AA">
        <w:rPr>
          <w:rFonts w:hint="eastAsia"/>
          <w:color w:val="000000" w:themeColor="text1"/>
          <w:lang w:eastAsia="zh-CN"/>
        </w:rPr>
        <w:t>的开发和使用。</w:t>
      </w:r>
      <w:r w:rsidR="00AF1A52">
        <w:rPr>
          <w:rFonts w:hint="eastAsia"/>
          <w:color w:val="000000" w:themeColor="text1"/>
          <w:lang w:eastAsia="zh-CN"/>
        </w:rPr>
        <w:t>此实体</w:t>
      </w:r>
      <w:r w:rsidRPr="00EB50AA">
        <w:rPr>
          <w:rFonts w:hint="eastAsia"/>
          <w:color w:val="000000" w:themeColor="text1"/>
          <w:lang w:eastAsia="zh-CN"/>
        </w:rPr>
        <w:t>的目标是创造一种可持续的、专门为支付而构建的数字资产。由于该组织没有成员，</w:t>
      </w:r>
      <w:r w:rsidR="00AF1A52">
        <w:rPr>
          <w:rFonts w:hint="eastAsia"/>
          <w:color w:val="000000" w:themeColor="text1"/>
          <w:lang w:eastAsia="zh-CN"/>
        </w:rPr>
        <w:t>因此</w:t>
      </w:r>
      <w:r w:rsidRPr="00EB50AA">
        <w:rPr>
          <w:rFonts w:hint="eastAsia"/>
          <w:color w:val="000000" w:themeColor="text1"/>
          <w:lang w:eastAsia="zh-CN"/>
        </w:rPr>
        <w:t>秘书处认为</w:t>
      </w:r>
      <w:r w:rsidR="0059080E">
        <w:rPr>
          <w:rFonts w:hint="eastAsia"/>
          <w:color w:val="000000" w:themeColor="text1"/>
          <w:lang w:eastAsia="zh-CN"/>
        </w:rPr>
        <w:t>此</w:t>
      </w:r>
      <w:r w:rsidRPr="00EB50AA">
        <w:rPr>
          <w:rFonts w:hint="eastAsia"/>
          <w:color w:val="000000" w:themeColor="text1"/>
          <w:lang w:eastAsia="zh-CN"/>
        </w:rPr>
        <w:t>实体不符合理事会规定的免缴会费标准。</w:t>
      </w:r>
    </w:p>
    <w:p w14:paraId="084F233B" w14:textId="77777777" w:rsidR="004C733F" w:rsidRPr="006D5E09" w:rsidRDefault="004C733F" w:rsidP="004C733F">
      <w:pPr>
        <w:spacing w:after="120"/>
        <w:jc w:val="both"/>
        <w:rPr>
          <w:rFonts w:cs="Calibri"/>
          <w:lang w:val="en-US"/>
        </w:rPr>
      </w:pPr>
      <w:r w:rsidRPr="006D5E09">
        <w:rPr>
          <w:rFonts w:cs="Calibri"/>
          <w:lang w:val="en-US"/>
        </w:rPr>
        <w:t>2.9</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7070F8" w:rsidRPr="006D5E09" w14:paraId="69966989" w14:textId="77777777" w:rsidTr="00710A02">
        <w:trPr>
          <w:cantSplit/>
          <w:jc w:val="center"/>
        </w:trPr>
        <w:tc>
          <w:tcPr>
            <w:tcW w:w="4331" w:type="dxa"/>
          </w:tcPr>
          <w:p w14:paraId="5F074C66" w14:textId="43897E55" w:rsidR="007070F8" w:rsidRPr="006D5E09" w:rsidRDefault="007070F8" w:rsidP="00E95EEC">
            <w:pPr>
              <w:pStyle w:val="Tablehead"/>
              <w:rPr>
                <w:lang w:val="en-US"/>
              </w:rPr>
            </w:pPr>
            <w:r>
              <w:rPr>
                <w:rFonts w:hint="eastAsia"/>
                <w:lang w:val="en-US" w:eastAsia="zh-CN"/>
              </w:rPr>
              <w:t>组织</w:t>
            </w:r>
          </w:p>
        </w:tc>
        <w:tc>
          <w:tcPr>
            <w:tcW w:w="1559" w:type="dxa"/>
          </w:tcPr>
          <w:p w14:paraId="360AC736" w14:textId="4B80C734" w:rsidR="007070F8" w:rsidRPr="006D5E09" w:rsidRDefault="007070F8" w:rsidP="00E95EEC">
            <w:pPr>
              <w:pStyle w:val="Tablehead"/>
              <w:rPr>
                <w:lang w:val="en-US"/>
              </w:rPr>
            </w:pPr>
            <w:r>
              <w:rPr>
                <w:rFonts w:hint="eastAsia"/>
                <w:lang w:val="en-US" w:eastAsia="zh-CN"/>
              </w:rPr>
              <w:t>部门</w:t>
            </w:r>
          </w:p>
        </w:tc>
        <w:tc>
          <w:tcPr>
            <w:tcW w:w="3325" w:type="dxa"/>
          </w:tcPr>
          <w:p w14:paraId="56893A82" w14:textId="7EEA9B7B" w:rsidR="007070F8" w:rsidRPr="006D5E09" w:rsidRDefault="007070F8" w:rsidP="00E95EEC">
            <w:pPr>
              <w:pStyle w:val="Tablehead"/>
              <w:rPr>
                <w:lang w:val="en-US"/>
              </w:rPr>
            </w:pPr>
            <w:r>
              <w:rPr>
                <w:rFonts w:hint="eastAsia"/>
                <w:lang w:val="en-US" w:eastAsia="zh-CN"/>
              </w:rPr>
              <w:t>建议</w:t>
            </w:r>
          </w:p>
        </w:tc>
      </w:tr>
      <w:tr w:rsidR="004C733F" w:rsidRPr="006D5E09" w14:paraId="34F20DC1" w14:textId="77777777" w:rsidTr="00710A02">
        <w:trPr>
          <w:cantSplit/>
          <w:jc w:val="center"/>
        </w:trPr>
        <w:tc>
          <w:tcPr>
            <w:tcW w:w="4331" w:type="dxa"/>
            <w:vAlign w:val="center"/>
          </w:tcPr>
          <w:p w14:paraId="4A5BA494" w14:textId="68C989D1" w:rsidR="004C733F" w:rsidRPr="00E95EEC" w:rsidRDefault="00AF1A52" w:rsidP="00E95EEC">
            <w:pPr>
              <w:pStyle w:val="TableText0"/>
              <w:spacing w:before="120" w:after="60"/>
              <w:rPr>
                <w:rFonts w:asciiTheme="minorHAnsi" w:hAnsiTheme="minorHAnsi" w:cstheme="minorHAnsi"/>
                <w:b/>
                <w:bCs/>
                <w:iCs/>
                <w:sz w:val="22"/>
                <w:szCs w:val="24"/>
                <w:lang w:eastAsia="zh-CN"/>
              </w:rPr>
            </w:pPr>
            <w:r w:rsidRPr="00E95EEC">
              <w:rPr>
                <w:rFonts w:asciiTheme="minorHAnsi" w:hAnsiTheme="minorHAnsi" w:cstheme="minorHAnsi" w:hint="eastAsia"/>
                <w:b/>
                <w:bCs/>
                <w:iCs/>
                <w:sz w:val="22"/>
                <w:szCs w:val="24"/>
                <w:lang w:eastAsia="zh-CN"/>
              </w:rPr>
              <w:t>全球契约（全球数字包容性伙伴关系）</w:t>
            </w:r>
          </w:p>
        </w:tc>
        <w:tc>
          <w:tcPr>
            <w:tcW w:w="1559" w:type="dxa"/>
            <w:vAlign w:val="center"/>
          </w:tcPr>
          <w:p w14:paraId="38C5AC9D" w14:textId="77777777" w:rsidR="004C733F" w:rsidRPr="00E95EEC" w:rsidRDefault="004C733F" w:rsidP="00E95EEC">
            <w:pPr>
              <w:pStyle w:val="TableText0"/>
              <w:spacing w:before="0"/>
              <w:jc w:val="center"/>
              <w:rPr>
                <w:rFonts w:asciiTheme="minorHAnsi" w:hAnsiTheme="minorHAnsi" w:cstheme="minorHAnsi"/>
                <w:sz w:val="22"/>
                <w:szCs w:val="24"/>
                <w:lang w:val="fr-CH"/>
              </w:rPr>
            </w:pPr>
            <w:r w:rsidRPr="00E95EEC">
              <w:rPr>
                <w:rFonts w:asciiTheme="minorHAnsi" w:hAnsiTheme="minorHAnsi" w:cstheme="minorHAnsi"/>
                <w:sz w:val="22"/>
                <w:szCs w:val="24"/>
                <w:lang w:val="fr-CH"/>
              </w:rPr>
              <w:t>ITU-D</w:t>
            </w:r>
          </w:p>
        </w:tc>
        <w:tc>
          <w:tcPr>
            <w:tcW w:w="3325" w:type="dxa"/>
            <w:vAlign w:val="center"/>
          </w:tcPr>
          <w:p w14:paraId="127BDDA0" w14:textId="6535F96F" w:rsidR="004C733F" w:rsidRPr="00E95EEC" w:rsidRDefault="00EB50AA" w:rsidP="00E95EEC">
            <w:pPr>
              <w:pStyle w:val="TableText0"/>
              <w:spacing w:before="0"/>
              <w:jc w:val="center"/>
              <w:rPr>
                <w:rFonts w:asciiTheme="minorHAnsi" w:hAnsiTheme="minorHAnsi"/>
                <w:sz w:val="22"/>
              </w:rPr>
            </w:pPr>
            <w:r w:rsidRPr="00E95EEC">
              <w:rPr>
                <w:rFonts w:asciiTheme="minorHAnsi" w:hAnsiTheme="minorHAnsi" w:hint="eastAsia"/>
                <w:sz w:val="22"/>
                <w:szCs w:val="24"/>
                <w:lang w:val="fr-CH" w:eastAsia="zh-CN"/>
              </w:rPr>
              <w:t>予以免除</w:t>
            </w:r>
          </w:p>
        </w:tc>
      </w:tr>
    </w:tbl>
    <w:p w14:paraId="45067BA8" w14:textId="4B55A545" w:rsidR="004C733F" w:rsidRPr="006D5E09" w:rsidRDefault="00EB50AA" w:rsidP="00912047">
      <w:pPr>
        <w:spacing w:after="120"/>
        <w:ind w:firstLineChars="200" w:firstLine="480"/>
        <w:jc w:val="both"/>
        <w:rPr>
          <w:lang w:val="en-US" w:eastAsia="zh-CN"/>
        </w:rPr>
      </w:pPr>
      <w:r w:rsidRPr="00EB50AA">
        <w:rPr>
          <w:rFonts w:hint="eastAsia"/>
          <w:lang w:val="en-US" w:eastAsia="zh-CN"/>
        </w:rPr>
        <w:t>总部设在美国的</w:t>
      </w:r>
      <w:r w:rsidR="00AF1A52" w:rsidRPr="00AF1A52">
        <w:rPr>
          <w:rFonts w:hint="eastAsia"/>
          <w:lang w:val="en-US" w:eastAsia="zh-CN"/>
        </w:rPr>
        <w:t>全球契约</w:t>
      </w:r>
      <w:r w:rsidR="00AF1A52">
        <w:rPr>
          <w:rFonts w:hint="eastAsia"/>
          <w:lang w:val="en-US" w:eastAsia="zh-CN"/>
        </w:rPr>
        <w:t>是</w:t>
      </w:r>
      <w:r w:rsidR="0059080E">
        <w:rPr>
          <w:rFonts w:hint="eastAsia"/>
          <w:lang w:val="en-US" w:eastAsia="zh-CN"/>
        </w:rPr>
        <w:t>一个</w:t>
      </w:r>
      <w:r w:rsidR="00AF1A52">
        <w:rPr>
          <w:rFonts w:hint="eastAsia"/>
          <w:lang w:val="en-US" w:eastAsia="zh-CN"/>
        </w:rPr>
        <w:t>由</w:t>
      </w:r>
      <w:r w:rsidR="00AF1A52" w:rsidRPr="00EB50AA">
        <w:rPr>
          <w:rFonts w:hint="eastAsia"/>
          <w:lang w:val="en-US" w:eastAsia="zh-CN"/>
        </w:rPr>
        <w:t>四</w:t>
      </w:r>
      <w:r w:rsidR="0059080E">
        <w:rPr>
          <w:rFonts w:hint="eastAsia"/>
          <w:lang w:val="en-US" w:eastAsia="zh-CN"/>
        </w:rPr>
        <w:t>家</w:t>
      </w:r>
      <w:r w:rsidR="00AF1A52" w:rsidRPr="00EB50AA">
        <w:rPr>
          <w:rFonts w:hint="eastAsia"/>
          <w:lang w:val="en-US" w:eastAsia="zh-CN"/>
        </w:rPr>
        <w:t>国际慈善</w:t>
      </w:r>
      <w:r w:rsidR="00AF1A52">
        <w:rPr>
          <w:rFonts w:hint="eastAsia"/>
          <w:lang w:val="en-US" w:eastAsia="zh-CN"/>
        </w:rPr>
        <w:t>机构</w:t>
      </w:r>
      <w:r w:rsidRPr="00EB50AA">
        <w:rPr>
          <w:rFonts w:hint="eastAsia"/>
          <w:lang w:val="en-US" w:eastAsia="zh-CN"/>
        </w:rPr>
        <w:t>于</w:t>
      </w:r>
      <w:r w:rsidRPr="00EB50AA">
        <w:rPr>
          <w:rFonts w:hint="eastAsia"/>
          <w:lang w:val="en-US" w:eastAsia="zh-CN"/>
        </w:rPr>
        <w:t>1956</w:t>
      </w:r>
      <w:r w:rsidRPr="00EB50AA">
        <w:rPr>
          <w:rFonts w:hint="eastAsia"/>
          <w:lang w:val="en-US" w:eastAsia="zh-CN"/>
        </w:rPr>
        <w:t>年</w:t>
      </w:r>
      <w:r w:rsidR="0059080E">
        <w:rPr>
          <w:rFonts w:hint="eastAsia"/>
          <w:lang w:val="en-US" w:eastAsia="zh-CN"/>
        </w:rPr>
        <w:t>共同</w:t>
      </w:r>
      <w:r w:rsidR="00AF1A52">
        <w:rPr>
          <w:rFonts w:hint="eastAsia"/>
          <w:lang w:val="en-US" w:eastAsia="zh-CN"/>
        </w:rPr>
        <w:t>成立的</w:t>
      </w:r>
      <w:r w:rsidRPr="00EB50AA">
        <w:rPr>
          <w:rFonts w:hint="eastAsia"/>
          <w:lang w:val="en-US" w:eastAsia="zh-CN"/>
        </w:rPr>
        <w:t>联合会。</w:t>
      </w:r>
      <w:r w:rsidR="00AF1A52">
        <w:rPr>
          <w:rFonts w:hint="eastAsia"/>
          <w:lang w:val="en-US" w:eastAsia="zh-CN"/>
        </w:rPr>
        <w:t>截至二十</w:t>
      </w:r>
      <w:r w:rsidRPr="00EB50AA">
        <w:rPr>
          <w:rFonts w:hint="eastAsia"/>
          <w:lang w:val="en-US" w:eastAsia="zh-CN"/>
        </w:rPr>
        <w:t>世纪</w:t>
      </w:r>
      <w:r w:rsidRPr="00EB50AA">
        <w:rPr>
          <w:rFonts w:hint="eastAsia"/>
          <w:lang w:val="en-US" w:eastAsia="zh-CN"/>
        </w:rPr>
        <w:t>80</w:t>
      </w:r>
      <w:r w:rsidRPr="00EB50AA">
        <w:rPr>
          <w:rFonts w:hint="eastAsia"/>
          <w:lang w:val="en-US" w:eastAsia="zh-CN"/>
        </w:rPr>
        <w:t>年代，</w:t>
      </w:r>
      <w:r w:rsidR="0059080E">
        <w:rPr>
          <w:rFonts w:hint="eastAsia"/>
          <w:lang w:val="en-US" w:eastAsia="zh-CN"/>
        </w:rPr>
        <w:t>其</w:t>
      </w:r>
      <w:r w:rsidRPr="00EB50AA">
        <w:rPr>
          <w:rFonts w:hint="eastAsia"/>
          <w:lang w:val="en-US" w:eastAsia="zh-CN"/>
        </w:rPr>
        <w:t>成员慈善机构的数量已增长到约</w:t>
      </w:r>
      <w:r w:rsidRPr="00EB50AA">
        <w:rPr>
          <w:rFonts w:hint="eastAsia"/>
          <w:lang w:val="en-US" w:eastAsia="zh-CN"/>
        </w:rPr>
        <w:t>50</w:t>
      </w:r>
      <w:r w:rsidRPr="00EB50AA">
        <w:rPr>
          <w:rFonts w:hint="eastAsia"/>
          <w:lang w:val="en-US" w:eastAsia="zh-CN"/>
        </w:rPr>
        <w:t>个。</w:t>
      </w:r>
      <w:r w:rsidR="00AF1A52">
        <w:rPr>
          <w:rFonts w:hint="eastAsia"/>
          <w:lang w:val="en-US" w:eastAsia="zh-CN"/>
        </w:rPr>
        <w:t>全球契约</w:t>
      </w:r>
      <w:r w:rsidRPr="00EB50AA">
        <w:rPr>
          <w:rFonts w:hint="eastAsia"/>
          <w:lang w:val="en-US" w:eastAsia="zh-CN"/>
        </w:rPr>
        <w:t>发起</w:t>
      </w:r>
      <w:r w:rsidR="005B7362">
        <w:rPr>
          <w:rFonts w:hint="eastAsia"/>
          <w:lang w:val="en-US" w:eastAsia="zh-CN"/>
        </w:rPr>
        <w:t>建立</w:t>
      </w:r>
      <w:r w:rsidRPr="00EB50AA">
        <w:rPr>
          <w:rFonts w:hint="eastAsia"/>
          <w:lang w:val="en-US" w:eastAsia="zh-CN"/>
        </w:rPr>
        <w:t>了全球数字包容性伙伴关系</w:t>
      </w:r>
      <w:r w:rsidR="005B7362">
        <w:rPr>
          <w:rFonts w:hint="eastAsia"/>
          <w:lang w:val="en-US" w:eastAsia="zh-CN"/>
        </w:rPr>
        <w:t>（</w:t>
      </w:r>
      <w:r w:rsidRPr="00EB50AA">
        <w:rPr>
          <w:rFonts w:hint="eastAsia"/>
          <w:lang w:val="en-US" w:eastAsia="zh-CN"/>
        </w:rPr>
        <w:t>GDIP</w:t>
      </w:r>
      <w:r w:rsidR="005B7362">
        <w:rPr>
          <w:rFonts w:hint="eastAsia"/>
          <w:lang w:val="en-US" w:eastAsia="zh-CN"/>
        </w:rPr>
        <w:t>）</w:t>
      </w:r>
      <w:r w:rsidRPr="00EB50AA">
        <w:rPr>
          <w:rFonts w:hint="eastAsia"/>
          <w:lang w:val="en-US" w:eastAsia="zh-CN"/>
        </w:rPr>
        <w:t>，一个由公</w:t>
      </w:r>
      <w:r w:rsidR="005B7362">
        <w:rPr>
          <w:rFonts w:hint="eastAsia"/>
          <w:lang w:val="en-US" w:eastAsia="zh-CN"/>
        </w:rPr>
        <w:t>众</w:t>
      </w:r>
      <w:r w:rsidRPr="00EB50AA">
        <w:rPr>
          <w:rFonts w:hint="eastAsia"/>
          <w:lang w:val="en-US" w:eastAsia="zh-CN"/>
        </w:rPr>
        <w:t>、私营</w:t>
      </w:r>
      <w:r w:rsidR="005B7362">
        <w:rPr>
          <w:rFonts w:hint="eastAsia"/>
          <w:lang w:val="en-US" w:eastAsia="zh-CN"/>
        </w:rPr>
        <w:t>部门</w:t>
      </w:r>
      <w:r w:rsidRPr="00EB50AA">
        <w:rPr>
          <w:rFonts w:hint="eastAsia"/>
          <w:lang w:val="en-US" w:eastAsia="zh-CN"/>
        </w:rPr>
        <w:t>和民间</w:t>
      </w:r>
      <w:r w:rsidR="005B7362">
        <w:rPr>
          <w:rFonts w:hint="eastAsia"/>
          <w:lang w:val="en-US" w:eastAsia="zh-CN"/>
        </w:rPr>
        <w:t>团体</w:t>
      </w:r>
      <w:r w:rsidRPr="00EB50AA">
        <w:rPr>
          <w:rFonts w:hint="eastAsia"/>
          <w:lang w:val="en-US" w:eastAsia="zh-CN"/>
        </w:rPr>
        <w:t>组织组成的联盟，致力于为全球大多数人提供互联网连接并确保到</w:t>
      </w:r>
      <w:r w:rsidRPr="00EB50AA">
        <w:rPr>
          <w:rFonts w:hint="eastAsia"/>
          <w:lang w:val="en-US" w:eastAsia="zh-CN"/>
        </w:rPr>
        <w:t>2030</w:t>
      </w:r>
      <w:r w:rsidRPr="00EB50AA">
        <w:rPr>
          <w:rFonts w:hint="eastAsia"/>
          <w:lang w:val="en-US" w:eastAsia="zh-CN"/>
        </w:rPr>
        <w:t>年</w:t>
      </w:r>
      <w:r w:rsidR="0059080E">
        <w:rPr>
          <w:rFonts w:hint="eastAsia"/>
          <w:lang w:val="en-US" w:eastAsia="zh-CN"/>
        </w:rPr>
        <w:t>，</w:t>
      </w:r>
      <w:r w:rsidR="005B7362">
        <w:rPr>
          <w:rFonts w:hint="eastAsia"/>
          <w:lang w:val="en-US" w:eastAsia="zh-CN"/>
        </w:rPr>
        <w:t>人</w:t>
      </w:r>
      <w:r w:rsidRPr="00EB50AA">
        <w:rPr>
          <w:rFonts w:hint="eastAsia"/>
          <w:lang w:val="en-US" w:eastAsia="zh-CN"/>
        </w:rPr>
        <w:t>人</w:t>
      </w:r>
      <w:r w:rsidR="005B7362">
        <w:rPr>
          <w:rFonts w:hint="eastAsia"/>
          <w:lang w:val="en-US" w:eastAsia="zh-CN"/>
        </w:rPr>
        <w:t>均</w:t>
      </w:r>
      <w:r w:rsidRPr="00EB50AA">
        <w:rPr>
          <w:rFonts w:hint="eastAsia"/>
          <w:lang w:val="en-US" w:eastAsia="zh-CN"/>
        </w:rPr>
        <w:t>能</w:t>
      </w:r>
      <w:r w:rsidR="005B7362">
        <w:rPr>
          <w:rFonts w:hint="eastAsia"/>
          <w:lang w:val="en-US" w:eastAsia="zh-CN"/>
        </w:rPr>
        <w:t>享受</w:t>
      </w:r>
      <w:r w:rsidRPr="00EB50AA">
        <w:rPr>
          <w:rFonts w:hint="eastAsia"/>
          <w:lang w:val="en-US" w:eastAsia="zh-CN"/>
        </w:rPr>
        <w:t>有意义</w:t>
      </w:r>
      <w:r w:rsidR="005B7362">
        <w:rPr>
          <w:rFonts w:hint="eastAsia"/>
          <w:lang w:val="en-US" w:eastAsia="zh-CN"/>
        </w:rPr>
        <w:t>的互联</w:t>
      </w:r>
      <w:r w:rsidR="0059080E">
        <w:rPr>
          <w:rFonts w:hint="eastAsia"/>
          <w:lang w:val="en-US" w:eastAsia="zh-CN"/>
        </w:rPr>
        <w:t>互通</w:t>
      </w:r>
      <w:r w:rsidRPr="00EB50AA">
        <w:rPr>
          <w:rFonts w:hint="eastAsia"/>
          <w:lang w:val="en-US" w:eastAsia="zh-CN"/>
        </w:rPr>
        <w:t>。</w:t>
      </w:r>
      <w:r w:rsidRPr="00EB50AA">
        <w:rPr>
          <w:rFonts w:hint="eastAsia"/>
          <w:lang w:val="en-US" w:eastAsia="zh-CN"/>
        </w:rPr>
        <w:t>GDIP</w:t>
      </w:r>
      <w:r w:rsidR="005B7362">
        <w:rPr>
          <w:rFonts w:hint="eastAsia"/>
          <w:lang w:val="en-US" w:eastAsia="zh-CN"/>
        </w:rPr>
        <w:t>通过</w:t>
      </w:r>
      <w:r w:rsidR="0059080E">
        <w:rPr>
          <w:rFonts w:hint="eastAsia"/>
          <w:lang w:val="en-US" w:eastAsia="zh-CN"/>
        </w:rPr>
        <w:t>拓展</w:t>
      </w:r>
      <w:r w:rsidR="005B7362" w:rsidRPr="00EB50AA">
        <w:rPr>
          <w:rFonts w:hint="eastAsia"/>
          <w:lang w:val="en-US" w:eastAsia="zh-CN"/>
        </w:rPr>
        <w:t>数字机遇</w:t>
      </w:r>
      <w:r w:rsidR="005B7362">
        <w:rPr>
          <w:rFonts w:hint="eastAsia"/>
          <w:lang w:val="en-US" w:eastAsia="zh-CN"/>
        </w:rPr>
        <w:t>为人们赋能并为其</w:t>
      </w:r>
      <w:r w:rsidRPr="00EB50AA">
        <w:rPr>
          <w:rFonts w:hint="eastAsia"/>
          <w:lang w:val="en-US" w:eastAsia="zh-CN"/>
        </w:rPr>
        <w:t>生活</w:t>
      </w:r>
      <w:r w:rsidR="005B7362">
        <w:rPr>
          <w:rFonts w:hint="eastAsia"/>
          <w:lang w:val="en-US" w:eastAsia="zh-CN"/>
        </w:rPr>
        <w:t>提供支持</w:t>
      </w:r>
      <w:r w:rsidRPr="00EB50AA">
        <w:rPr>
          <w:rFonts w:hint="eastAsia"/>
          <w:lang w:val="en-US" w:eastAsia="zh-CN"/>
        </w:rPr>
        <w:t>，从而实现包容性的数字社会。秘书处认为，该实体符合理事会规定的</w:t>
      </w:r>
      <w:r w:rsidR="00C069AC">
        <w:rPr>
          <w:rFonts w:hint="eastAsia"/>
          <w:lang w:val="en-US" w:eastAsia="zh-CN"/>
        </w:rPr>
        <w:t>免缴会费标准</w:t>
      </w:r>
      <w:r w:rsidRPr="00EB50AA">
        <w:rPr>
          <w:rFonts w:hint="eastAsia"/>
          <w:lang w:val="en-US" w:eastAsia="zh-CN"/>
        </w:rPr>
        <w:t>。</w:t>
      </w:r>
    </w:p>
    <w:p w14:paraId="24C2AE01" w14:textId="77777777" w:rsidR="004C733F" w:rsidRPr="006D5E09" w:rsidRDefault="004C733F" w:rsidP="004C733F">
      <w:pPr>
        <w:spacing w:after="120"/>
        <w:rPr>
          <w:rFonts w:cs="Calibri"/>
          <w:lang w:val="en-US"/>
        </w:rPr>
      </w:pPr>
      <w:r w:rsidRPr="006D5E09">
        <w:rPr>
          <w:rFonts w:cs="Calibri"/>
          <w:lang w:val="en-US"/>
        </w:rPr>
        <w:t>2.10</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7070F8" w:rsidRPr="006D5E09" w14:paraId="6DCEA746" w14:textId="77777777" w:rsidTr="00710A02">
        <w:trPr>
          <w:cantSplit/>
          <w:jc w:val="center"/>
        </w:trPr>
        <w:tc>
          <w:tcPr>
            <w:tcW w:w="4331" w:type="dxa"/>
          </w:tcPr>
          <w:p w14:paraId="5B9A2B43" w14:textId="587EB17C" w:rsidR="007070F8" w:rsidRPr="006D5E09" w:rsidRDefault="007070F8" w:rsidP="00E95EEC">
            <w:pPr>
              <w:pStyle w:val="Tablehead"/>
              <w:rPr>
                <w:lang w:val="en-US"/>
              </w:rPr>
            </w:pPr>
            <w:r>
              <w:rPr>
                <w:rFonts w:hint="eastAsia"/>
                <w:lang w:val="en-US" w:eastAsia="zh-CN"/>
              </w:rPr>
              <w:lastRenderedPageBreak/>
              <w:t>组织</w:t>
            </w:r>
          </w:p>
        </w:tc>
        <w:tc>
          <w:tcPr>
            <w:tcW w:w="1559" w:type="dxa"/>
          </w:tcPr>
          <w:p w14:paraId="447A8D72" w14:textId="34AED2A5" w:rsidR="007070F8" w:rsidRPr="006D5E09" w:rsidRDefault="007070F8" w:rsidP="00E95EEC">
            <w:pPr>
              <w:pStyle w:val="Tablehead"/>
              <w:rPr>
                <w:lang w:val="en-US"/>
              </w:rPr>
            </w:pPr>
            <w:r>
              <w:rPr>
                <w:rFonts w:hint="eastAsia"/>
                <w:lang w:val="en-US" w:eastAsia="zh-CN"/>
              </w:rPr>
              <w:t>部门</w:t>
            </w:r>
          </w:p>
        </w:tc>
        <w:tc>
          <w:tcPr>
            <w:tcW w:w="3325" w:type="dxa"/>
          </w:tcPr>
          <w:p w14:paraId="55DF2D03" w14:textId="092378E7" w:rsidR="007070F8" w:rsidRPr="002E1BDF" w:rsidRDefault="007070F8" w:rsidP="00E95EEC">
            <w:pPr>
              <w:pStyle w:val="Tablehead"/>
              <w:rPr>
                <w:lang w:val="en-US"/>
              </w:rPr>
            </w:pPr>
            <w:r>
              <w:rPr>
                <w:rFonts w:hint="eastAsia"/>
                <w:lang w:val="en-US" w:eastAsia="zh-CN"/>
              </w:rPr>
              <w:t>建议</w:t>
            </w:r>
          </w:p>
        </w:tc>
      </w:tr>
      <w:tr w:rsidR="004C733F" w:rsidRPr="006D5E09" w14:paraId="4FEE1F44" w14:textId="77777777" w:rsidTr="00710A02">
        <w:trPr>
          <w:cantSplit/>
          <w:jc w:val="center"/>
        </w:trPr>
        <w:tc>
          <w:tcPr>
            <w:tcW w:w="4331" w:type="dxa"/>
            <w:vAlign w:val="center"/>
          </w:tcPr>
          <w:p w14:paraId="2BF42ACE" w14:textId="1888F2E3" w:rsidR="004C733F" w:rsidRPr="00E95EEC" w:rsidRDefault="005B7362" w:rsidP="00E95EEC">
            <w:pPr>
              <w:pStyle w:val="TableText0"/>
              <w:spacing w:before="120" w:after="60"/>
              <w:rPr>
                <w:rFonts w:asciiTheme="minorHAnsi" w:hAnsiTheme="minorHAnsi" w:cstheme="minorHAnsi"/>
                <w:b/>
                <w:bCs/>
                <w:iCs/>
                <w:sz w:val="22"/>
                <w:szCs w:val="24"/>
                <w:lang w:eastAsia="zh-CN"/>
              </w:rPr>
            </w:pPr>
            <w:r w:rsidRPr="00E95EEC">
              <w:rPr>
                <w:rFonts w:asciiTheme="minorHAnsi" w:hAnsiTheme="minorHAnsi" w:cstheme="minorHAnsi" w:hint="eastAsia"/>
                <w:b/>
                <w:bCs/>
                <w:iCs/>
                <w:sz w:val="22"/>
                <w:szCs w:val="24"/>
                <w:lang w:eastAsia="zh-CN"/>
              </w:rPr>
              <w:t>阿拉伯联盟教育、文化及科学组织（</w:t>
            </w:r>
            <w:r w:rsidR="0059080E" w:rsidRPr="00E95EEC">
              <w:rPr>
                <w:rFonts w:asciiTheme="minorHAnsi" w:hAnsiTheme="minorHAnsi"/>
                <w:b/>
                <w:bCs/>
                <w:sz w:val="22"/>
                <w:lang w:eastAsia="zh-CN"/>
              </w:rPr>
              <w:t>ALECSO</w:t>
            </w:r>
            <w:r w:rsidRPr="00E95EEC">
              <w:rPr>
                <w:rFonts w:asciiTheme="minorHAnsi" w:hAnsiTheme="minorHAnsi" w:cstheme="minorHAnsi" w:hint="eastAsia"/>
                <w:b/>
                <w:bCs/>
                <w:iCs/>
                <w:sz w:val="22"/>
                <w:szCs w:val="24"/>
                <w:lang w:eastAsia="zh-CN"/>
              </w:rPr>
              <w:t>）</w:t>
            </w:r>
          </w:p>
        </w:tc>
        <w:tc>
          <w:tcPr>
            <w:tcW w:w="1559" w:type="dxa"/>
            <w:vAlign w:val="center"/>
          </w:tcPr>
          <w:p w14:paraId="511AFCC6" w14:textId="77777777" w:rsidR="004C733F" w:rsidRPr="00E95EEC" w:rsidRDefault="004C733F" w:rsidP="00E95EEC">
            <w:pPr>
              <w:pStyle w:val="TableText0"/>
              <w:spacing w:before="0"/>
              <w:jc w:val="center"/>
              <w:rPr>
                <w:rFonts w:asciiTheme="minorHAnsi" w:hAnsiTheme="minorHAnsi" w:cstheme="minorHAnsi"/>
                <w:sz w:val="22"/>
                <w:szCs w:val="24"/>
                <w:lang w:val="fr-CH"/>
              </w:rPr>
            </w:pPr>
            <w:r w:rsidRPr="00E95EEC">
              <w:rPr>
                <w:rFonts w:asciiTheme="minorHAnsi" w:hAnsiTheme="minorHAnsi" w:cstheme="minorHAnsi"/>
                <w:sz w:val="22"/>
                <w:szCs w:val="24"/>
                <w:lang w:val="fr-CH"/>
              </w:rPr>
              <w:t>ITU-T</w:t>
            </w:r>
          </w:p>
          <w:p w14:paraId="13600CE7" w14:textId="77777777" w:rsidR="004C733F" w:rsidRPr="00E95EEC" w:rsidRDefault="004C733F" w:rsidP="00E95EEC">
            <w:pPr>
              <w:pStyle w:val="TableText0"/>
              <w:spacing w:before="0"/>
              <w:jc w:val="center"/>
              <w:rPr>
                <w:rFonts w:asciiTheme="minorHAnsi" w:hAnsiTheme="minorHAnsi" w:cstheme="minorHAnsi"/>
                <w:sz w:val="22"/>
                <w:szCs w:val="24"/>
                <w:lang w:val="fr-CH"/>
              </w:rPr>
            </w:pPr>
            <w:r w:rsidRPr="00E95EEC">
              <w:rPr>
                <w:rFonts w:asciiTheme="minorHAnsi" w:hAnsiTheme="minorHAnsi" w:cstheme="minorHAnsi"/>
                <w:sz w:val="22"/>
                <w:szCs w:val="24"/>
                <w:lang w:val="fr-CH"/>
              </w:rPr>
              <w:t>ITU-D</w:t>
            </w:r>
          </w:p>
        </w:tc>
        <w:tc>
          <w:tcPr>
            <w:tcW w:w="3325" w:type="dxa"/>
            <w:vAlign w:val="center"/>
          </w:tcPr>
          <w:p w14:paraId="66DBACA4" w14:textId="7054BCAA" w:rsidR="004C733F" w:rsidRPr="00E95EEC" w:rsidRDefault="00EB50AA" w:rsidP="00E95EEC">
            <w:pPr>
              <w:pStyle w:val="TableText0"/>
              <w:spacing w:before="0"/>
              <w:jc w:val="center"/>
              <w:rPr>
                <w:rFonts w:asciiTheme="minorHAnsi" w:hAnsiTheme="minorHAnsi" w:cstheme="minorHAnsi"/>
                <w:color w:val="000000" w:themeColor="text1"/>
                <w:sz w:val="22"/>
                <w:szCs w:val="24"/>
                <w:lang w:val="en-US"/>
              </w:rPr>
            </w:pPr>
            <w:r w:rsidRPr="00E95EEC">
              <w:rPr>
                <w:rFonts w:asciiTheme="minorHAnsi" w:hAnsiTheme="minorHAnsi" w:hint="eastAsia"/>
                <w:sz w:val="22"/>
                <w:szCs w:val="24"/>
                <w:lang w:val="fr-CH" w:eastAsia="zh-CN"/>
              </w:rPr>
              <w:t>予以免除</w:t>
            </w:r>
          </w:p>
          <w:p w14:paraId="147B0EA9" w14:textId="2FF46877" w:rsidR="004C733F" w:rsidRPr="00E95EEC" w:rsidRDefault="00EB50AA" w:rsidP="00E95EEC">
            <w:pPr>
              <w:pStyle w:val="TableText0"/>
              <w:spacing w:before="0"/>
              <w:jc w:val="center"/>
              <w:rPr>
                <w:rFonts w:asciiTheme="minorHAnsi" w:hAnsiTheme="minorHAnsi" w:cstheme="minorHAnsi"/>
                <w:color w:val="000000" w:themeColor="text1"/>
                <w:sz w:val="22"/>
                <w:szCs w:val="24"/>
                <w:lang w:val="en-US"/>
              </w:rPr>
            </w:pPr>
            <w:r w:rsidRPr="00E95EEC">
              <w:rPr>
                <w:rFonts w:asciiTheme="minorHAnsi" w:hAnsiTheme="minorHAnsi" w:hint="eastAsia"/>
                <w:sz w:val="22"/>
                <w:szCs w:val="24"/>
                <w:lang w:val="fr-CH" w:eastAsia="zh-CN"/>
              </w:rPr>
              <w:t>予以免除</w:t>
            </w:r>
          </w:p>
        </w:tc>
      </w:tr>
    </w:tbl>
    <w:p w14:paraId="7D32648B" w14:textId="286409F2" w:rsidR="004C733F" w:rsidRPr="006D5E09" w:rsidRDefault="00EB50AA" w:rsidP="00912047">
      <w:pPr>
        <w:spacing w:after="120"/>
        <w:ind w:firstLineChars="200" w:firstLine="480"/>
        <w:jc w:val="both"/>
        <w:rPr>
          <w:lang w:eastAsia="zh-CN"/>
        </w:rPr>
      </w:pPr>
      <w:r w:rsidRPr="00EB50AA">
        <w:rPr>
          <w:rFonts w:hint="eastAsia"/>
          <w:lang w:eastAsia="zh-CN"/>
        </w:rPr>
        <w:t>阿拉伯联盟教育、文化及科学组织</w:t>
      </w:r>
      <w:r w:rsidR="005B7362">
        <w:rPr>
          <w:rFonts w:hint="eastAsia"/>
          <w:lang w:eastAsia="zh-CN"/>
        </w:rPr>
        <w:t>（</w:t>
      </w:r>
      <w:r w:rsidR="005B7362" w:rsidRPr="186B2739">
        <w:rPr>
          <w:lang w:eastAsia="zh-CN"/>
        </w:rPr>
        <w:t>ALECSO</w:t>
      </w:r>
      <w:r w:rsidR="005B7362">
        <w:rPr>
          <w:rFonts w:hint="eastAsia"/>
          <w:lang w:eastAsia="zh-CN"/>
        </w:rPr>
        <w:t>）</w:t>
      </w:r>
      <w:r w:rsidRPr="00EB50AA">
        <w:rPr>
          <w:rFonts w:hint="eastAsia"/>
          <w:lang w:eastAsia="zh-CN"/>
        </w:rPr>
        <w:t>是阿拉伯联盟设在突尼斯的一个机构，</w:t>
      </w:r>
      <w:r w:rsidR="005B7362">
        <w:rPr>
          <w:rFonts w:hint="eastAsia"/>
          <w:lang w:eastAsia="zh-CN"/>
        </w:rPr>
        <w:t>该组织</w:t>
      </w:r>
      <w:r w:rsidRPr="00EB50AA">
        <w:rPr>
          <w:rFonts w:hint="eastAsia"/>
          <w:lang w:eastAsia="zh-CN"/>
        </w:rPr>
        <w:t>成立于</w:t>
      </w:r>
      <w:r w:rsidRPr="00EB50AA">
        <w:rPr>
          <w:rFonts w:hint="eastAsia"/>
          <w:lang w:eastAsia="zh-CN"/>
        </w:rPr>
        <w:t>1970</w:t>
      </w:r>
      <w:r w:rsidRPr="00EB50AA">
        <w:rPr>
          <w:rFonts w:hint="eastAsia"/>
          <w:lang w:eastAsia="zh-CN"/>
        </w:rPr>
        <w:t>年，</w:t>
      </w:r>
      <w:r w:rsidR="005B7362">
        <w:rPr>
          <w:rFonts w:hint="eastAsia"/>
          <w:lang w:eastAsia="zh-CN"/>
        </w:rPr>
        <w:t>共</w:t>
      </w:r>
      <w:r w:rsidRPr="00EB50AA">
        <w:rPr>
          <w:rFonts w:hint="eastAsia"/>
          <w:lang w:eastAsia="zh-CN"/>
        </w:rPr>
        <w:t>有</w:t>
      </w:r>
      <w:r w:rsidRPr="00EB50AA">
        <w:rPr>
          <w:rFonts w:hint="eastAsia"/>
          <w:lang w:eastAsia="zh-CN"/>
        </w:rPr>
        <w:t>22</w:t>
      </w:r>
      <w:r w:rsidRPr="00EB50AA">
        <w:rPr>
          <w:rFonts w:hint="eastAsia"/>
          <w:lang w:eastAsia="zh-CN"/>
        </w:rPr>
        <w:t>个成员国。</w:t>
      </w:r>
      <w:r w:rsidR="005B7362" w:rsidRPr="186B2739">
        <w:rPr>
          <w:lang w:eastAsia="zh-CN"/>
        </w:rPr>
        <w:t>ALECSO</w:t>
      </w:r>
      <w:r w:rsidRPr="00EB50AA">
        <w:rPr>
          <w:rFonts w:hint="eastAsia"/>
          <w:lang w:eastAsia="zh-CN"/>
        </w:rPr>
        <w:t>致力于协调阿拉伯世界的文化和教育活动。在</w:t>
      </w:r>
      <w:r w:rsidR="005B7362">
        <w:rPr>
          <w:rFonts w:hint="eastAsia"/>
          <w:lang w:eastAsia="zh-CN"/>
        </w:rPr>
        <w:t>开展</w:t>
      </w:r>
      <w:r w:rsidRPr="00EB50AA">
        <w:rPr>
          <w:rFonts w:hint="eastAsia"/>
          <w:lang w:eastAsia="zh-CN"/>
        </w:rPr>
        <w:t>各种活动</w:t>
      </w:r>
      <w:r w:rsidR="005B7362">
        <w:rPr>
          <w:rFonts w:hint="eastAsia"/>
          <w:lang w:eastAsia="zh-CN"/>
        </w:rPr>
        <w:t>的过程</w:t>
      </w:r>
      <w:r w:rsidRPr="00EB50AA">
        <w:rPr>
          <w:rFonts w:hint="eastAsia"/>
          <w:lang w:eastAsia="zh-CN"/>
        </w:rPr>
        <w:t>中，</w:t>
      </w:r>
      <w:r w:rsidR="005B7362" w:rsidRPr="186B2739">
        <w:rPr>
          <w:lang w:eastAsia="zh-CN"/>
        </w:rPr>
        <w:t>ALECSO</w:t>
      </w:r>
      <w:r w:rsidRPr="00EB50AA">
        <w:rPr>
          <w:rFonts w:hint="eastAsia"/>
          <w:lang w:eastAsia="zh-CN"/>
        </w:rPr>
        <w:t>在整个阿拉伯世界</w:t>
      </w:r>
      <w:r w:rsidR="005B7362">
        <w:rPr>
          <w:rFonts w:hint="eastAsia"/>
          <w:lang w:eastAsia="zh-CN"/>
        </w:rPr>
        <w:t>都</w:t>
      </w:r>
      <w:r w:rsidRPr="00EB50AA">
        <w:rPr>
          <w:rFonts w:hint="eastAsia"/>
          <w:lang w:eastAsia="zh-CN"/>
        </w:rPr>
        <w:t>建立了附属机构。作为一个拥有成员国的国际组织，秘书处认为该实体符合理事会规定的</w:t>
      </w:r>
      <w:r w:rsidR="00440DB1">
        <w:rPr>
          <w:rFonts w:hint="eastAsia"/>
          <w:lang w:eastAsia="zh-CN"/>
        </w:rPr>
        <w:t>免缴会费标准</w:t>
      </w:r>
      <w:r w:rsidRPr="00EB50AA">
        <w:rPr>
          <w:rFonts w:hint="eastAsia"/>
          <w:lang w:eastAsia="zh-CN"/>
        </w:rPr>
        <w:t>。</w:t>
      </w:r>
    </w:p>
    <w:p w14:paraId="11481778" w14:textId="77777777" w:rsidR="004C733F" w:rsidRPr="006D5E09" w:rsidRDefault="004C733F" w:rsidP="004C733F">
      <w:pPr>
        <w:keepNext/>
        <w:spacing w:after="120"/>
        <w:rPr>
          <w:rFonts w:cs="Calibri"/>
          <w:lang w:val="en-US"/>
        </w:rPr>
      </w:pPr>
      <w:r w:rsidRPr="006D5E09">
        <w:rPr>
          <w:rFonts w:cs="Calibri"/>
          <w:lang w:val="en-US"/>
        </w:rPr>
        <w:t>2.11</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7070F8" w:rsidRPr="006D5E09" w14:paraId="727AB18D" w14:textId="77777777" w:rsidTr="00710A02">
        <w:trPr>
          <w:cantSplit/>
          <w:jc w:val="center"/>
        </w:trPr>
        <w:tc>
          <w:tcPr>
            <w:tcW w:w="4331" w:type="dxa"/>
          </w:tcPr>
          <w:p w14:paraId="15B90A86" w14:textId="60693D2A" w:rsidR="007070F8" w:rsidRPr="006D5E09" w:rsidRDefault="007070F8" w:rsidP="00E95EEC">
            <w:pPr>
              <w:pStyle w:val="Tablehead"/>
              <w:rPr>
                <w:lang w:val="en-US"/>
              </w:rPr>
            </w:pPr>
            <w:r>
              <w:rPr>
                <w:rFonts w:hint="eastAsia"/>
                <w:lang w:val="en-US" w:eastAsia="zh-CN"/>
              </w:rPr>
              <w:t>组织</w:t>
            </w:r>
          </w:p>
        </w:tc>
        <w:tc>
          <w:tcPr>
            <w:tcW w:w="1559" w:type="dxa"/>
          </w:tcPr>
          <w:p w14:paraId="76D5656F" w14:textId="33436331" w:rsidR="007070F8" w:rsidRPr="006D5E09" w:rsidRDefault="007070F8" w:rsidP="00E95EEC">
            <w:pPr>
              <w:pStyle w:val="Tablehead"/>
              <w:rPr>
                <w:lang w:val="en-US"/>
              </w:rPr>
            </w:pPr>
            <w:r>
              <w:rPr>
                <w:rFonts w:hint="eastAsia"/>
                <w:lang w:val="en-US" w:eastAsia="zh-CN"/>
              </w:rPr>
              <w:t>部门</w:t>
            </w:r>
          </w:p>
        </w:tc>
        <w:tc>
          <w:tcPr>
            <w:tcW w:w="3325" w:type="dxa"/>
          </w:tcPr>
          <w:p w14:paraId="0B485F3F" w14:textId="30E1EE6A" w:rsidR="007070F8" w:rsidRPr="002E1BDF" w:rsidRDefault="007070F8" w:rsidP="00E95EEC">
            <w:pPr>
              <w:pStyle w:val="Tablehead"/>
              <w:rPr>
                <w:lang w:val="en-US"/>
              </w:rPr>
            </w:pPr>
            <w:r>
              <w:rPr>
                <w:rFonts w:hint="eastAsia"/>
                <w:lang w:val="en-US" w:eastAsia="zh-CN"/>
              </w:rPr>
              <w:t>建议</w:t>
            </w:r>
          </w:p>
        </w:tc>
      </w:tr>
      <w:tr w:rsidR="004C733F" w:rsidRPr="006D5E09" w14:paraId="23EC9A97" w14:textId="77777777" w:rsidTr="00710A02">
        <w:trPr>
          <w:cantSplit/>
          <w:jc w:val="center"/>
        </w:trPr>
        <w:tc>
          <w:tcPr>
            <w:tcW w:w="4331" w:type="dxa"/>
            <w:vAlign w:val="center"/>
          </w:tcPr>
          <w:p w14:paraId="67FA5ADE" w14:textId="5C7CD1C2" w:rsidR="004C733F" w:rsidRPr="00E95EEC" w:rsidRDefault="005B7362" w:rsidP="00E95EEC">
            <w:pPr>
              <w:pStyle w:val="TableText0"/>
              <w:spacing w:before="120" w:after="60"/>
              <w:rPr>
                <w:rFonts w:asciiTheme="minorHAnsi" w:hAnsiTheme="minorHAnsi" w:cstheme="minorHAnsi"/>
                <w:b/>
                <w:bCs/>
                <w:iCs/>
                <w:sz w:val="22"/>
                <w:szCs w:val="24"/>
                <w:lang w:eastAsia="zh-CN"/>
              </w:rPr>
            </w:pPr>
            <w:r w:rsidRPr="00E95EEC">
              <w:rPr>
                <w:rFonts w:asciiTheme="minorHAnsi" w:hAnsiTheme="minorHAnsi" w:cstheme="minorHAnsi" w:hint="eastAsia"/>
                <w:b/>
                <w:bCs/>
                <w:iCs/>
                <w:sz w:val="22"/>
                <w:szCs w:val="24"/>
                <w:lang w:eastAsia="zh-CN"/>
              </w:rPr>
              <w:t>开放和敏捷智慧城市（</w:t>
            </w:r>
            <w:r w:rsidRPr="00E95EEC">
              <w:rPr>
                <w:rFonts w:asciiTheme="minorHAnsi" w:hAnsiTheme="minorHAnsi" w:cstheme="minorHAnsi" w:hint="eastAsia"/>
                <w:b/>
                <w:bCs/>
                <w:iCs/>
                <w:sz w:val="22"/>
                <w:szCs w:val="24"/>
                <w:lang w:eastAsia="zh-CN"/>
              </w:rPr>
              <w:t>OASC</w:t>
            </w:r>
            <w:r w:rsidRPr="00E95EEC">
              <w:rPr>
                <w:rFonts w:asciiTheme="minorHAnsi" w:hAnsiTheme="minorHAnsi" w:cstheme="minorHAnsi" w:hint="eastAsia"/>
                <w:b/>
                <w:bCs/>
                <w:iCs/>
                <w:sz w:val="22"/>
                <w:szCs w:val="24"/>
                <w:lang w:eastAsia="zh-CN"/>
              </w:rPr>
              <w:t>）</w:t>
            </w:r>
          </w:p>
        </w:tc>
        <w:tc>
          <w:tcPr>
            <w:tcW w:w="1559" w:type="dxa"/>
            <w:vAlign w:val="center"/>
          </w:tcPr>
          <w:p w14:paraId="0A7CDF2D" w14:textId="77777777" w:rsidR="004C733F" w:rsidRPr="00705EE2" w:rsidRDefault="004C733F" w:rsidP="00705EE2">
            <w:pPr>
              <w:pStyle w:val="TableText0"/>
              <w:spacing w:before="0"/>
              <w:jc w:val="center"/>
              <w:rPr>
                <w:rFonts w:asciiTheme="minorHAnsi" w:hAnsiTheme="minorHAnsi" w:cstheme="minorHAnsi"/>
                <w:sz w:val="22"/>
                <w:szCs w:val="24"/>
                <w:lang w:val="fr-CH"/>
              </w:rPr>
            </w:pPr>
            <w:r w:rsidRPr="00705EE2">
              <w:rPr>
                <w:rFonts w:asciiTheme="minorHAnsi" w:hAnsiTheme="minorHAnsi" w:cstheme="minorHAnsi"/>
                <w:sz w:val="22"/>
                <w:szCs w:val="24"/>
                <w:lang w:val="fr-CH"/>
              </w:rPr>
              <w:t>ITU-T</w:t>
            </w:r>
          </w:p>
        </w:tc>
        <w:tc>
          <w:tcPr>
            <w:tcW w:w="3325" w:type="dxa"/>
            <w:vAlign w:val="center"/>
          </w:tcPr>
          <w:p w14:paraId="738A83BB" w14:textId="3110D3E7" w:rsidR="004C733F" w:rsidRPr="00705EE2" w:rsidRDefault="00EB50AA" w:rsidP="00705EE2">
            <w:pPr>
              <w:pStyle w:val="TableText0"/>
              <w:spacing w:before="0"/>
              <w:jc w:val="center"/>
              <w:rPr>
                <w:rFonts w:asciiTheme="minorHAnsi" w:hAnsiTheme="minorHAnsi"/>
                <w:color w:val="000000" w:themeColor="text1"/>
                <w:sz w:val="22"/>
                <w:lang w:val="en-US"/>
              </w:rPr>
            </w:pPr>
            <w:r w:rsidRPr="00705EE2">
              <w:rPr>
                <w:rFonts w:asciiTheme="minorHAnsi" w:hAnsiTheme="minorHAnsi" w:hint="eastAsia"/>
                <w:sz w:val="22"/>
                <w:szCs w:val="24"/>
                <w:lang w:val="fr-CH" w:eastAsia="zh-CN"/>
              </w:rPr>
              <w:t>予以免除</w:t>
            </w:r>
          </w:p>
        </w:tc>
      </w:tr>
    </w:tbl>
    <w:p w14:paraId="6C4A53B7" w14:textId="714D4984" w:rsidR="004C733F" w:rsidRPr="00912047" w:rsidRDefault="005B7362" w:rsidP="00912047">
      <w:pPr>
        <w:spacing w:after="120"/>
        <w:ind w:firstLineChars="200" w:firstLine="480"/>
        <w:jc w:val="both"/>
        <w:rPr>
          <w:color w:val="000000" w:themeColor="text1"/>
          <w:lang w:eastAsia="zh-CN"/>
        </w:rPr>
      </w:pPr>
      <w:r w:rsidRPr="005B7362">
        <w:rPr>
          <w:rFonts w:hint="eastAsia"/>
          <w:color w:val="000000" w:themeColor="text1"/>
          <w:lang w:eastAsia="zh-CN"/>
        </w:rPr>
        <w:t>开放</w:t>
      </w:r>
      <w:r>
        <w:rPr>
          <w:rFonts w:hint="eastAsia"/>
          <w:color w:val="000000" w:themeColor="text1"/>
          <w:lang w:eastAsia="zh-CN"/>
        </w:rPr>
        <w:t>和</w:t>
      </w:r>
      <w:r w:rsidRPr="005B7362">
        <w:rPr>
          <w:rFonts w:hint="eastAsia"/>
          <w:color w:val="000000" w:themeColor="text1"/>
          <w:lang w:eastAsia="zh-CN"/>
        </w:rPr>
        <w:t>敏捷智慧城市（</w:t>
      </w:r>
      <w:r w:rsidRPr="005B7362">
        <w:rPr>
          <w:rFonts w:hint="eastAsia"/>
          <w:color w:val="000000" w:themeColor="text1"/>
          <w:lang w:eastAsia="zh-CN"/>
        </w:rPr>
        <w:t>OASC</w:t>
      </w:r>
      <w:r w:rsidRPr="005B7362">
        <w:rPr>
          <w:rFonts w:hint="eastAsia"/>
          <w:color w:val="000000" w:themeColor="text1"/>
          <w:lang w:eastAsia="zh-CN"/>
        </w:rPr>
        <w:t>）</w:t>
      </w:r>
      <w:r w:rsidR="007070F8" w:rsidRPr="007070F8">
        <w:rPr>
          <w:rFonts w:hint="eastAsia"/>
          <w:color w:val="000000" w:themeColor="text1"/>
          <w:lang w:eastAsia="zh-CN"/>
        </w:rPr>
        <w:t>是一个非营利性协会，</w:t>
      </w:r>
      <w:r>
        <w:rPr>
          <w:rFonts w:hint="eastAsia"/>
          <w:color w:val="000000" w:themeColor="text1"/>
          <w:lang w:eastAsia="zh-CN"/>
        </w:rPr>
        <w:t>这一</w:t>
      </w:r>
      <w:r w:rsidR="007070F8" w:rsidRPr="007070F8">
        <w:rPr>
          <w:rFonts w:hint="eastAsia"/>
          <w:color w:val="000000" w:themeColor="text1"/>
          <w:lang w:eastAsia="zh-CN"/>
        </w:rPr>
        <w:t>全球性城市和社区网络</w:t>
      </w:r>
      <w:r>
        <w:rPr>
          <w:rFonts w:hint="eastAsia"/>
          <w:color w:val="000000" w:themeColor="text1"/>
          <w:lang w:eastAsia="zh-CN"/>
        </w:rPr>
        <w:t>的</w:t>
      </w:r>
      <w:r w:rsidR="007070F8" w:rsidRPr="007070F8">
        <w:rPr>
          <w:rFonts w:hint="eastAsia"/>
          <w:color w:val="000000" w:themeColor="text1"/>
          <w:lang w:eastAsia="zh-CN"/>
        </w:rPr>
        <w:t>目</w:t>
      </w:r>
      <w:r>
        <w:rPr>
          <w:rFonts w:hint="eastAsia"/>
          <w:color w:val="000000" w:themeColor="text1"/>
          <w:lang w:eastAsia="zh-CN"/>
        </w:rPr>
        <w:t>标</w:t>
      </w:r>
      <w:r w:rsidR="007070F8" w:rsidRPr="007070F8">
        <w:rPr>
          <w:rFonts w:hint="eastAsia"/>
          <w:color w:val="000000" w:themeColor="text1"/>
          <w:lang w:eastAsia="zh-CN"/>
        </w:rPr>
        <w:t>是通过创新</w:t>
      </w:r>
      <w:r>
        <w:rPr>
          <w:rFonts w:hint="eastAsia"/>
          <w:color w:val="000000" w:themeColor="text1"/>
          <w:lang w:eastAsia="zh-CN"/>
        </w:rPr>
        <w:t>与</w:t>
      </w:r>
      <w:r w:rsidR="007070F8" w:rsidRPr="007070F8">
        <w:rPr>
          <w:rFonts w:hint="eastAsia"/>
          <w:color w:val="000000" w:themeColor="text1"/>
          <w:lang w:eastAsia="zh-CN"/>
        </w:rPr>
        <w:t>技术提高</w:t>
      </w:r>
      <w:r>
        <w:rPr>
          <w:rFonts w:hint="eastAsia"/>
          <w:color w:val="000000" w:themeColor="text1"/>
          <w:lang w:eastAsia="zh-CN"/>
        </w:rPr>
        <w:t>人</w:t>
      </w:r>
      <w:r w:rsidR="007070F8" w:rsidRPr="007070F8">
        <w:rPr>
          <w:rFonts w:hint="eastAsia"/>
          <w:color w:val="000000" w:themeColor="text1"/>
          <w:lang w:eastAsia="zh-CN"/>
        </w:rPr>
        <w:t>民的生活质量。</w:t>
      </w:r>
      <w:r w:rsidR="007070F8" w:rsidRPr="007070F8">
        <w:rPr>
          <w:rFonts w:hint="eastAsia"/>
          <w:color w:val="000000" w:themeColor="text1"/>
          <w:lang w:eastAsia="zh-CN"/>
        </w:rPr>
        <w:t>OASC</w:t>
      </w:r>
      <w:r w:rsidR="007070F8" w:rsidRPr="007070F8">
        <w:rPr>
          <w:rFonts w:hint="eastAsia"/>
          <w:color w:val="000000" w:themeColor="text1"/>
          <w:lang w:eastAsia="zh-CN"/>
        </w:rPr>
        <w:t>的使命是联合世界各地的城市和社区，根据</w:t>
      </w:r>
      <w:r w:rsidR="007844D4">
        <w:rPr>
          <w:rFonts w:hint="eastAsia"/>
          <w:color w:val="000000" w:themeColor="text1"/>
          <w:lang w:eastAsia="zh-CN"/>
        </w:rPr>
        <w:t>各</w:t>
      </w:r>
      <w:r w:rsidR="007070F8" w:rsidRPr="007070F8">
        <w:rPr>
          <w:rFonts w:hint="eastAsia"/>
          <w:color w:val="000000" w:themeColor="text1"/>
          <w:lang w:eastAsia="zh-CN"/>
        </w:rPr>
        <w:t>城市和社区的需求，从需求</w:t>
      </w:r>
      <w:r w:rsidR="007844D4">
        <w:rPr>
          <w:rFonts w:hint="eastAsia"/>
          <w:color w:val="000000" w:themeColor="text1"/>
          <w:lang w:eastAsia="zh-CN"/>
        </w:rPr>
        <w:t>侧</w:t>
      </w:r>
      <w:r w:rsidR="007070F8" w:rsidRPr="007070F8">
        <w:rPr>
          <w:rFonts w:hint="eastAsia"/>
          <w:color w:val="000000" w:themeColor="text1"/>
          <w:lang w:eastAsia="zh-CN"/>
        </w:rPr>
        <w:t>构建</w:t>
      </w:r>
      <w:r w:rsidR="007844D4">
        <w:rPr>
          <w:rFonts w:hint="eastAsia"/>
          <w:color w:val="000000" w:themeColor="text1"/>
          <w:lang w:eastAsia="zh-CN"/>
        </w:rPr>
        <w:t>智慧</w:t>
      </w:r>
      <w:r w:rsidR="007070F8" w:rsidRPr="007070F8">
        <w:rPr>
          <w:rFonts w:hint="eastAsia"/>
          <w:color w:val="000000" w:themeColor="text1"/>
          <w:lang w:eastAsia="zh-CN"/>
        </w:rPr>
        <w:t>城市数据</w:t>
      </w:r>
      <w:r w:rsidR="007844D4">
        <w:rPr>
          <w:rFonts w:hint="eastAsia"/>
          <w:color w:val="000000" w:themeColor="text1"/>
          <w:lang w:eastAsia="zh-CN"/>
        </w:rPr>
        <w:t>与</w:t>
      </w:r>
      <w:r w:rsidR="007070F8" w:rsidRPr="007070F8">
        <w:rPr>
          <w:rFonts w:hint="eastAsia"/>
          <w:color w:val="000000" w:themeColor="text1"/>
          <w:lang w:eastAsia="zh-CN"/>
        </w:rPr>
        <w:t>服务的全球市场。秘书处认为，作为一个拥有地方政府成员的非营利</w:t>
      </w:r>
      <w:r w:rsidR="007844D4" w:rsidRPr="007070F8">
        <w:rPr>
          <w:rFonts w:hint="eastAsia"/>
          <w:color w:val="000000" w:themeColor="text1"/>
          <w:lang w:eastAsia="zh-CN"/>
        </w:rPr>
        <w:t>国际</w:t>
      </w:r>
      <w:r w:rsidR="007070F8" w:rsidRPr="007070F8">
        <w:rPr>
          <w:rFonts w:hint="eastAsia"/>
          <w:color w:val="000000" w:themeColor="text1"/>
          <w:lang w:eastAsia="zh-CN"/>
        </w:rPr>
        <w:t>协会，该实体符合理事会规定的</w:t>
      </w:r>
      <w:r w:rsidR="00440DB1">
        <w:rPr>
          <w:rFonts w:hint="eastAsia"/>
          <w:color w:val="000000" w:themeColor="text1"/>
          <w:lang w:eastAsia="zh-CN"/>
        </w:rPr>
        <w:t>免缴会费标准</w:t>
      </w:r>
      <w:r w:rsidR="007070F8" w:rsidRPr="007070F8">
        <w:rPr>
          <w:rFonts w:hint="eastAsia"/>
          <w:color w:val="000000" w:themeColor="text1"/>
          <w:lang w:eastAsia="zh-CN"/>
        </w:rPr>
        <w:t>。</w:t>
      </w:r>
    </w:p>
    <w:p w14:paraId="7EFA1A75" w14:textId="3D0A4BBB" w:rsidR="00D17996" w:rsidRPr="00F2480D" w:rsidRDefault="004C733F" w:rsidP="00AD20C0">
      <w:pPr>
        <w:spacing w:before="840" w:after="120"/>
        <w:jc w:val="center"/>
      </w:pPr>
      <w:r>
        <w:t>______________</w:t>
      </w:r>
    </w:p>
    <w:sectPr w:rsidR="00D17996" w:rsidRPr="00F2480D" w:rsidSect="00E24D59">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3606" w14:textId="77777777" w:rsidR="00A953DB" w:rsidRDefault="00A953DB">
      <w:r>
        <w:separator/>
      </w:r>
    </w:p>
  </w:endnote>
  <w:endnote w:type="continuationSeparator" w:id="0">
    <w:p w14:paraId="1C88F4A5" w14:textId="77777777" w:rsidR="00A953DB" w:rsidRDefault="00A9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650143E1" w:rsidR="00E24D59" w:rsidRDefault="00E24D59" w:rsidP="00E24D59">
          <w:pPr>
            <w:pStyle w:val="Header"/>
            <w:jc w:val="left"/>
            <w:rPr>
              <w:noProof/>
            </w:rPr>
          </w:pPr>
          <w:r>
            <w:rPr>
              <w:noProof/>
            </w:rPr>
            <w:t xml:space="preserve">DPS </w:t>
          </w:r>
          <w:r w:rsidR="00576195" w:rsidRPr="00516D91">
            <w:t>52</w:t>
          </w:r>
          <w:r w:rsidR="0060179A">
            <w:t>107</w:t>
          </w:r>
          <w:r w:rsidR="004C733F">
            <w:t>3</w:t>
          </w:r>
        </w:p>
      </w:tc>
      <w:tc>
        <w:tcPr>
          <w:tcW w:w="8261" w:type="dxa"/>
        </w:tcPr>
        <w:p w14:paraId="128C249C" w14:textId="21C51ACF"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60179A">
            <w:rPr>
              <w:bCs/>
            </w:rPr>
            <w:t>3</w:t>
          </w:r>
          <w:r w:rsidR="004C733F">
            <w:rPr>
              <w:bCs/>
            </w:rPr>
            <w:t>9</w:t>
          </w:r>
          <w:r w:rsidRPr="00623AE3">
            <w:rPr>
              <w:bCs/>
            </w:rPr>
            <w:t>-</w:t>
          </w:r>
          <w:r>
            <w:rPr>
              <w:bCs/>
            </w:rPr>
            <w:t>C</w:t>
          </w:r>
          <w:r>
            <w:rPr>
              <w:bCs/>
            </w:rPr>
            <w:tab/>
          </w:r>
          <w:r>
            <w:fldChar w:fldCharType="begin"/>
          </w:r>
          <w:r>
            <w:instrText>PAGE</w:instrText>
          </w:r>
          <w:r>
            <w:fldChar w:fldCharType="separate"/>
          </w:r>
          <w:r w:rsidR="00A63DE4">
            <w:rPr>
              <w:noProof/>
            </w:rPr>
            <w:t>2</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77777777" w:rsidR="00E24D59" w:rsidRDefault="00E660F6" w:rsidP="00E24D59">
          <w:pPr>
            <w:pStyle w:val="Header"/>
            <w:jc w:val="left"/>
            <w:rPr>
              <w:noProof/>
            </w:rPr>
          </w:pPr>
          <w:hyperlink r:id="rId1" w:history="1">
            <w:r w:rsidR="00E24D59" w:rsidRPr="00A514A4">
              <w:rPr>
                <w:rStyle w:val="Hyperlink"/>
                <w:szCs w:val="14"/>
              </w:rPr>
              <w:t>www.itu.int/council</w:t>
            </w:r>
          </w:hyperlink>
        </w:p>
      </w:tc>
      <w:tc>
        <w:tcPr>
          <w:tcW w:w="8261" w:type="dxa"/>
        </w:tcPr>
        <w:p w14:paraId="5CB609DF" w14:textId="190E39AE"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FB5FF9">
            <w:rPr>
              <w:bCs/>
            </w:rPr>
            <w:t>C23/</w:t>
          </w:r>
          <w:r w:rsidR="0060179A" w:rsidRPr="00FB5FF9">
            <w:rPr>
              <w:bCs/>
            </w:rPr>
            <w:t>3</w:t>
          </w:r>
          <w:r w:rsidR="00FB5FF9" w:rsidRPr="00FB5FF9">
            <w:rPr>
              <w:bCs/>
            </w:rPr>
            <w:t>9</w:t>
          </w:r>
          <w:r w:rsidRPr="00FB5FF9">
            <w:rPr>
              <w:bCs/>
            </w:rPr>
            <w:t>-C</w:t>
          </w:r>
          <w:r>
            <w:rPr>
              <w:bCs/>
            </w:rPr>
            <w:tab/>
          </w:r>
          <w:r>
            <w:fldChar w:fldCharType="begin"/>
          </w:r>
          <w:r>
            <w:instrText>PAGE</w:instrText>
          </w:r>
          <w:r>
            <w:fldChar w:fldCharType="separate"/>
          </w:r>
          <w:r w:rsidR="00A63DE4">
            <w:rPr>
              <w:noProof/>
            </w:rP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6136" w14:textId="77777777" w:rsidR="00A953DB" w:rsidRDefault="00A953DB">
      <w:r>
        <w:t>____________________</w:t>
      </w:r>
    </w:p>
  </w:footnote>
  <w:footnote w:type="continuationSeparator" w:id="0">
    <w:p w14:paraId="5AE7C9B5" w14:textId="77777777" w:rsidR="00A953DB" w:rsidRDefault="00A95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77777777" w:rsidR="00E24D59" w:rsidRPr="009621F8" w:rsidRDefault="00E24D59" w:rsidP="00E24D59">
          <w:pPr>
            <w:pStyle w:val="Header"/>
            <w:jc w:val="left"/>
            <w:rPr>
              <w:rFonts w:ascii="Arial" w:hAnsi="Arial" w:cs="Arial"/>
              <w:b/>
              <w:bCs/>
              <w:color w:val="009CD6"/>
              <w:sz w:val="36"/>
              <w:szCs w:val="36"/>
            </w:rPr>
          </w:pPr>
          <w:bookmarkStart w:id="16" w:name="_Hlk133422111"/>
          <w:r>
            <w:rPr>
              <w:noProof/>
              <w:lang w:val="en-US" w:eastAsia="zh-CN"/>
            </w:rPr>
            <w:drawing>
              <wp:inline distT="0" distB="0" distL="0" distR="0" wp14:anchorId="5BDAB014" wp14:editId="6FA1E041">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6"/>
  <w:p w14:paraId="57C1AFA3" w14:textId="77777777" w:rsidR="00E24D59" w:rsidRDefault="00E24D59">
    <w:pPr>
      <w:pStyle w:val="Header"/>
    </w:pPr>
    <w:r w:rsidRPr="00802C2C">
      <w:rPr>
        <w:rFonts w:ascii="Avenir Nxt2 W1G Medium" w:eastAsia="Avenir Nxt2 W1G Medium" w:hAnsi="Avenir Nxt2 W1G Medium" w:cs="Avenir Nxt2 W1G Medium"/>
        <w:noProof/>
        <w:lang w:val="en-US" w:eastAsia="zh-CN"/>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561"/>
    <w:multiLevelType w:val="hybridMultilevel"/>
    <w:tmpl w:val="5F50E0DC"/>
    <w:lvl w:ilvl="0" w:tplc="1CDA2DF0">
      <w:start w:val="1"/>
      <w:numFmt w:val="decimal"/>
      <w:pStyle w:val="normalWSIS"/>
      <w:lvlText w:val="%1."/>
      <w:lvlJc w:val="left"/>
      <w:pPr>
        <w:ind w:left="928" w:hanging="360"/>
      </w:pPr>
      <w:rPr>
        <w:b w:val="0"/>
        <w:bCs w:val="0"/>
        <w:i w:val="0"/>
        <w:iCs w:val="0"/>
        <w:color w:val="auto"/>
        <w:sz w:val="20"/>
        <w:szCs w:val="20"/>
        <w:lang w:val="en-US"/>
      </w:rPr>
    </w:lvl>
    <w:lvl w:ilvl="1" w:tplc="A66271A4">
      <w:start w:val="1"/>
      <w:numFmt w:val="lowerLetter"/>
      <w:lvlText w:val="%2."/>
      <w:lvlJc w:val="left"/>
      <w:pPr>
        <w:ind w:left="447" w:hanging="360"/>
      </w:pPr>
    </w:lvl>
    <w:lvl w:ilvl="2" w:tplc="2996DD14">
      <w:start w:val="1"/>
      <w:numFmt w:val="lowerRoman"/>
      <w:lvlText w:val="%3."/>
      <w:lvlJc w:val="right"/>
      <w:pPr>
        <w:ind w:left="1167" w:hanging="180"/>
      </w:pPr>
    </w:lvl>
    <w:lvl w:ilvl="3" w:tplc="040A4666">
      <w:start w:val="1"/>
      <w:numFmt w:val="decimal"/>
      <w:lvlText w:val="%4."/>
      <w:lvlJc w:val="left"/>
      <w:pPr>
        <w:ind w:left="1887" w:hanging="360"/>
      </w:pPr>
    </w:lvl>
    <w:lvl w:ilvl="4" w:tplc="3526545E">
      <w:start w:val="1"/>
      <w:numFmt w:val="lowerLetter"/>
      <w:lvlText w:val="%5."/>
      <w:lvlJc w:val="left"/>
      <w:pPr>
        <w:ind w:left="2607" w:hanging="360"/>
      </w:pPr>
    </w:lvl>
    <w:lvl w:ilvl="5" w:tplc="FAAE93DC" w:tentative="1">
      <w:start w:val="1"/>
      <w:numFmt w:val="lowerRoman"/>
      <w:lvlText w:val="%6."/>
      <w:lvlJc w:val="right"/>
      <w:pPr>
        <w:ind w:left="3327" w:hanging="180"/>
      </w:pPr>
    </w:lvl>
    <w:lvl w:ilvl="6" w:tplc="D02008AE" w:tentative="1">
      <w:start w:val="1"/>
      <w:numFmt w:val="decimal"/>
      <w:lvlText w:val="%7."/>
      <w:lvlJc w:val="left"/>
      <w:pPr>
        <w:ind w:left="4047" w:hanging="360"/>
      </w:pPr>
    </w:lvl>
    <w:lvl w:ilvl="7" w:tplc="46F82DC8" w:tentative="1">
      <w:start w:val="1"/>
      <w:numFmt w:val="lowerLetter"/>
      <w:lvlText w:val="%8."/>
      <w:lvlJc w:val="left"/>
      <w:pPr>
        <w:ind w:left="4767" w:hanging="360"/>
      </w:pPr>
    </w:lvl>
    <w:lvl w:ilvl="8" w:tplc="9B34C2E2" w:tentative="1">
      <w:start w:val="1"/>
      <w:numFmt w:val="lowerRoman"/>
      <w:lvlText w:val="%9."/>
      <w:lvlJc w:val="right"/>
      <w:pPr>
        <w:ind w:left="5487"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6939868">
    <w:abstractNumId w:val="0"/>
  </w:num>
  <w:num w:numId="2" w16cid:durableId="1368414828">
    <w:abstractNumId w:val="2"/>
  </w:num>
  <w:num w:numId="3" w16cid:durableId="1258710958">
    <w:abstractNumId w:val="4"/>
  </w:num>
  <w:num w:numId="4" w16cid:durableId="1641764717">
    <w:abstractNumId w:val="5"/>
  </w:num>
  <w:num w:numId="5" w16cid:durableId="1939867479">
    <w:abstractNumId w:val="7"/>
  </w:num>
  <w:num w:numId="6" w16cid:durableId="581725224">
    <w:abstractNumId w:val="6"/>
  </w:num>
  <w:num w:numId="7" w16cid:durableId="1442458445">
    <w:abstractNumId w:val="1"/>
  </w:num>
  <w:num w:numId="8" w16cid:durableId="205921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5"/>
    <w:rsid w:val="00001B77"/>
    <w:rsid w:val="0000517A"/>
    <w:rsid w:val="000306CE"/>
    <w:rsid w:val="00031E72"/>
    <w:rsid w:val="000404D2"/>
    <w:rsid w:val="00082B51"/>
    <w:rsid w:val="000853C0"/>
    <w:rsid w:val="0009409E"/>
    <w:rsid w:val="000A1C21"/>
    <w:rsid w:val="000C0BC5"/>
    <w:rsid w:val="000D15EA"/>
    <w:rsid w:val="000E51E0"/>
    <w:rsid w:val="00100D84"/>
    <w:rsid w:val="00124C9D"/>
    <w:rsid w:val="00157773"/>
    <w:rsid w:val="00166449"/>
    <w:rsid w:val="00174E37"/>
    <w:rsid w:val="0018251A"/>
    <w:rsid w:val="00190272"/>
    <w:rsid w:val="00193244"/>
    <w:rsid w:val="00195C6C"/>
    <w:rsid w:val="00195FED"/>
    <w:rsid w:val="001A4BD6"/>
    <w:rsid w:val="001D5A18"/>
    <w:rsid w:val="002142BE"/>
    <w:rsid w:val="0027409F"/>
    <w:rsid w:val="00280EB8"/>
    <w:rsid w:val="00286B07"/>
    <w:rsid w:val="002906C1"/>
    <w:rsid w:val="00294200"/>
    <w:rsid w:val="002A6670"/>
    <w:rsid w:val="002C1903"/>
    <w:rsid w:val="002E1BDF"/>
    <w:rsid w:val="002E4A33"/>
    <w:rsid w:val="002E6BFF"/>
    <w:rsid w:val="00303502"/>
    <w:rsid w:val="003035F7"/>
    <w:rsid w:val="00325C25"/>
    <w:rsid w:val="00372C8F"/>
    <w:rsid w:val="00380ECE"/>
    <w:rsid w:val="00393DDF"/>
    <w:rsid w:val="00397F55"/>
    <w:rsid w:val="003B1245"/>
    <w:rsid w:val="003B4454"/>
    <w:rsid w:val="003C2E37"/>
    <w:rsid w:val="003F1415"/>
    <w:rsid w:val="0040144C"/>
    <w:rsid w:val="00403EB7"/>
    <w:rsid w:val="00430BF0"/>
    <w:rsid w:val="00440DB1"/>
    <w:rsid w:val="004672E6"/>
    <w:rsid w:val="00474ED1"/>
    <w:rsid w:val="00493085"/>
    <w:rsid w:val="004A36EC"/>
    <w:rsid w:val="004C1CF4"/>
    <w:rsid w:val="004C733F"/>
    <w:rsid w:val="004D163F"/>
    <w:rsid w:val="004D2FD7"/>
    <w:rsid w:val="004E4BFF"/>
    <w:rsid w:val="004F2598"/>
    <w:rsid w:val="005403F7"/>
    <w:rsid w:val="00540632"/>
    <w:rsid w:val="00541CF4"/>
    <w:rsid w:val="005451E8"/>
    <w:rsid w:val="005507F2"/>
    <w:rsid w:val="00566313"/>
    <w:rsid w:val="005759CC"/>
    <w:rsid w:val="00576195"/>
    <w:rsid w:val="0059080E"/>
    <w:rsid w:val="005A72E1"/>
    <w:rsid w:val="005A782D"/>
    <w:rsid w:val="005B7362"/>
    <w:rsid w:val="005C1DA2"/>
    <w:rsid w:val="005C6632"/>
    <w:rsid w:val="005C7429"/>
    <w:rsid w:val="005D1C9E"/>
    <w:rsid w:val="0060179A"/>
    <w:rsid w:val="00630DD5"/>
    <w:rsid w:val="00654257"/>
    <w:rsid w:val="0065435A"/>
    <w:rsid w:val="006940E1"/>
    <w:rsid w:val="006A2DD3"/>
    <w:rsid w:val="006A5AF8"/>
    <w:rsid w:val="006C36CD"/>
    <w:rsid w:val="00700D1F"/>
    <w:rsid w:val="00705EE2"/>
    <w:rsid w:val="007070F8"/>
    <w:rsid w:val="007205CB"/>
    <w:rsid w:val="00726073"/>
    <w:rsid w:val="00734FE8"/>
    <w:rsid w:val="007360CE"/>
    <w:rsid w:val="00772315"/>
    <w:rsid w:val="00775157"/>
    <w:rsid w:val="007813AE"/>
    <w:rsid w:val="007844D4"/>
    <w:rsid w:val="007A37DB"/>
    <w:rsid w:val="007A59D7"/>
    <w:rsid w:val="007C5204"/>
    <w:rsid w:val="007E189D"/>
    <w:rsid w:val="007F30F2"/>
    <w:rsid w:val="00811259"/>
    <w:rsid w:val="00813AA2"/>
    <w:rsid w:val="008173A3"/>
    <w:rsid w:val="008418F5"/>
    <w:rsid w:val="008525D1"/>
    <w:rsid w:val="0086059C"/>
    <w:rsid w:val="00864589"/>
    <w:rsid w:val="00890AFB"/>
    <w:rsid w:val="00890FC4"/>
    <w:rsid w:val="00895905"/>
    <w:rsid w:val="008F3468"/>
    <w:rsid w:val="008F412C"/>
    <w:rsid w:val="00911867"/>
    <w:rsid w:val="00912047"/>
    <w:rsid w:val="009164A9"/>
    <w:rsid w:val="009258CB"/>
    <w:rsid w:val="0093362E"/>
    <w:rsid w:val="00944563"/>
    <w:rsid w:val="00953160"/>
    <w:rsid w:val="00957082"/>
    <w:rsid w:val="009625D8"/>
    <w:rsid w:val="0098459B"/>
    <w:rsid w:val="00997185"/>
    <w:rsid w:val="009C2458"/>
    <w:rsid w:val="009C4A7B"/>
    <w:rsid w:val="009C6123"/>
    <w:rsid w:val="009D0506"/>
    <w:rsid w:val="009F1E3E"/>
    <w:rsid w:val="00A1213C"/>
    <w:rsid w:val="00A16E4E"/>
    <w:rsid w:val="00A272FF"/>
    <w:rsid w:val="00A5354B"/>
    <w:rsid w:val="00A63DE4"/>
    <w:rsid w:val="00A71B57"/>
    <w:rsid w:val="00A953DB"/>
    <w:rsid w:val="00AB42C1"/>
    <w:rsid w:val="00AC516F"/>
    <w:rsid w:val="00AD20C0"/>
    <w:rsid w:val="00AE195F"/>
    <w:rsid w:val="00AE2926"/>
    <w:rsid w:val="00AF1A52"/>
    <w:rsid w:val="00B0184B"/>
    <w:rsid w:val="00B035CD"/>
    <w:rsid w:val="00B0769D"/>
    <w:rsid w:val="00B217F8"/>
    <w:rsid w:val="00B332EA"/>
    <w:rsid w:val="00B40A53"/>
    <w:rsid w:val="00B45365"/>
    <w:rsid w:val="00B46A65"/>
    <w:rsid w:val="00B60184"/>
    <w:rsid w:val="00B62D20"/>
    <w:rsid w:val="00B81E75"/>
    <w:rsid w:val="00BC38B1"/>
    <w:rsid w:val="00BD0954"/>
    <w:rsid w:val="00BD1A5A"/>
    <w:rsid w:val="00BD7A9B"/>
    <w:rsid w:val="00BD7BE1"/>
    <w:rsid w:val="00BF416B"/>
    <w:rsid w:val="00C069AC"/>
    <w:rsid w:val="00C64E4E"/>
    <w:rsid w:val="00C66E64"/>
    <w:rsid w:val="00C761A0"/>
    <w:rsid w:val="00C85F7E"/>
    <w:rsid w:val="00C90D53"/>
    <w:rsid w:val="00CA0B2E"/>
    <w:rsid w:val="00CD47F0"/>
    <w:rsid w:val="00CD5566"/>
    <w:rsid w:val="00CD64D7"/>
    <w:rsid w:val="00CE6F22"/>
    <w:rsid w:val="00CF41F6"/>
    <w:rsid w:val="00CF7D3E"/>
    <w:rsid w:val="00D02B4E"/>
    <w:rsid w:val="00D17996"/>
    <w:rsid w:val="00D21F11"/>
    <w:rsid w:val="00D31869"/>
    <w:rsid w:val="00D36817"/>
    <w:rsid w:val="00D453EE"/>
    <w:rsid w:val="00D5666C"/>
    <w:rsid w:val="00D666BC"/>
    <w:rsid w:val="00D83542"/>
    <w:rsid w:val="00D92F45"/>
    <w:rsid w:val="00D94637"/>
    <w:rsid w:val="00D9725C"/>
    <w:rsid w:val="00DA7006"/>
    <w:rsid w:val="00DB3621"/>
    <w:rsid w:val="00DB63E1"/>
    <w:rsid w:val="00DC6427"/>
    <w:rsid w:val="00DD66A1"/>
    <w:rsid w:val="00DE196D"/>
    <w:rsid w:val="00DF6B49"/>
    <w:rsid w:val="00E05BD6"/>
    <w:rsid w:val="00E067C5"/>
    <w:rsid w:val="00E24D59"/>
    <w:rsid w:val="00E265BF"/>
    <w:rsid w:val="00E378D8"/>
    <w:rsid w:val="00E43A12"/>
    <w:rsid w:val="00E660F6"/>
    <w:rsid w:val="00E67C67"/>
    <w:rsid w:val="00E77476"/>
    <w:rsid w:val="00E8228B"/>
    <w:rsid w:val="00E95EEC"/>
    <w:rsid w:val="00EB50AA"/>
    <w:rsid w:val="00EE5706"/>
    <w:rsid w:val="00EE79A3"/>
    <w:rsid w:val="00EF373D"/>
    <w:rsid w:val="00EF4478"/>
    <w:rsid w:val="00F11595"/>
    <w:rsid w:val="00F13BC9"/>
    <w:rsid w:val="00F2480D"/>
    <w:rsid w:val="00F357B2"/>
    <w:rsid w:val="00F36556"/>
    <w:rsid w:val="00F705DF"/>
    <w:rsid w:val="00F70622"/>
    <w:rsid w:val="00F840F2"/>
    <w:rsid w:val="00F85624"/>
    <w:rsid w:val="00F87C05"/>
    <w:rsid w:val="00F92068"/>
    <w:rsid w:val="00F93191"/>
    <w:rsid w:val="00F93A17"/>
    <w:rsid w:val="00FA2AF6"/>
    <w:rsid w:val="00FB073D"/>
    <w:rsid w:val="00FB5FF9"/>
    <w:rsid w:val="00FB771F"/>
    <w:rsid w:val="00FC5386"/>
    <w:rsid w:val="00FD28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CEO_Hyperlink,Style 58,超????,超?级链,하이퍼링크2,하이퍼링크21"/>
    <w:basedOn w:val="DefaultParagraphFont"/>
    <w:uiPriority w:val="99"/>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UnresolvedMention1">
    <w:name w:val="Unresolved Mention1"/>
    <w:basedOn w:val="DefaultParagraphFont"/>
    <w:uiPriority w:val="99"/>
    <w:semiHidden/>
    <w:unhideWhenUsed/>
    <w:rsid w:val="00576195"/>
    <w:rPr>
      <w:color w:val="605E5C"/>
      <w:shd w:val="clear" w:color="auto" w:fill="E1DFDD"/>
    </w:rPr>
  </w:style>
  <w:style w:type="character" w:customStyle="1" w:styleId="1">
    <w:name w:val="未处理的提及1"/>
    <w:basedOn w:val="DefaultParagraphFont"/>
    <w:uiPriority w:val="99"/>
    <w:semiHidden/>
    <w:unhideWhenUsed/>
    <w:rsid w:val="00576195"/>
    <w:rPr>
      <w:color w:val="605E5C"/>
      <w:shd w:val="clear" w:color="auto" w:fill="E1DFDD"/>
    </w:rPr>
  </w:style>
  <w:style w:type="character" w:customStyle="1" w:styleId="enumlev1Char">
    <w:name w:val="enumlev1 Char"/>
    <w:basedOn w:val="DefaultParagraphFont"/>
    <w:link w:val="enumlev1"/>
    <w:rsid w:val="0060179A"/>
    <w:rPr>
      <w:rFonts w:ascii="Calibri" w:hAnsi="Calibri"/>
      <w:sz w:val="24"/>
      <w:lang w:val="en-GB" w:eastAsia="en-US"/>
    </w:rPr>
  </w:style>
  <w:style w:type="paragraph" w:customStyle="1" w:styleId="normalWSIS">
    <w:name w:val="normal WSIS"/>
    <w:basedOn w:val="ListParagraph"/>
    <w:link w:val="normalWSISChar"/>
    <w:qFormat/>
    <w:rsid w:val="0060179A"/>
    <w:pPr>
      <w:numPr>
        <w:numId w:val="8"/>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60179A"/>
    <w:rPr>
      <w:rFonts w:asciiTheme="minorHAnsi" w:hAnsiTheme="minorHAnsi" w:cs="Arial"/>
      <w:sz w:val="22"/>
      <w:szCs w:val="22"/>
      <w:lang w:val="fr-CH"/>
    </w:rPr>
  </w:style>
  <w:style w:type="paragraph" w:customStyle="1" w:styleId="paragraph">
    <w:name w:val="paragraph"/>
    <w:basedOn w:val="Normal"/>
    <w:rsid w:val="006017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eop">
    <w:name w:val="eop"/>
    <w:basedOn w:val="DefaultParagraphFont"/>
    <w:rsid w:val="0060179A"/>
  </w:style>
  <w:style w:type="character" w:customStyle="1" w:styleId="normaltextrun">
    <w:name w:val="normaltextrun"/>
    <w:basedOn w:val="DefaultParagraphFont"/>
    <w:rsid w:val="0060179A"/>
  </w:style>
  <w:style w:type="character" w:styleId="UnresolvedMention">
    <w:name w:val="Unresolved Mention"/>
    <w:basedOn w:val="DefaultParagraphFont"/>
    <w:uiPriority w:val="99"/>
    <w:semiHidden/>
    <w:unhideWhenUsed/>
    <w:rsid w:val="00EF4478"/>
    <w:rPr>
      <w:color w:val="605E5C"/>
      <w:shd w:val="clear" w:color="auto" w:fill="E1DFDD"/>
    </w:rPr>
  </w:style>
  <w:style w:type="paragraph" w:customStyle="1" w:styleId="TableHead0">
    <w:name w:val="Table_Head"/>
    <w:basedOn w:val="Normal"/>
    <w:rsid w:val="004C733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Times New Roman" w:hAnsi="Times New Roman"/>
      <w:b/>
    </w:rPr>
  </w:style>
  <w:style w:type="paragraph" w:customStyle="1" w:styleId="TableText0">
    <w:name w:val="Table_Text"/>
    <w:basedOn w:val="Normal"/>
    <w:rsid w:val="004C733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doc/gs/council/c00/docs/28rev1.html" TargetMode="External"/><Relationship Id="rId13" Type="http://schemas.openxmlformats.org/officeDocument/2006/relationships/hyperlink" Target="https://www.itu.int/hub/membership/itu-family/organizations/exempted-entiti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9-CL-C-0141/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doc/gs/council/c00/docs/28rev1.html" TargetMode="External"/><Relationship Id="rId5" Type="http://schemas.openxmlformats.org/officeDocument/2006/relationships/webSettings" Target="webSettings.xml"/><Relationship Id="rId15" Type="http://schemas.openxmlformats.org/officeDocument/2006/relationships/hyperlink" Target="https://www.itu.int/md/S22-CL-C-0100/en" TargetMode="External"/><Relationship Id="rId10" Type="http://schemas.openxmlformats.org/officeDocument/2006/relationships/hyperlink" Target="https://www.itu.int/hub/membership/our-members/exempted-entit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9-CL-C-0141/en" TargetMode="External"/><Relationship Id="rId14" Type="http://schemas.openxmlformats.org/officeDocument/2006/relationships/hyperlink" Target="https://www.itu.int/hub/membership/itu-family/organizations/exempted-entities/exemption-criteri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91CE0-D7BD-4ED0-A516-9FB12E6A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2977</Words>
  <Characters>1202</Characters>
  <Application>Microsoft Office Word</Application>
  <DocSecurity>0</DocSecurity>
  <Lines>10</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requests for exemption from fees for organizations of an international character</dc:title>
  <dc:subject>Council 2023</dc:subject>
  <dc:creator>Xue, Kun</dc:creator>
  <cp:keywords>C2023, C23 Council-23</cp:keywords>
  <dc:description/>
  <cp:lastModifiedBy>Xue, Kun</cp:lastModifiedBy>
  <cp:revision>3</cp:revision>
  <cp:lastPrinted>2015-02-24T13:23:00Z</cp:lastPrinted>
  <dcterms:created xsi:type="dcterms:W3CDTF">2023-07-07T14:57:00Z</dcterms:created>
  <dcterms:modified xsi:type="dcterms:W3CDTF">2023-07-07T14:58:00Z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