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0216E7" w14:paraId="6D111E5E" w14:textId="77777777" w:rsidTr="00C538FC">
        <w:trPr>
          <w:cantSplit/>
          <w:trHeight w:val="23"/>
        </w:trPr>
        <w:tc>
          <w:tcPr>
            <w:tcW w:w="3969" w:type="dxa"/>
            <w:vMerge w:val="restart"/>
            <w:tcMar>
              <w:left w:w="0" w:type="dxa"/>
            </w:tcMar>
          </w:tcPr>
          <w:p w14:paraId="3435AF12" w14:textId="3F152FC0" w:rsidR="00FE57F6" w:rsidRPr="000216E7" w:rsidRDefault="00CF5F05" w:rsidP="00C538FC">
            <w:pPr>
              <w:tabs>
                <w:tab w:val="left" w:pos="851"/>
              </w:tabs>
              <w:spacing w:before="0" w:line="240" w:lineRule="atLeast"/>
              <w:rPr>
                <w:b/>
              </w:rPr>
            </w:pPr>
            <w:bookmarkStart w:id="0" w:name="_Hlk133421839"/>
            <w:r w:rsidRPr="000216E7">
              <w:rPr>
                <w:b/>
              </w:rPr>
              <w:t>Punto del orden del día: PL. 2</w:t>
            </w:r>
          </w:p>
        </w:tc>
        <w:tc>
          <w:tcPr>
            <w:tcW w:w="5245" w:type="dxa"/>
          </w:tcPr>
          <w:p w14:paraId="0A8A0C93" w14:textId="46C02EFB" w:rsidR="00FE57F6" w:rsidRPr="000216E7" w:rsidRDefault="00FE57F6" w:rsidP="00C538FC">
            <w:pPr>
              <w:tabs>
                <w:tab w:val="left" w:pos="851"/>
              </w:tabs>
              <w:spacing w:before="0" w:line="240" w:lineRule="atLeast"/>
              <w:jc w:val="right"/>
              <w:rPr>
                <w:b/>
              </w:rPr>
            </w:pPr>
            <w:r w:rsidRPr="000216E7">
              <w:rPr>
                <w:b/>
              </w:rPr>
              <w:t>Document</w:t>
            </w:r>
            <w:r w:rsidR="00F24B71" w:rsidRPr="000216E7">
              <w:rPr>
                <w:b/>
              </w:rPr>
              <w:t>o</w:t>
            </w:r>
            <w:r w:rsidRPr="000216E7">
              <w:rPr>
                <w:b/>
              </w:rPr>
              <w:t xml:space="preserve"> C23/</w:t>
            </w:r>
            <w:r w:rsidR="00CF5F05" w:rsidRPr="000216E7">
              <w:rPr>
                <w:b/>
              </w:rPr>
              <w:t>38</w:t>
            </w:r>
            <w:r w:rsidRPr="000216E7">
              <w:rPr>
                <w:b/>
              </w:rPr>
              <w:t>-</w:t>
            </w:r>
            <w:r w:rsidR="00F24B71" w:rsidRPr="000216E7">
              <w:rPr>
                <w:b/>
              </w:rPr>
              <w:t>S</w:t>
            </w:r>
          </w:p>
        </w:tc>
      </w:tr>
      <w:tr w:rsidR="00FE57F6" w:rsidRPr="000216E7" w14:paraId="02AA8A04" w14:textId="77777777" w:rsidTr="00C538FC">
        <w:trPr>
          <w:cantSplit/>
        </w:trPr>
        <w:tc>
          <w:tcPr>
            <w:tcW w:w="3969" w:type="dxa"/>
            <w:vMerge/>
          </w:tcPr>
          <w:p w14:paraId="44C6FA7A" w14:textId="77777777" w:rsidR="00FE57F6" w:rsidRPr="000216E7" w:rsidRDefault="00FE57F6" w:rsidP="00C538FC">
            <w:pPr>
              <w:tabs>
                <w:tab w:val="left" w:pos="851"/>
              </w:tabs>
              <w:spacing w:line="240" w:lineRule="atLeast"/>
              <w:rPr>
                <w:b/>
              </w:rPr>
            </w:pPr>
          </w:p>
        </w:tc>
        <w:tc>
          <w:tcPr>
            <w:tcW w:w="5245" w:type="dxa"/>
          </w:tcPr>
          <w:p w14:paraId="2083FDC1" w14:textId="4719BF10" w:rsidR="00FE57F6" w:rsidRPr="000216E7" w:rsidRDefault="00CF5F05" w:rsidP="00C538FC">
            <w:pPr>
              <w:tabs>
                <w:tab w:val="left" w:pos="851"/>
              </w:tabs>
              <w:spacing w:before="0"/>
              <w:jc w:val="right"/>
              <w:rPr>
                <w:b/>
              </w:rPr>
            </w:pPr>
            <w:r w:rsidRPr="000216E7">
              <w:rPr>
                <w:b/>
              </w:rPr>
              <w:t>8 de junio de 2023</w:t>
            </w:r>
          </w:p>
        </w:tc>
      </w:tr>
      <w:tr w:rsidR="00FE57F6" w:rsidRPr="000216E7" w14:paraId="0556E969" w14:textId="77777777" w:rsidTr="00C538FC">
        <w:trPr>
          <w:cantSplit/>
          <w:trHeight w:val="23"/>
        </w:trPr>
        <w:tc>
          <w:tcPr>
            <w:tcW w:w="3969" w:type="dxa"/>
            <w:vMerge/>
          </w:tcPr>
          <w:p w14:paraId="637D7811" w14:textId="77777777" w:rsidR="00FE57F6" w:rsidRPr="000216E7" w:rsidRDefault="00FE57F6" w:rsidP="00C538FC">
            <w:pPr>
              <w:tabs>
                <w:tab w:val="left" w:pos="851"/>
              </w:tabs>
              <w:spacing w:line="240" w:lineRule="atLeast"/>
              <w:rPr>
                <w:b/>
              </w:rPr>
            </w:pPr>
          </w:p>
        </w:tc>
        <w:tc>
          <w:tcPr>
            <w:tcW w:w="5245" w:type="dxa"/>
          </w:tcPr>
          <w:p w14:paraId="5F74225B" w14:textId="77777777" w:rsidR="00FE57F6" w:rsidRPr="000216E7" w:rsidRDefault="00F24B71" w:rsidP="00C538FC">
            <w:pPr>
              <w:tabs>
                <w:tab w:val="left" w:pos="851"/>
              </w:tabs>
              <w:spacing w:before="0" w:line="240" w:lineRule="atLeast"/>
              <w:jc w:val="right"/>
              <w:rPr>
                <w:b/>
                <w:bCs/>
              </w:rPr>
            </w:pPr>
            <w:r w:rsidRPr="000216E7">
              <w:rPr>
                <w:rFonts w:cstheme="minorHAnsi"/>
                <w:b/>
                <w:bCs/>
              </w:rPr>
              <w:t>Original: inglés</w:t>
            </w:r>
          </w:p>
        </w:tc>
      </w:tr>
      <w:tr w:rsidR="00FE57F6" w:rsidRPr="000216E7" w14:paraId="5EF6802D" w14:textId="77777777" w:rsidTr="00C538FC">
        <w:trPr>
          <w:cantSplit/>
          <w:trHeight w:val="23"/>
        </w:trPr>
        <w:tc>
          <w:tcPr>
            <w:tcW w:w="3969" w:type="dxa"/>
          </w:tcPr>
          <w:p w14:paraId="72450748" w14:textId="77777777" w:rsidR="00FE57F6" w:rsidRPr="000216E7" w:rsidRDefault="00FE57F6" w:rsidP="00C538FC">
            <w:pPr>
              <w:tabs>
                <w:tab w:val="left" w:pos="851"/>
              </w:tabs>
              <w:spacing w:line="240" w:lineRule="atLeast"/>
              <w:rPr>
                <w:b/>
              </w:rPr>
            </w:pPr>
          </w:p>
        </w:tc>
        <w:tc>
          <w:tcPr>
            <w:tcW w:w="5245" w:type="dxa"/>
          </w:tcPr>
          <w:p w14:paraId="5D354074" w14:textId="77777777" w:rsidR="00FE57F6" w:rsidRPr="000216E7" w:rsidRDefault="00FE57F6" w:rsidP="00C538FC">
            <w:pPr>
              <w:tabs>
                <w:tab w:val="left" w:pos="851"/>
              </w:tabs>
              <w:spacing w:before="0" w:line="240" w:lineRule="atLeast"/>
              <w:jc w:val="right"/>
              <w:rPr>
                <w:b/>
              </w:rPr>
            </w:pPr>
          </w:p>
        </w:tc>
      </w:tr>
      <w:tr w:rsidR="00FE57F6" w:rsidRPr="000216E7" w14:paraId="65905DD3" w14:textId="77777777" w:rsidTr="00C538FC">
        <w:trPr>
          <w:cantSplit/>
        </w:trPr>
        <w:tc>
          <w:tcPr>
            <w:tcW w:w="9214" w:type="dxa"/>
            <w:gridSpan w:val="2"/>
            <w:tcMar>
              <w:left w:w="0" w:type="dxa"/>
            </w:tcMar>
          </w:tcPr>
          <w:p w14:paraId="31A0169D" w14:textId="77777777" w:rsidR="00FE57F6" w:rsidRPr="000216E7" w:rsidRDefault="00F24B71" w:rsidP="00C538FC">
            <w:pPr>
              <w:pStyle w:val="Source"/>
              <w:jc w:val="left"/>
              <w:rPr>
                <w:sz w:val="34"/>
                <w:szCs w:val="34"/>
              </w:rPr>
            </w:pPr>
            <w:r w:rsidRPr="000216E7">
              <w:rPr>
                <w:rFonts w:cstheme="minorHAnsi"/>
                <w:sz w:val="34"/>
                <w:szCs w:val="34"/>
              </w:rPr>
              <w:t>Informe de</w:t>
            </w:r>
            <w:r w:rsidR="004B5D49" w:rsidRPr="000216E7">
              <w:rPr>
                <w:rFonts w:cstheme="minorHAnsi"/>
                <w:sz w:val="34"/>
                <w:szCs w:val="34"/>
              </w:rPr>
              <w:t xml:space="preserve"> </w:t>
            </w:r>
            <w:r w:rsidRPr="000216E7">
              <w:rPr>
                <w:rFonts w:cstheme="minorHAnsi"/>
                <w:sz w:val="34"/>
                <w:szCs w:val="34"/>
              </w:rPr>
              <w:t>l</w:t>
            </w:r>
            <w:r w:rsidR="004B5D49" w:rsidRPr="000216E7">
              <w:rPr>
                <w:rFonts w:cstheme="minorHAnsi"/>
                <w:sz w:val="34"/>
                <w:szCs w:val="34"/>
              </w:rPr>
              <w:t>a</w:t>
            </w:r>
            <w:r w:rsidRPr="000216E7">
              <w:rPr>
                <w:rFonts w:cstheme="minorHAnsi"/>
                <w:sz w:val="34"/>
                <w:szCs w:val="34"/>
              </w:rPr>
              <w:t xml:space="preserve"> Secretari</w:t>
            </w:r>
            <w:r w:rsidR="004B5D49" w:rsidRPr="000216E7">
              <w:rPr>
                <w:rFonts w:cstheme="minorHAnsi"/>
                <w:sz w:val="34"/>
                <w:szCs w:val="34"/>
              </w:rPr>
              <w:t>a</w:t>
            </w:r>
            <w:r w:rsidRPr="000216E7">
              <w:rPr>
                <w:rFonts w:cstheme="minorHAnsi"/>
                <w:sz w:val="34"/>
                <w:szCs w:val="34"/>
              </w:rPr>
              <w:t xml:space="preserve"> General</w:t>
            </w:r>
          </w:p>
        </w:tc>
      </w:tr>
      <w:tr w:rsidR="00FE57F6" w:rsidRPr="000216E7" w14:paraId="4B80A047" w14:textId="77777777" w:rsidTr="00C538FC">
        <w:trPr>
          <w:cantSplit/>
        </w:trPr>
        <w:tc>
          <w:tcPr>
            <w:tcW w:w="9214" w:type="dxa"/>
            <w:gridSpan w:val="2"/>
            <w:tcMar>
              <w:left w:w="0" w:type="dxa"/>
            </w:tcMar>
          </w:tcPr>
          <w:p w14:paraId="6E6C4ADB" w14:textId="425BD863" w:rsidR="00FE57F6" w:rsidRPr="000216E7" w:rsidRDefault="00CF5F05" w:rsidP="00C538FC">
            <w:pPr>
              <w:pStyle w:val="Subtitle"/>
              <w:framePr w:hSpace="0" w:wrap="auto" w:hAnchor="text" w:xAlign="left" w:yAlign="inline"/>
              <w:rPr>
                <w:lang w:val="es-ES_tradnl"/>
              </w:rPr>
            </w:pPr>
            <w:r w:rsidRPr="000216E7">
              <w:rPr>
                <w:rFonts w:cstheme="minorHAnsi"/>
                <w:lang w:val="es-ES_tradnl"/>
              </w:rPr>
              <w:t>ACTIVIDADES DE LA UIT SOBRE EL FORTALECIMIENTO DE SU PAPEL EN LA CREACIÓN DE CONFIANZA Y SEGURIDAD EN LA UTILIZACIÓN DE LAS TECNOLOGÍAS DE LA INFORMACIÓN Y LA COMUNICACIÓN</w:t>
            </w:r>
          </w:p>
        </w:tc>
      </w:tr>
      <w:tr w:rsidR="00FE57F6" w:rsidRPr="000216E7" w14:paraId="3FF8F454" w14:textId="77777777" w:rsidTr="00C538FC">
        <w:trPr>
          <w:cantSplit/>
        </w:trPr>
        <w:tc>
          <w:tcPr>
            <w:tcW w:w="9214" w:type="dxa"/>
            <w:gridSpan w:val="2"/>
            <w:tcBorders>
              <w:top w:val="single" w:sz="4" w:space="0" w:color="auto"/>
              <w:bottom w:val="single" w:sz="4" w:space="0" w:color="auto"/>
            </w:tcBorders>
            <w:tcMar>
              <w:left w:w="0" w:type="dxa"/>
            </w:tcMar>
          </w:tcPr>
          <w:p w14:paraId="2091B337" w14:textId="219D91F1" w:rsidR="00FE57F6" w:rsidRPr="000216E7" w:rsidRDefault="00F24B71" w:rsidP="00C538FC">
            <w:pPr>
              <w:spacing w:before="160"/>
              <w:rPr>
                <w:b/>
                <w:bCs/>
                <w:sz w:val="26"/>
                <w:szCs w:val="26"/>
              </w:rPr>
            </w:pPr>
            <w:r w:rsidRPr="000216E7">
              <w:rPr>
                <w:b/>
                <w:bCs/>
                <w:sz w:val="26"/>
                <w:szCs w:val="26"/>
              </w:rPr>
              <w:t>Finalidad</w:t>
            </w:r>
          </w:p>
          <w:p w14:paraId="1094FC48" w14:textId="75D18A89" w:rsidR="00FE57F6" w:rsidRPr="000216E7" w:rsidRDefault="00CF5F05" w:rsidP="00C538FC">
            <w:r w:rsidRPr="000216E7">
              <w:rPr>
                <w:rFonts w:asciiTheme="minorHAnsi" w:hAnsiTheme="minorHAnsi" w:cstheme="minorHAnsi"/>
                <w:szCs w:val="24"/>
              </w:rPr>
              <w:t xml:space="preserve">En el presente </w:t>
            </w:r>
            <w:r w:rsidR="000216E7" w:rsidRPr="000216E7">
              <w:rPr>
                <w:rFonts w:asciiTheme="minorHAnsi" w:hAnsiTheme="minorHAnsi" w:cstheme="minorHAnsi"/>
                <w:szCs w:val="24"/>
              </w:rPr>
              <w:t xml:space="preserve">informe </w:t>
            </w:r>
            <w:r w:rsidRPr="000216E7">
              <w:rPr>
                <w:rFonts w:asciiTheme="minorHAnsi" w:hAnsiTheme="minorHAnsi" w:cstheme="minorHAnsi"/>
                <w:szCs w:val="24"/>
              </w:rPr>
              <w:t xml:space="preserve">se resumen las actividades realizadas por la UIT en 2022-2023 en relación con la Resolución 130 (Rev. Bucarest, 2022), la función de la UIT como único organismo facilitador de la Línea de Acción C5 de la CMSI y otras decisiones adoptadas por los </w:t>
            </w:r>
            <w:r w:rsidR="000216E7" w:rsidRPr="000216E7">
              <w:rPr>
                <w:rFonts w:asciiTheme="minorHAnsi" w:hAnsiTheme="minorHAnsi" w:cstheme="minorHAnsi"/>
                <w:szCs w:val="24"/>
              </w:rPr>
              <w:t xml:space="preserve">miembros </w:t>
            </w:r>
            <w:r w:rsidRPr="000216E7">
              <w:rPr>
                <w:rFonts w:asciiTheme="minorHAnsi" w:hAnsiTheme="minorHAnsi" w:cstheme="minorHAnsi"/>
                <w:szCs w:val="24"/>
              </w:rPr>
              <w:t>sobre el fortalecimiento del papel de la UIT en la creación de confianza y seguridad en la utilización de las tecnologías de la información y la comunicación (TIC).</w:t>
            </w:r>
          </w:p>
          <w:p w14:paraId="3E9F0B95" w14:textId="77777777" w:rsidR="00FE57F6" w:rsidRPr="000216E7" w:rsidRDefault="00F24B71" w:rsidP="00C538FC">
            <w:pPr>
              <w:spacing w:before="160"/>
              <w:rPr>
                <w:b/>
                <w:bCs/>
                <w:sz w:val="26"/>
                <w:szCs w:val="26"/>
              </w:rPr>
            </w:pPr>
            <w:r w:rsidRPr="000216E7">
              <w:rPr>
                <w:b/>
                <w:bCs/>
                <w:sz w:val="26"/>
                <w:szCs w:val="26"/>
              </w:rPr>
              <w:t xml:space="preserve">Acción solicitada </w:t>
            </w:r>
            <w:r w:rsidR="00677A97" w:rsidRPr="000216E7">
              <w:rPr>
                <w:b/>
                <w:bCs/>
                <w:sz w:val="26"/>
                <w:szCs w:val="26"/>
              </w:rPr>
              <w:t>al</w:t>
            </w:r>
            <w:r w:rsidRPr="000216E7">
              <w:rPr>
                <w:b/>
                <w:bCs/>
                <w:sz w:val="26"/>
                <w:szCs w:val="26"/>
              </w:rPr>
              <w:t xml:space="preserve"> Consejo</w:t>
            </w:r>
          </w:p>
          <w:p w14:paraId="768C1A28" w14:textId="0AF881E2" w:rsidR="00FE57F6" w:rsidRPr="000216E7" w:rsidRDefault="00CF5F05" w:rsidP="00C538FC">
            <w:r w:rsidRPr="000216E7">
              <w:rPr>
                <w:szCs w:val="24"/>
              </w:rPr>
              <w:t xml:space="preserve">Se invita al Consejo a </w:t>
            </w:r>
            <w:r w:rsidRPr="000216E7">
              <w:rPr>
                <w:b/>
                <w:bCs/>
                <w:szCs w:val="24"/>
              </w:rPr>
              <w:t xml:space="preserve">tomar nota </w:t>
            </w:r>
            <w:r w:rsidRPr="000216E7">
              <w:rPr>
                <w:szCs w:val="24"/>
              </w:rPr>
              <w:t xml:space="preserve">del presente </w:t>
            </w:r>
            <w:r w:rsidR="000216E7" w:rsidRPr="000216E7">
              <w:rPr>
                <w:szCs w:val="24"/>
              </w:rPr>
              <w:t>informe</w:t>
            </w:r>
            <w:r w:rsidRPr="000216E7">
              <w:rPr>
                <w:szCs w:val="24"/>
              </w:rPr>
              <w:t>.</w:t>
            </w:r>
          </w:p>
          <w:p w14:paraId="77D47839" w14:textId="77777777" w:rsidR="00FE57F6" w:rsidRPr="000216E7" w:rsidRDefault="00F24B71" w:rsidP="00C538FC">
            <w:pPr>
              <w:spacing w:before="160"/>
              <w:rPr>
                <w:b/>
                <w:bCs/>
                <w:sz w:val="26"/>
                <w:szCs w:val="26"/>
              </w:rPr>
            </w:pPr>
            <w:r w:rsidRPr="000216E7">
              <w:rPr>
                <w:b/>
                <w:bCs/>
                <w:sz w:val="26"/>
                <w:szCs w:val="26"/>
              </w:rPr>
              <w:t>Vínculos pertinentes con el Plan Estratégico</w:t>
            </w:r>
          </w:p>
          <w:p w14:paraId="2D15211D" w14:textId="0A46432B" w:rsidR="00FE57F6" w:rsidRPr="000216E7" w:rsidRDefault="00CF5F05" w:rsidP="00C538FC">
            <w:r w:rsidRPr="000216E7">
              <w:t>Promover la conectividad universal; transformación digital sostenible.</w:t>
            </w:r>
          </w:p>
          <w:p w14:paraId="1EA4197F" w14:textId="0830735D" w:rsidR="00FE57F6" w:rsidRPr="000216E7" w:rsidRDefault="00F24B71" w:rsidP="00C538FC">
            <w:pPr>
              <w:spacing w:before="160"/>
              <w:rPr>
                <w:b/>
                <w:bCs/>
                <w:sz w:val="26"/>
                <w:szCs w:val="26"/>
              </w:rPr>
            </w:pPr>
            <w:r w:rsidRPr="000216E7">
              <w:rPr>
                <w:b/>
                <w:bCs/>
                <w:sz w:val="26"/>
                <w:szCs w:val="26"/>
              </w:rPr>
              <w:t>Repercusiones financieras</w:t>
            </w:r>
          </w:p>
          <w:p w14:paraId="7EE7F430" w14:textId="77777777" w:rsidR="00CF5F05" w:rsidRPr="000216E7" w:rsidRDefault="00CF5F05" w:rsidP="00C538FC">
            <w:pPr>
              <w:spacing w:before="160"/>
              <w:rPr>
                <w:szCs w:val="24"/>
              </w:rPr>
            </w:pPr>
            <w:r w:rsidRPr="000216E7">
              <w:rPr>
                <w:szCs w:val="24"/>
              </w:rPr>
              <w:t>Ninguna.</w:t>
            </w:r>
          </w:p>
          <w:p w14:paraId="1872ED50" w14:textId="34F38FFF" w:rsidR="00FE57F6" w:rsidRPr="000216E7" w:rsidRDefault="00FE57F6" w:rsidP="00C538FC">
            <w:pPr>
              <w:spacing w:before="160"/>
              <w:rPr>
                <w:caps/>
                <w:sz w:val="22"/>
              </w:rPr>
            </w:pPr>
            <w:r w:rsidRPr="000216E7">
              <w:rPr>
                <w:sz w:val="22"/>
              </w:rPr>
              <w:t>__________________</w:t>
            </w:r>
          </w:p>
          <w:p w14:paraId="0C06D72E" w14:textId="77777777" w:rsidR="00FE57F6" w:rsidRPr="000216E7" w:rsidRDefault="00F24B71" w:rsidP="00C538FC">
            <w:pPr>
              <w:spacing w:before="160"/>
              <w:rPr>
                <w:b/>
                <w:bCs/>
                <w:sz w:val="26"/>
                <w:szCs w:val="26"/>
              </w:rPr>
            </w:pPr>
            <w:r w:rsidRPr="000216E7">
              <w:rPr>
                <w:b/>
                <w:bCs/>
                <w:sz w:val="26"/>
                <w:szCs w:val="26"/>
              </w:rPr>
              <w:t>Referencia</w:t>
            </w:r>
          </w:p>
          <w:p w14:paraId="7D79AD44" w14:textId="181CC673" w:rsidR="00FE57F6" w:rsidRPr="000216E7" w:rsidRDefault="00CF5F05" w:rsidP="00C538FC">
            <w:pPr>
              <w:spacing w:after="160"/>
            </w:pPr>
            <w:r w:rsidRPr="000216E7">
              <w:rPr>
                <w:i/>
                <w:iCs/>
                <w:szCs w:val="24"/>
              </w:rPr>
              <w:t>Resoluciones</w:t>
            </w:r>
            <w:r w:rsidRPr="000216E7">
              <w:rPr>
                <w:i/>
                <w:szCs w:val="24"/>
              </w:rPr>
              <w:t xml:space="preserve"> </w:t>
            </w:r>
            <w:hyperlink r:id="rId7" w:history="1">
              <w:r w:rsidRPr="000216E7">
                <w:rPr>
                  <w:rStyle w:val="Hyperlink"/>
                  <w:i/>
                  <w:iCs/>
                  <w:szCs w:val="24"/>
                </w:rPr>
                <w:t>71</w:t>
              </w:r>
            </w:hyperlink>
            <w:r w:rsidRPr="000216E7">
              <w:rPr>
                <w:i/>
                <w:iCs/>
                <w:szCs w:val="24"/>
              </w:rPr>
              <w:t xml:space="preserve">, </w:t>
            </w:r>
            <w:hyperlink r:id="rId8" w:history="1">
              <w:r w:rsidRPr="000216E7">
                <w:rPr>
                  <w:rStyle w:val="Hyperlink"/>
                  <w:i/>
                  <w:iCs/>
                  <w:szCs w:val="24"/>
                </w:rPr>
                <w:t>130</w:t>
              </w:r>
            </w:hyperlink>
            <w:r w:rsidRPr="000216E7">
              <w:rPr>
                <w:i/>
                <w:iCs/>
                <w:szCs w:val="24"/>
              </w:rPr>
              <w:t xml:space="preserve">, </w:t>
            </w:r>
            <w:hyperlink r:id="rId9" w:history="1">
              <w:r w:rsidRPr="000216E7">
                <w:rPr>
                  <w:rStyle w:val="Hyperlink"/>
                  <w:i/>
                  <w:iCs/>
                  <w:szCs w:val="24"/>
                </w:rPr>
                <w:t>140</w:t>
              </w:r>
            </w:hyperlink>
            <w:r w:rsidRPr="000216E7">
              <w:rPr>
                <w:i/>
                <w:iCs/>
                <w:szCs w:val="24"/>
              </w:rPr>
              <w:t xml:space="preserve">, </w:t>
            </w:r>
            <w:hyperlink r:id="rId10" w:history="1">
              <w:r w:rsidRPr="000216E7">
                <w:rPr>
                  <w:rStyle w:val="Hyperlink"/>
                  <w:i/>
                  <w:iCs/>
                  <w:szCs w:val="24"/>
                </w:rPr>
                <w:t>179</w:t>
              </w:r>
            </w:hyperlink>
            <w:r w:rsidRPr="000216E7">
              <w:rPr>
                <w:i/>
                <w:szCs w:val="24"/>
              </w:rPr>
              <w:t xml:space="preserve"> (Rev. Bucarest, 2022) de la Conferencia de Plenipotenciarios</w:t>
            </w:r>
            <w:r w:rsidRPr="000216E7">
              <w:rPr>
                <w:i/>
                <w:iCs/>
                <w:szCs w:val="24"/>
              </w:rPr>
              <w:t>; Resolución</w:t>
            </w:r>
            <w:r w:rsidRPr="000216E7">
              <w:t xml:space="preserve"> </w:t>
            </w:r>
            <w:hyperlink r:id="rId11" w:history="1">
              <w:r w:rsidRPr="000216E7">
                <w:rPr>
                  <w:rStyle w:val="Hyperlink"/>
                  <w:i/>
                  <w:iCs/>
                  <w:szCs w:val="24"/>
                </w:rPr>
                <w:t>174</w:t>
              </w:r>
            </w:hyperlink>
            <w:r w:rsidRPr="000216E7">
              <w:rPr>
                <w:i/>
                <w:szCs w:val="24"/>
              </w:rPr>
              <w:t xml:space="preserve"> </w:t>
            </w:r>
            <w:r w:rsidRPr="000216E7">
              <w:rPr>
                <w:i/>
                <w:iCs/>
                <w:szCs w:val="24"/>
              </w:rPr>
              <w:t xml:space="preserve">(Rev. Dubái, 2018), </w:t>
            </w:r>
            <w:hyperlink r:id="rId12" w:history="1">
              <w:r w:rsidRPr="000216E7">
                <w:rPr>
                  <w:rStyle w:val="Hyperlink"/>
                  <w:i/>
                  <w:iCs/>
                  <w:szCs w:val="24"/>
                </w:rPr>
                <w:t>181</w:t>
              </w:r>
            </w:hyperlink>
            <w:r w:rsidRPr="000216E7">
              <w:rPr>
                <w:i/>
                <w:iCs/>
                <w:szCs w:val="24"/>
              </w:rPr>
              <w:t xml:space="preserve"> (Guadalajara, 2010) de la Conferencia de Plenipotenciarios; </w:t>
            </w:r>
            <w:hyperlink r:id="rId13" w:history="1">
              <w:r w:rsidRPr="000216E7">
                <w:rPr>
                  <w:rStyle w:val="Hyperlink"/>
                  <w:i/>
                  <w:iCs/>
                  <w:szCs w:val="24"/>
                </w:rPr>
                <w:t>RTI</w:t>
              </w:r>
            </w:hyperlink>
            <w:r w:rsidRPr="000216E7">
              <w:rPr>
                <w:i/>
                <w:iCs/>
                <w:szCs w:val="24"/>
              </w:rPr>
              <w:t xml:space="preserve"> (Rev. Dubái, 2012); Resolución </w:t>
            </w:r>
            <w:hyperlink r:id="rId14" w:history="1">
              <w:r w:rsidRPr="000216E7">
                <w:rPr>
                  <w:rStyle w:val="Hyperlink"/>
                  <w:i/>
                  <w:iCs/>
                  <w:szCs w:val="24"/>
                </w:rPr>
                <w:t>1306</w:t>
              </w:r>
            </w:hyperlink>
            <w:r w:rsidRPr="000216E7">
              <w:rPr>
                <w:i/>
                <w:iCs/>
                <w:szCs w:val="24"/>
              </w:rPr>
              <w:t xml:space="preserve"> del Consejo; </w:t>
            </w:r>
            <w:hyperlink r:id="rId15" w:history="1">
              <w:r w:rsidRPr="000216E7">
                <w:rPr>
                  <w:rStyle w:val="Hyperlink"/>
                  <w:i/>
                  <w:iCs/>
                  <w:color w:val="auto"/>
                  <w:szCs w:val="24"/>
                  <w:u w:val="none"/>
                </w:rPr>
                <w:t xml:space="preserve">Resoluciones </w:t>
              </w:r>
              <w:r w:rsidRPr="000216E7">
                <w:rPr>
                  <w:rStyle w:val="Hyperlink"/>
                  <w:i/>
                  <w:iCs/>
                  <w:szCs w:val="24"/>
                </w:rPr>
                <w:t>45</w:t>
              </w:r>
              <w:r w:rsidRPr="000216E7">
                <w:rPr>
                  <w:rStyle w:val="Hyperlink"/>
                  <w:i/>
                  <w:iCs/>
                  <w:color w:val="auto"/>
                  <w:szCs w:val="24"/>
                  <w:u w:val="none"/>
                </w:rPr>
                <w:t xml:space="preserve">, </w:t>
              </w:r>
              <w:r w:rsidRPr="000216E7">
                <w:rPr>
                  <w:rStyle w:val="Hyperlink"/>
                  <w:i/>
                  <w:szCs w:val="24"/>
                </w:rPr>
                <w:t>2</w:t>
              </w:r>
              <w:r w:rsidRPr="000216E7">
                <w:rPr>
                  <w:iCs/>
                </w:rPr>
                <w:t xml:space="preserve">, </w:t>
              </w:r>
              <w:r w:rsidRPr="000216E7">
                <w:rPr>
                  <w:rStyle w:val="Hyperlink"/>
                  <w:i/>
                  <w:szCs w:val="24"/>
                </w:rPr>
                <w:t>67</w:t>
              </w:r>
              <w:r w:rsidRPr="000216E7">
                <w:rPr>
                  <w:iCs/>
                </w:rPr>
                <w:t xml:space="preserve">, </w:t>
              </w:r>
              <w:r w:rsidRPr="000216E7">
                <w:rPr>
                  <w:rStyle w:val="Hyperlink"/>
                  <w:i/>
                  <w:szCs w:val="24"/>
                </w:rPr>
                <w:t>69</w:t>
              </w:r>
              <w:r w:rsidRPr="000216E7">
                <w:rPr>
                  <w:rStyle w:val="Hyperlink"/>
                  <w:i/>
                  <w:color w:val="auto"/>
                  <w:szCs w:val="24"/>
                  <w:u w:val="none"/>
                </w:rPr>
                <w:t xml:space="preserve"> (Rev. Kigali, 2022)</w:t>
              </w:r>
            </w:hyperlink>
            <w:r w:rsidRPr="000216E7">
              <w:rPr>
                <w:rStyle w:val="Hyperlink"/>
                <w:i/>
                <w:szCs w:val="24"/>
                <w:u w:val="none"/>
              </w:rPr>
              <w:t xml:space="preserve"> </w:t>
            </w:r>
            <w:r w:rsidRPr="000216E7">
              <w:rPr>
                <w:i/>
              </w:rPr>
              <w:t>de la CMDT</w:t>
            </w:r>
            <w:r w:rsidRPr="000216E7">
              <w:rPr>
                <w:i/>
                <w:iCs/>
                <w:szCs w:val="24"/>
              </w:rPr>
              <w:t>; Prioridades del UIT-D (</w:t>
            </w:r>
            <w:hyperlink r:id="rId16" w:history="1">
              <w:r w:rsidRPr="000216E7">
                <w:rPr>
                  <w:rStyle w:val="Hyperlink"/>
                  <w:i/>
                  <w:szCs w:val="24"/>
                </w:rPr>
                <w:t xml:space="preserve">Plan de </w:t>
              </w:r>
              <w:r w:rsidR="000216E7" w:rsidRPr="000216E7">
                <w:rPr>
                  <w:rStyle w:val="Hyperlink"/>
                  <w:i/>
                  <w:szCs w:val="24"/>
                </w:rPr>
                <w:t>A</w:t>
              </w:r>
              <w:r w:rsidRPr="000216E7">
                <w:rPr>
                  <w:rStyle w:val="Hyperlink"/>
                  <w:i/>
                  <w:szCs w:val="24"/>
                </w:rPr>
                <w:t>cción de Kigali</w:t>
              </w:r>
            </w:hyperlink>
            <w:r w:rsidRPr="000216E7">
              <w:rPr>
                <w:i/>
                <w:iCs/>
                <w:szCs w:val="24"/>
              </w:rPr>
              <w:t>)</w:t>
            </w:r>
            <w:r w:rsidRPr="000216E7">
              <w:rPr>
                <w:i/>
                <w:szCs w:val="24"/>
              </w:rPr>
              <w:t>;</w:t>
            </w:r>
            <w:r w:rsidRPr="000216E7">
              <w:rPr>
                <w:i/>
                <w:iCs/>
                <w:szCs w:val="24"/>
              </w:rPr>
              <w:t xml:space="preserve"> Resoluciones </w:t>
            </w:r>
            <w:hyperlink r:id="rId17" w:history="1">
              <w:r w:rsidRPr="000216E7">
                <w:rPr>
                  <w:rStyle w:val="Hyperlink"/>
                  <w:i/>
                  <w:iCs/>
                  <w:szCs w:val="24"/>
                </w:rPr>
                <w:t>50</w:t>
              </w:r>
              <w:r w:rsidRPr="000216E7">
                <w:rPr>
                  <w:rStyle w:val="Hyperlink"/>
                  <w:i/>
                  <w:iCs/>
                  <w:color w:val="auto"/>
                  <w:szCs w:val="24"/>
                  <w:u w:val="none"/>
                </w:rPr>
                <w:t xml:space="preserve"> (Rev. Ginebra, 2022)</w:t>
              </w:r>
            </w:hyperlink>
            <w:r w:rsidRPr="000216E7">
              <w:rPr>
                <w:i/>
                <w:iCs/>
                <w:szCs w:val="24"/>
              </w:rPr>
              <w:t xml:space="preserve">, </w:t>
            </w:r>
            <w:hyperlink r:id="rId18" w:history="1">
              <w:r w:rsidRPr="000216E7">
                <w:rPr>
                  <w:rStyle w:val="Hyperlink"/>
                  <w:i/>
                  <w:iCs/>
                  <w:szCs w:val="24"/>
                </w:rPr>
                <w:t xml:space="preserve">52 </w:t>
              </w:r>
              <w:r w:rsidRPr="000216E7">
                <w:rPr>
                  <w:rStyle w:val="Hyperlink"/>
                  <w:i/>
                  <w:iCs/>
                  <w:color w:val="auto"/>
                  <w:szCs w:val="24"/>
                  <w:u w:val="none"/>
                </w:rPr>
                <w:t xml:space="preserve">(Rev. </w:t>
              </w:r>
              <w:proofErr w:type="spellStart"/>
              <w:r w:rsidRPr="000216E7">
                <w:rPr>
                  <w:rStyle w:val="Hyperlink"/>
                  <w:i/>
                  <w:iCs/>
                  <w:color w:val="auto"/>
                  <w:szCs w:val="24"/>
                  <w:u w:val="none"/>
                </w:rPr>
                <w:t>Hammamet</w:t>
              </w:r>
              <w:proofErr w:type="spellEnd"/>
              <w:r w:rsidRPr="000216E7">
                <w:rPr>
                  <w:rStyle w:val="Hyperlink"/>
                  <w:i/>
                  <w:iCs/>
                  <w:color w:val="auto"/>
                  <w:szCs w:val="24"/>
                  <w:u w:val="none"/>
                </w:rPr>
                <w:t>, 2016)</w:t>
              </w:r>
            </w:hyperlink>
            <w:r w:rsidRPr="000216E7">
              <w:rPr>
                <w:i/>
                <w:iCs/>
                <w:szCs w:val="24"/>
              </w:rPr>
              <w:t xml:space="preserve">, </w:t>
            </w:r>
            <w:hyperlink r:id="rId19" w:history="1">
              <w:r w:rsidRPr="000216E7">
                <w:rPr>
                  <w:rStyle w:val="Hyperlink"/>
                  <w:i/>
                  <w:iCs/>
                  <w:szCs w:val="24"/>
                </w:rPr>
                <w:t xml:space="preserve">75 </w:t>
              </w:r>
              <w:r w:rsidRPr="000216E7">
                <w:rPr>
                  <w:rStyle w:val="Hyperlink"/>
                  <w:i/>
                  <w:iCs/>
                  <w:color w:val="auto"/>
                  <w:szCs w:val="24"/>
                  <w:u w:val="none"/>
                </w:rPr>
                <w:t>(Rev. Ginebra, 2022)</w:t>
              </w:r>
            </w:hyperlink>
            <w:r w:rsidRPr="000216E7">
              <w:rPr>
                <w:i/>
                <w:iCs/>
                <w:szCs w:val="24"/>
              </w:rPr>
              <w:t xml:space="preserve">, </w:t>
            </w:r>
            <w:hyperlink r:id="rId20" w:history="1">
              <w:r w:rsidRPr="000216E7">
                <w:rPr>
                  <w:rStyle w:val="Hyperlink"/>
                  <w:i/>
                  <w:iCs/>
                  <w:szCs w:val="24"/>
                </w:rPr>
                <w:t xml:space="preserve">58 </w:t>
              </w:r>
              <w:r w:rsidRPr="000216E7">
                <w:rPr>
                  <w:rStyle w:val="Hyperlink"/>
                  <w:i/>
                  <w:iCs/>
                  <w:color w:val="auto"/>
                  <w:szCs w:val="24"/>
                  <w:u w:val="none"/>
                </w:rPr>
                <w:t>(Rev. Ginebra, 2022)</w:t>
              </w:r>
            </w:hyperlink>
            <w:r w:rsidRPr="000216E7">
              <w:t xml:space="preserve"> </w:t>
            </w:r>
            <w:r w:rsidRPr="000216E7">
              <w:rPr>
                <w:i/>
                <w:iCs/>
                <w:szCs w:val="24"/>
              </w:rPr>
              <w:t xml:space="preserve">de la Asamblea Mundial de Normalización de las Telecomunicaciones, Documentos </w:t>
            </w:r>
            <w:hyperlink r:id="rId21" w:history="1">
              <w:r w:rsidRPr="000216E7">
                <w:rPr>
                  <w:rStyle w:val="Hyperlink"/>
                  <w:i/>
                  <w:iCs/>
                  <w:szCs w:val="24"/>
                </w:rPr>
                <w:t>C15/18</w:t>
              </w:r>
            </w:hyperlink>
            <w:r w:rsidRPr="000216E7">
              <w:rPr>
                <w:i/>
                <w:iCs/>
                <w:szCs w:val="24"/>
              </w:rPr>
              <w:t xml:space="preserve"> ,</w:t>
            </w:r>
            <w:hyperlink r:id="rId22" w:history="1">
              <w:r w:rsidRPr="000216E7">
                <w:rPr>
                  <w:rStyle w:val="Hyperlink"/>
                  <w:i/>
                  <w:iCs/>
                  <w:szCs w:val="24"/>
                </w:rPr>
                <w:t>C16/18</w:t>
              </w:r>
            </w:hyperlink>
            <w:r w:rsidRPr="000216E7">
              <w:rPr>
                <w:i/>
                <w:szCs w:val="24"/>
              </w:rPr>
              <w:t xml:space="preserve">, </w:t>
            </w:r>
            <w:hyperlink r:id="rId23" w:history="1">
              <w:r w:rsidRPr="000216E7">
                <w:rPr>
                  <w:rStyle w:val="Hyperlink"/>
                  <w:i/>
                  <w:iCs/>
                  <w:szCs w:val="24"/>
                </w:rPr>
                <w:t>C17/18</w:t>
              </w:r>
            </w:hyperlink>
            <w:r w:rsidRPr="000216E7">
              <w:rPr>
                <w:i/>
                <w:iCs/>
                <w:szCs w:val="24"/>
              </w:rPr>
              <w:t xml:space="preserve">, </w:t>
            </w:r>
            <w:hyperlink r:id="rId24" w:history="1">
              <w:r w:rsidRPr="000216E7">
                <w:rPr>
                  <w:rStyle w:val="Hyperlink"/>
                  <w:i/>
                  <w:iCs/>
                  <w:szCs w:val="24"/>
                </w:rPr>
                <w:t>C18/18</w:t>
              </w:r>
            </w:hyperlink>
            <w:r w:rsidRPr="000216E7">
              <w:rPr>
                <w:i/>
                <w:iCs/>
                <w:szCs w:val="24"/>
              </w:rPr>
              <w:t xml:space="preserve"> , </w:t>
            </w:r>
            <w:hyperlink r:id="rId25" w:history="1">
              <w:r w:rsidRPr="000216E7">
                <w:rPr>
                  <w:rStyle w:val="Hyperlink"/>
                  <w:i/>
                  <w:iCs/>
                  <w:szCs w:val="24"/>
                </w:rPr>
                <w:t>C19/18</w:t>
              </w:r>
            </w:hyperlink>
            <w:r w:rsidRPr="000216E7">
              <w:rPr>
                <w:i/>
                <w:iCs/>
                <w:szCs w:val="24"/>
              </w:rPr>
              <w:t xml:space="preserve">, </w:t>
            </w:r>
            <w:hyperlink r:id="rId26" w:history="1">
              <w:r w:rsidRPr="000216E7">
                <w:rPr>
                  <w:rStyle w:val="Hyperlink"/>
                  <w:i/>
                  <w:iCs/>
                  <w:szCs w:val="24"/>
                </w:rPr>
                <w:t>C20/18</w:t>
              </w:r>
            </w:hyperlink>
            <w:r w:rsidRPr="000216E7">
              <w:rPr>
                <w:i/>
                <w:iCs/>
                <w:szCs w:val="24"/>
              </w:rPr>
              <w:t xml:space="preserve">, </w:t>
            </w:r>
            <w:hyperlink r:id="rId27" w:history="1">
              <w:r w:rsidRPr="000216E7">
                <w:rPr>
                  <w:rStyle w:val="Hyperlink"/>
                  <w:i/>
                  <w:iCs/>
                  <w:szCs w:val="24"/>
                </w:rPr>
                <w:t>C21/18</w:t>
              </w:r>
            </w:hyperlink>
            <w:r w:rsidRPr="000216E7">
              <w:rPr>
                <w:i/>
                <w:szCs w:val="24"/>
              </w:rPr>
              <w:t xml:space="preserve">, </w:t>
            </w:r>
            <w:hyperlink r:id="rId28" w:history="1">
              <w:r w:rsidRPr="000216E7">
                <w:rPr>
                  <w:rStyle w:val="Hyperlink"/>
                  <w:i/>
                  <w:szCs w:val="24"/>
                </w:rPr>
                <w:t>C22/18</w:t>
              </w:r>
            </w:hyperlink>
            <w:r w:rsidRPr="000216E7">
              <w:rPr>
                <w:rStyle w:val="Hyperlink"/>
                <w:i/>
                <w:szCs w:val="24"/>
              </w:rPr>
              <w:t xml:space="preserve"> </w:t>
            </w:r>
            <w:r w:rsidRPr="000216E7">
              <w:rPr>
                <w:i/>
              </w:rPr>
              <w:t>del Consejo</w:t>
            </w:r>
          </w:p>
        </w:tc>
      </w:tr>
    </w:tbl>
    <w:bookmarkEnd w:id="0"/>
    <w:p w14:paraId="12DAEB8E" w14:textId="4B4CE7B3" w:rsidR="00CF5F05" w:rsidRPr="000216E7" w:rsidRDefault="00CF5F05" w:rsidP="00CF5F05">
      <w:r w:rsidRPr="000216E7">
        <w:lastRenderedPageBreak/>
        <w:t xml:space="preserve">En este documento se da cuenta de las actividades realizadas por la UIT en relación con la Resolución 130 (Rev. Bucarest, 2022), la función de la UIT como único organismo facilitador de la Línea de Acción C5 de la CMSI y otras decisiones adoptadas por los </w:t>
      </w:r>
      <w:r w:rsidR="000216E7" w:rsidRPr="000216E7">
        <w:t xml:space="preserve">miembros </w:t>
      </w:r>
      <w:r w:rsidRPr="000216E7">
        <w:t xml:space="preserve">sobre el fortalecimiento del papel de la UIT en la creación de confianza y seguridad en la utilización de las TIC. </w:t>
      </w:r>
    </w:p>
    <w:p w14:paraId="738B5E68" w14:textId="1C9AE277" w:rsidR="00CF5F05" w:rsidRPr="000216E7" w:rsidRDefault="00CF5F05" w:rsidP="00CF5F05">
      <w:r w:rsidRPr="000216E7">
        <w:t xml:space="preserve">El presente </w:t>
      </w:r>
      <w:r w:rsidR="000216E7" w:rsidRPr="000216E7">
        <w:t>informe</w:t>
      </w:r>
      <w:r w:rsidRPr="000216E7">
        <w:t>, organizado en torno a los cinco pilares de la Agenda sobre Ciberseguridad Global (ACG), muestra el carácter complementario de los actuales programas de trabajo de la UIT, incluidas las actividades de la BDT, la TSB y la BR en esta esfera.</w:t>
      </w:r>
    </w:p>
    <w:p w14:paraId="44B1A1FC" w14:textId="76008ED2" w:rsidR="00CF5F05" w:rsidRPr="000216E7" w:rsidRDefault="00CF5F05" w:rsidP="00CF5F05">
      <w:pPr>
        <w:pStyle w:val="Heading1"/>
      </w:pPr>
      <w:r w:rsidRPr="000216E7">
        <w:t>1</w:t>
      </w:r>
      <w:r w:rsidRPr="000216E7">
        <w:tab/>
        <w:t>Medidas jurídicas</w:t>
      </w:r>
    </w:p>
    <w:p w14:paraId="6DA01118" w14:textId="77777777" w:rsidR="00CF5F05" w:rsidRPr="000216E7" w:rsidRDefault="00CF5F05" w:rsidP="00CF5F05">
      <w:r w:rsidRPr="000216E7">
        <w:t xml:space="preserve">En el marco de la Prioridad 5 del UIT-D del Plan de Acción de Kigali, y teniendo en cuenta la Cuestión 3/2 del UIT-D, la UIT está ayudando a los Estados Miembros a comprender los aspectos jurídicos de la ciberseguridad poniendo a su disposición los </w:t>
      </w:r>
      <w:hyperlink r:id="rId29">
        <w:r w:rsidRPr="000216E7">
          <w:rPr>
            <w:rStyle w:val="Hyperlink"/>
            <w:rFonts w:cstheme="minorBidi"/>
            <w:szCs w:val="24"/>
          </w:rPr>
          <w:t>Recursos de la UIT sobre la legislación del ciberdelito</w:t>
        </w:r>
      </w:hyperlink>
      <w:r w:rsidRPr="000216E7">
        <w:t>. La UIT colabora estrechamente con socios como la Oficina de las Naciones Unidas contra la Droga y el Delito (ONUDC).</w:t>
      </w:r>
    </w:p>
    <w:p w14:paraId="30BCA9AD" w14:textId="1AB6F4BA" w:rsidR="00CF5F05" w:rsidRPr="000216E7" w:rsidRDefault="00CF5F05" w:rsidP="00CF5F05">
      <w:pPr>
        <w:pStyle w:val="Heading1"/>
      </w:pPr>
      <w:r w:rsidRPr="000216E7">
        <w:t>2</w:t>
      </w:r>
      <w:r w:rsidRPr="000216E7">
        <w:tab/>
        <w:t>Medidas técnicas y de procedimiento</w:t>
      </w:r>
    </w:p>
    <w:p w14:paraId="50C61150" w14:textId="6F407483" w:rsidR="00CF5F05" w:rsidRPr="000216E7" w:rsidRDefault="00CF5F05" w:rsidP="00CF5F05">
      <w:pPr>
        <w:rPr>
          <w:rFonts w:asciiTheme="minorHAnsi" w:hAnsiTheme="minorHAnsi" w:cstheme="minorHAnsi"/>
          <w:szCs w:val="24"/>
        </w:rPr>
      </w:pPr>
      <w:r w:rsidRPr="000216E7">
        <w:t>2.1</w:t>
      </w:r>
      <w:r w:rsidRPr="000216E7">
        <w:tab/>
        <w:t xml:space="preserve">La </w:t>
      </w:r>
      <w:hyperlink r:id="rId30" w:history="1">
        <w:r w:rsidRPr="000216E7">
          <w:rPr>
            <w:rFonts w:asciiTheme="minorHAnsi" w:hAnsiTheme="minorHAnsi" w:cstheme="minorHAnsi"/>
            <w:color w:val="0000FF"/>
            <w:szCs w:val="24"/>
            <w:u w:val="single"/>
            <w:lang w:eastAsia="zh-CN"/>
          </w:rPr>
          <w:t>Comisión de Estudio 17 (CE</w:t>
        </w:r>
        <w:r w:rsidR="007E7160" w:rsidRPr="000216E7">
          <w:rPr>
            <w:rFonts w:asciiTheme="minorHAnsi" w:hAnsiTheme="minorHAnsi" w:cstheme="minorHAnsi"/>
            <w:color w:val="0000FF"/>
            <w:szCs w:val="24"/>
            <w:u w:val="single"/>
            <w:lang w:eastAsia="zh-CN"/>
          </w:rPr>
          <w:t xml:space="preserve"> </w:t>
        </w:r>
        <w:r w:rsidRPr="000216E7">
          <w:rPr>
            <w:rFonts w:asciiTheme="minorHAnsi" w:hAnsiTheme="minorHAnsi" w:cstheme="minorHAnsi"/>
            <w:color w:val="0000FF"/>
            <w:szCs w:val="24"/>
            <w:u w:val="single"/>
            <w:lang w:eastAsia="zh-CN"/>
          </w:rPr>
          <w:t>17) del UIT-T</w:t>
        </w:r>
      </w:hyperlink>
      <w:bookmarkStart w:id="1" w:name="_Hlk63164174"/>
      <w:r w:rsidRPr="000216E7">
        <w:rPr>
          <w:rFonts w:asciiTheme="minorHAnsi" w:hAnsiTheme="minorHAnsi" w:cstheme="minorHAnsi"/>
          <w:color w:val="0000FF"/>
          <w:szCs w:val="24"/>
          <w:lang w:eastAsia="zh-CN"/>
        </w:rPr>
        <w:t xml:space="preserve"> </w:t>
      </w:r>
      <w:r w:rsidRPr="000216E7">
        <w:rPr>
          <w:lang w:eastAsia="zh-CN"/>
        </w:rPr>
        <w:t>celebró dos reuniones, en agosto/septiembre de 2022 y en febrero/marzo de 2023, y estableció</w:t>
      </w:r>
      <w:r w:rsidRPr="000216E7">
        <w:rPr>
          <w:rFonts w:asciiTheme="minorHAnsi" w:hAnsiTheme="minorHAnsi" w:cstheme="minorHAnsi"/>
          <w:szCs w:val="24"/>
        </w:rPr>
        <w:t xml:space="preserve"> 32 </w:t>
      </w:r>
      <w:hyperlink r:id="rId31" w:history="1">
        <w:r w:rsidRPr="000216E7">
          <w:rPr>
            <w:rStyle w:val="Hyperlink"/>
            <w:rFonts w:asciiTheme="minorHAnsi" w:hAnsiTheme="minorHAnsi" w:cstheme="minorHAnsi"/>
            <w:szCs w:val="24"/>
          </w:rPr>
          <w:t>nuevos temas de trabajo de normalización y aprobó</w:t>
        </w:r>
      </w:hyperlink>
      <w:r w:rsidRPr="000216E7">
        <w:rPr>
          <w:rStyle w:val="Hyperlink"/>
          <w:rFonts w:asciiTheme="minorHAnsi" w:hAnsiTheme="minorHAnsi" w:cstheme="minorHAnsi"/>
          <w:szCs w:val="24"/>
        </w:rPr>
        <w:t xml:space="preserve"> 18 Recomendaciones nuevas o revisadas sobre seguridad de las TIC</w:t>
      </w:r>
      <w:r w:rsidRPr="000216E7">
        <w:rPr>
          <w:rFonts w:asciiTheme="minorHAnsi" w:hAnsiTheme="minorHAnsi" w:cstheme="minorHAnsi"/>
          <w:szCs w:val="24"/>
        </w:rPr>
        <w:t xml:space="preserve">. </w:t>
      </w:r>
      <w:bookmarkEnd w:id="1"/>
      <w:r w:rsidRPr="000216E7">
        <w:rPr>
          <w:rFonts w:asciiTheme="minorHAnsi" w:hAnsiTheme="minorHAnsi" w:cstheme="minorHAnsi"/>
          <w:szCs w:val="24"/>
        </w:rPr>
        <w:t xml:space="preserve">Las CE 5, 11, 13, 16 y 20 del UIT-T también aprobaron Recomendaciones sobre seguridad de las TIC (véase el </w:t>
      </w:r>
      <w:hyperlink r:id="rId32" w:history="1">
        <w:r w:rsidRPr="000216E7">
          <w:rPr>
            <w:rStyle w:val="Hyperlink"/>
            <w:rFonts w:asciiTheme="minorHAnsi" w:eastAsia="Calibri" w:hAnsiTheme="minorHAnsi" w:cstheme="minorHAnsi"/>
            <w:szCs w:val="24"/>
          </w:rPr>
          <w:t>catálogo de Recomendaciones UIT-T</w:t>
        </w:r>
      </w:hyperlink>
      <w:r w:rsidRPr="000216E7">
        <w:rPr>
          <w:rFonts w:asciiTheme="minorHAnsi" w:hAnsiTheme="minorHAnsi" w:cstheme="minorHAnsi"/>
          <w:szCs w:val="24"/>
        </w:rPr>
        <w:t>) que abarcan un amplio abanico de temas, desde la seguridad electromagnética a los procedimientos y protocolos de señalización, pasando por la computación en la nube, las redes de distribución de claves cuánticas, JPEG 2000 y las soluciones de seguridad oneM2M.</w:t>
      </w:r>
    </w:p>
    <w:p w14:paraId="5992FE21" w14:textId="77777777" w:rsidR="00CF5F05" w:rsidRPr="000216E7" w:rsidRDefault="00CF5F05" w:rsidP="00CF5F05">
      <w:pPr>
        <w:spacing w:after="120"/>
        <w:jc w:val="both"/>
        <w:rPr>
          <w:rFonts w:asciiTheme="minorHAnsi" w:hAnsiTheme="minorHAnsi" w:cstheme="minorHAnsi"/>
          <w:bCs/>
          <w:szCs w:val="24"/>
        </w:rPr>
      </w:pPr>
      <w:r w:rsidRPr="000216E7">
        <w:rPr>
          <w:rFonts w:asciiTheme="minorHAnsi" w:hAnsiTheme="minorHAnsi" w:cstheme="minorHAnsi"/>
          <w:bCs/>
          <w:szCs w:val="24"/>
        </w:rPr>
        <w:t xml:space="preserve">Varios Grupos Temáticos del UIT-T, que pueden consultarse en </w:t>
      </w:r>
      <w:hyperlink r:id="rId33" w:history="1">
        <w:r w:rsidRPr="000216E7">
          <w:rPr>
            <w:rStyle w:val="Hyperlink"/>
            <w:rFonts w:asciiTheme="minorHAnsi" w:hAnsiTheme="minorHAnsi" w:cstheme="minorHAnsi"/>
            <w:bCs/>
            <w:szCs w:val="24"/>
          </w:rPr>
          <w:t>esta página</w:t>
        </w:r>
      </w:hyperlink>
      <w:r w:rsidRPr="000216E7">
        <w:rPr>
          <w:rFonts w:asciiTheme="minorHAnsi" w:hAnsiTheme="minorHAnsi" w:cstheme="minorHAnsi"/>
          <w:bCs/>
          <w:szCs w:val="24"/>
        </w:rPr>
        <w:t>, están estudiando también los aspectos relacionados con la confianza en diversas tecnologías incipientes.</w:t>
      </w:r>
    </w:p>
    <w:p w14:paraId="772C308B" w14:textId="6C90C505" w:rsidR="00CF5F05" w:rsidRPr="000216E7" w:rsidRDefault="00CF5F05" w:rsidP="00CF5F05">
      <w:pPr>
        <w:rPr>
          <w:b/>
          <w:bCs/>
        </w:rPr>
      </w:pPr>
      <w:r w:rsidRPr="000216E7">
        <w:t>2.2</w:t>
      </w:r>
      <w:r w:rsidRPr="000216E7">
        <w:tab/>
        <w:t xml:space="preserve">El UIT-R ha establecido principios de seguridad claros para las redes IMT (3G, 4G y 5G). También ha publicado Recomendaciones sobre cuestiones de seguridad en la arquitectura de gestión de red para sistemas digitales de satélites y mejoras en el comportamiento del protocolo de control de transmisión por redes de satélites (véase </w:t>
      </w:r>
      <w:hyperlink r:id="rId34" w:history="1">
        <w:r w:rsidRPr="000216E7">
          <w:rPr>
            <w:rStyle w:val="Hyperlink"/>
            <w:rFonts w:cstheme="minorHAnsi"/>
            <w:szCs w:val="24"/>
          </w:rPr>
          <w:t>aquí</w:t>
        </w:r>
      </w:hyperlink>
      <w:r w:rsidRPr="000216E7">
        <w:t xml:space="preserve">). La información sobre las tecnologías móviles futuristas – </w:t>
      </w:r>
      <w:r w:rsidR="007E7160" w:rsidRPr="000216E7">
        <w:t>"</w:t>
      </w:r>
      <w:r w:rsidRPr="000216E7">
        <w:t>IMT para 2020 y en adelante</w:t>
      </w:r>
      <w:r w:rsidR="007E7160" w:rsidRPr="000216E7">
        <w:t>"</w:t>
      </w:r>
      <w:r w:rsidRPr="000216E7">
        <w:t xml:space="preserve"> puede encontrarse </w:t>
      </w:r>
      <w:hyperlink r:id="rId35" w:history="1">
        <w:r w:rsidRPr="000216E7">
          <w:rPr>
            <w:rStyle w:val="Hyperlink"/>
            <w:rFonts w:cstheme="minorHAnsi"/>
            <w:szCs w:val="24"/>
          </w:rPr>
          <w:t>aquí</w:t>
        </w:r>
      </w:hyperlink>
      <w:r w:rsidRPr="000216E7">
        <w:t xml:space="preserve">. </w:t>
      </w:r>
    </w:p>
    <w:p w14:paraId="754F4EA9" w14:textId="7FE711AC" w:rsidR="00CF5F05" w:rsidRPr="000216E7" w:rsidRDefault="00CF5F05" w:rsidP="00CF5F05">
      <w:pPr>
        <w:pStyle w:val="Heading1"/>
      </w:pPr>
      <w:r w:rsidRPr="000216E7">
        <w:t>3</w:t>
      </w:r>
      <w:r w:rsidRPr="000216E7">
        <w:tab/>
        <w:t>Estructuras institucionales</w:t>
      </w:r>
    </w:p>
    <w:p w14:paraId="7E89A77F" w14:textId="77777777" w:rsidR="00CF5F05" w:rsidRPr="000216E7" w:rsidRDefault="00CF5F05" w:rsidP="00CF5F05">
      <w:pPr>
        <w:rPr>
          <w:rFonts w:eastAsia="Calibri" w:cs="Calibri"/>
          <w:color w:val="000000" w:themeColor="text1"/>
          <w:szCs w:val="24"/>
        </w:rPr>
      </w:pPr>
      <w:r w:rsidRPr="000216E7">
        <w:rPr>
          <w:rStyle w:val="normaltextrun"/>
          <w:rFonts w:asciiTheme="minorHAnsi" w:hAnsiTheme="minorHAnsi" w:cstheme="minorBidi"/>
          <w:color w:val="000000"/>
          <w:shd w:val="clear" w:color="auto" w:fill="FFFFFF"/>
        </w:rPr>
        <w:t>3.1</w:t>
      </w:r>
      <w:r w:rsidRPr="000216E7">
        <w:rPr>
          <w:rStyle w:val="normaltextrun"/>
          <w:rFonts w:asciiTheme="minorHAnsi" w:hAnsiTheme="minorHAnsi" w:cstheme="minorHAnsi"/>
          <w:color w:val="000000"/>
          <w:shd w:val="clear" w:color="auto" w:fill="FFFFFF"/>
        </w:rPr>
        <w:tab/>
        <w:t>Desde 2012 la UIT colabora con Estados Miembros, socios y organizaciones mundiales para reforzar la ciberseguridad mediante la creación de Equipos de Intervención en caso de Incidente Informático (EIII) regionales y nacionales. Además, la UIT realiza evaluaciones de madurez de los EIII a fin de aumentar sus capacidades. Hasta la fecha, la UIT ha prestado asistencia a 84 países evaluando su preparación en materia de ciberseguridad y dirigiendo la creación o mejora de los EIII nacionales. La UIT ha llevado a cabo 21 proyectos relacionados con EIII y está actualmente implicada en tres más</w:t>
      </w:r>
      <w:r w:rsidRPr="000216E7">
        <w:rPr>
          <w:rFonts w:eastAsia="Calibri" w:cs="Calibri"/>
          <w:color w:val="000000" w:themeColor="text1"/>
          <w:szCs w:val="24"/>
        </w:rPr>
        <w:t xml:space="preserve">. </w:t>
      </w:r>
      <w:r w:rsidRPr="000216E7">
        <w:fldChar w:fldCharType="begin"/>
      </w:r>
      <w:r w:rsidRPr="000216E7">
        <w:rPr>
          <w:rFonts w:ascii="Arial" w:hAnsi="Arial" w:cs="Arial"/>
        </w:rPr>
        <w:instrText>￼￼￼</w:instrText>
      </w:r>
      <w:r w:rsidRPr="000216E7">
        <w:rPr>
          <w:rStyle w:val="Hyperlink"/>
          <w:rFonts w:eastAsia="Calibri" w:cs="Calibri"/>
          <w:szCs w:val="24"/>
        </w:rPr>
        <w:instrText>three (3) more</w:instrText>
      </w:r>
      <w:r w:rsidRPr="000216E7">
        <w:fldChar w:fldCharType="end"/>
      </w:r>
    </w:p>
    <w:p w14:paraId="01EBA7F4" w14:textId="77777777" w:rsidR="00CF5F05" w:rsidRPr="000216E7" w:rsidRDefault="00CF5F05" w:rsidP="00CF5F05">
      <w:pPr>
        <w:rPr>
          <w:rStyle w:val="normaltextrun"/>
          <w:rFonts w:asciiTheme="minorHAnsi" w:hAnsiTheme="minorHAnsi" w:cstheme="minorBidi"/>
          <w:color w:val="000000" w:themeColor="text1"/>
        </w:rPr>
      </w:pPr>
      <w:r w:rsidRPr="000216E7">
        <w:rPr>
          <w:rFonts w:eastAsia="Calibri"/>
          <w:shd w:val="clear" w:color="auto" w:fill="FFFFFF"/>
        </w:rPr>
        <w:lastRenderedPageBreak/>
        <w:t>La UIT colabora activamente con la comunidad FIRST en la mejora del Marco de servicio de los Equipos de Intervención en caso de Incidente de Seguridad Informática (EIISI) y en la revisión de los materiales de capacitación en gestión de las operaciones de los EIII nacionales.</w:t>
      </w:r>
    </w:p>
    <w:p w14:paraId="4896F602" w14:textId="0020B23D" w:rsidR="00CF5F05" w:rsidRPr="000216E7" w:rsidRDefault="00CF5F05" w:rsidP="00CF5F05">
      <w:pPr>
        <w:rPr>
          <w:rStyle w:val="normaltextrun"/>
          <w:rFonts w:asciiTheme="minorHAnsi" w:hAnsiTheme="minorHAnsi" w:cstheme="minorBidi"/>
          <w:color w:val="000000"/>
          <w:shd w:val="clear" w:color="auto" w:fill="FFFFFF"/>
        </w:rPr>
      </w:pPr>
      <w:r w:rsidRPr="000216E7">
        <w:rPr>
          <w:rStyle w:val="normaltextrun"/>
          <w:rFonts w:asciiTheme="minorHAnsi" w:hAnsiTheme="minorHAnsi" w:cstheme="minorBidi"/>
          <w:color w:val="000000"/>
          <w:shd w:val="clear" w:color="auto" w:fill="FFFFFF"/>
        </w:rPr>
        <w:t>3.2</w:t>
      </w:r>
      <w:r w:rsidRPr="000216E7">
        <w:rPr>
          <w:rStyle w:val="normaltextrun"/>
          <w:rFonts w:asciiTheme="minorHAnsi" w:hAnsiTheme="minorHAnsi" w:cstheme="minorHAnsi"/>
          <w:color w:val="000000"/>
          <w:shd w:val="clear" w:color="auto" w:fill="FFFFFF"/>
        </w:rPr>
        <w:tab/>
        <w:t>Hasta mayo de</w:t>
      </w:r>
      <w:r w:rsidRPr="000216E7">
        <w:rPr>
          <w:rStyle w:val="normaltextrun"/>
          <w:rFonts w:asciiTheme="minorHAnsi" w:hAnsiTheme="minorHAnsi" w:cstheme="minorBidi"/>
          <w:color w:val="000000" w:themeColor="text1"/>
        </w:rPr>
        <w:t xml:space="preserve"> </w:t>
      </w:r>
      <w:r w:rsidRPr="000216E7">
        <w:rPr>
          <w:rStyle w:val="normaltextrun"/>
          <w:rFonts w:asciiTheme="minorHAnsi" w:hAnsiTheme="minorHAnsi" w:cstheme="minorBidi"/>
          <w:color w:val="000000"/>
          <w:shd w:val="clear" w:color="auto" w:fill="FFFFFF"/>
        </w:rPr>
        <w:t>20</w:t>
      </w:r>
      <w:r w:rsidRPr="000216E7">
        <w:rPr>
          <w:rStyle w:val="normaltextrun"/>
          <w:rFonts w:asciiTheme="minorHAnsi" w:hAnsiTheme="minorHAnsi" w:cstheme="minorBidi"/>
          <w:color w:val="000000" w:themeColor="text1"/>
        </w:rPr>
        <w:t>23 la UIT había organizado más de 40</w:t>
      </w:r>
      <w:r w:rsidRPr="000216E7">
        <w:rPr>
          <w:rStyle w:val="normaltextrun"/>
          <w:rFonts w:asciiTheme="minorHAnsi" w:hAnsiTheme="minorHAnsi" w:cstheme="minorBidi"/>
          <w:color w:val="000000"/>
          <w:shd w:val="clear" w:color="auto" w:fill="FFFFFF"/>
        </w:rPr>
        <w:t xml:space="preserve"> </w:t>
      </w:r>
      <w:hyperlink r:id="rId36" w:tgtFrame="_blank" w:history="1">
        <w:r w:rsidR="000216E7" w:rsidRPr="000216E7">
          <w:rPr>
            <w:rStyle w:val="normaltextrun"/>
            <w:rFonts w:asciiTheme="minorHAnsi" w:hAnsiTheme="minorHAnsi" w:cstheme="minorBidi"/>
            <w:color w:val="0000FF"/>
            <w:u w:val="single"/>
            <w:shd w:val="clear" w:color="auto" w:fill="FFFFFF"/>
          </w:rPr>
          <w:t>c</w:t>
        </w:r>
        <w:r w:rsidRPr="000216E7">
          <w:rPr>
            <w:rStyle w:val="normaltextrun"/>
            <w:rFonts w:asciiTheme="minorHAnsi" w:hAnsiTheme="minorHAnsi" w:cstheme="minorBidi"/>
            <w:color w:val="0000FF"/>
            <w:u w:val="single"/>
            <w:shd w:val="clear" w:color="auto" w:fill="FFFFFF"/>
          </w:rPr>
          <w:t>ibersimulacros</w:t>
        </w:r>
      </w:hyperlink>
      <w:r w:rsidRPr="000216E7">
        <w:rPr>
          <w:rStyle w:val="normaltextrun"/>
          <w:rFonts w:asciiTheme="minorHAnsi" w:hAnsiTheme="minorHAnsi" w:cstheme="minorBidi"/>
          <w:color w:val="000000"/>
          <w:shd w:val="clear" w:color="auto" w:fill="FFFFFF"/>
        </w:rPr>
        <w:t xml:space="preserve"> internacionales, regionales o nacionales (incluidos 3 </w:t>
      </w:r>
      <w:r w:rsidR="000216E7" w:rsidRPr="000216E7">
        <w:rPr>
          <w:rStyle w:val="normaltextrun"/>
          <w:rFonts w:asciiTheme="minorHAnsi" w:hAnsiTheme="minorHAnsi" w:cstheme="minorBidi"/>
          <w:color w:val="000000"/>
          <w:shd w:val="clear" w:color="auto" w:fill="FFFFFF"/>
        </w:rPr>
        <w:t>c</w:t>
      </w:r>
      <w:r w:rsidRPr="000216E7">
        <w:rPr>
          <w:rStyle w:val="normaltextrun"/>
          <w:rFonts w:asciiTheme="minorHAnsi" w:hAnsiTheme="minorHAnsi" w:cstheme="minorBidi"/>
          <w:color w:val="000000"/>
          <w:shd w:val="clear" w:color="auto" w:fill="FFFFFF"/>
        </w:rPr>
        <w:t xml:space="preserve">ibersimulacros mundiales), en los que participaron más de 120 países de las seis Regiones de la UIT. Se ha previsto celebrar el </w:t>
      </w:r>
      <w:hyperlink r:id="rId37" w:history="1">
        <w:r w:rsidR="000216E7" w:rsidRPr="000216E7">
          <w:rPr>
            <w:rStyle w:val="Hyperlink"/>
            <w:rFonts w:asciiTheme="minorHAnsi" w:hAnsiTheme="minorHAnsi" w:cstheme="minorBidi"/>
            <w:shd w:val="clear" w:color="auto" w:fill="FFFFFF"/>
          </w:rPr>
          <w:t>c</w:t>
        </w:r>
        <w:r w:rsidRPr="000216E7">
          <w:rPr>
            <w:rStyle w:val="Hyperlink"/>
            <w:rFonts w:asciiTheme="minorHAnsi" w:hAnsiTheme="minorHAnsi" w:cstheme="minorBidi"/>
            <w:shd w:val="clear" w:color="auto" w:fill="FFFFFF"/>
          </w:rPr>
          <w:t>ibersimulacro</w:t>
        </w:r>
        <w:r w:rsidRPr="000216E7">
          <w:rPr>
            <w:rStyle w:val="Hyperlink"/>
            <w:rFonts w:asciiTheme="minorHAnsi" w:hAnsiTheme="minorHAnsi" w:cstheme="minorBidi"/>
            <w:color w:val="auto"/>
            <w:u w:val="none"/>
            <w:shd w:val="clear" w:color="auto" w:fill="FFFFFF"/>
          </w:rPr>
          <w:t xml:space="preserve"> mundial de 2023</w:t>
        </w:r>
      </w:hyperlink>
      <w:r w:rsidRPr="000216E7">
        <w:rPr>
          <w:rStyle w:val="normaltextrun"/>
          <w:rFonts w:asciiTheme="minorHAnsi" w:hAnsiTheme="minorHAnsi" w:cstheme="minorBidi"/>
          <w:color w:val="000000"/>
          <w:shd w:val="clear" w:color="auto" w:fill="FFFFFF"/>
        </w:rPr>
        <w:t xml:space="preserve"> a finales de</w:t>
      </w:r>
      <w:r w:rsidRPr="000216E7">
        <w:rPr>
          <w:rStyle w:val="normaltextrun"/>
          <w:rFonts w:asciiTheme="minorHAnsi" w:hAnsiTheme="minorHAnsi" w:cstheme="minorBidi"/>
          <w:color w:val="000000" w:themeColor="text1"/>
        </w:rPr>
        <w:t xml:space="preserve"> 2023.</w:t>
      </w:r>
    </w:p>
    <w:p w14:paraId="626897AC" w14:textId="2105DF72" w:rsidR="00CF5F05" w:rsidRPr="000216E7" w:rsidRDefault="00CF5F05" w:rsidP="00CF5F05">
      <w:pPr>
        <w:pStyle w:val="Heading1"/>
      </w:pPr>
      <w:r w:rsidRPr="000216E7">
        <w:t>4</w:t>
      </w:r>
      <w:r w:rsidRPr="000216E7">
        <w:tab/>
        <w:t>Capacitación</w:t>
      </w:r>
    </w:p>
    <w:p w14:paraId="618F965F" w14:textId="77777777" w:rsidR="00CF5F05" w:rsidRPr="000216E7" w:rsidRDefault="00CF5F05" w:rsidP="00CF5F05">
      <w:r w:rsidRPr="000216E7">
        <w:rPr>
          <w:rStyle w:val="normaltextrun"/>
          <w:rFonts w:asciiTheme="minorHAnsi" w:eastAsiaTheme="minorEastAsia" w:hAnsiTheme="minorHAnsi" w:cstheme="minorHAnsi"/>
        </w:rPr>
        <w:t>4.1</w:t>
      </w:r>
      <w:r w:rsidRPr="000216E7">
        <w:rPr>
          <w:rStyle w:val="normaltextrun"/>
          <w:rFonts w:asciiTheme="minorHAnsi" w:eastAsiaTheme="minorEastAsia" w:hAnsiTheme="minorHAnsi" w:cstheme="minorHAnsi"/>
        </w:rPr>
        <w:tab/>
        <w:t>La BDT ha organizado foros regionales de ciberseguridad para todas las Regiones de la UIT como actividad de capacitación.</w:t>
      </w:r>
    </w:p>
    <w:p w14:paraId="5C88A223" w14:textId="254E3911" w:rsidR="00CF5F05" w:rsidRPr="000216E7" w:rsidRDefault="00CF5F05" w:rsidP="00CF5F05">
      <w:r w:rsidRPr="000216E7">
        <w:rPr>
          <w:rStyle w:val="normaltextrun"/>
          <w:rFonts w:asciiTheme="minorHAnsi" w:eastAsiaTheme="minorEastAsia" w:hAnsiTheme="minorHAnsi" w:cstheme="minorHAnsi"/>
        </w:rPr>
        <w:t>Tras la CMDT de 2022, se prosiguen los trabajos de la Cuestión 3/2 (</w:t>
      </w:r>
      <w:hyperlink r:id="rId38" w:tgtFrame="_blank" w:history="1">
        <w:r w:rsidRPr="000216E7">
          <w:rPr>
            <w:rStyle w:val="normaltextrun"/>
            <w:rFonts w:asciiTheme="minorHAnsi" w:eastAsiaTheme="minorEastAsia" w:hAnsiTheme="minorHAnsi" w:cstheme="minorHAnsi"/>
            <w:color w:val="0000FF"/>
            <w:u w:val="single"/>
          </w:rPr>
          <w:t>Seguridad en las redes de información y comunicación: prácticas idóneas para el desarrollo de una cultura de ciberseguridad</w:t>
        </w:r>
      </w:hyperlink>
      <w:r w:rsidRPr="000216E7">
        <w:rPr>
          <w:rStyle w:val="normaltextrun"/>
          <w:rFonts w:asciiTheme="minorHAnsi" w:eastAsiaTheme="minorEastAsia" w:hAnsiTheme="minorHAnsi" w:cstheme="minorHAnsi"/>
        </w:rPr>
        <w:t>).</w:t>
      </w:r>
      <w:r w:rsidRPr="000216E7">
        <w:rPr>
          <w:rStyle w:val="eop"/>
          <w:rFonts w:asciiTheme="minorHAnsi" w:hAnsiTheme="minorHAnsi" w:cstheme="minorHAnsi"/>
        </w:rPr>
        <w:t> </w:t>
      </w:r>
    </w:p>
    <w:p w14:paraId="00C0FA93" w14:textId="13D6CE5C" w:rsidR="00CF5F05" w:rsidRPr="000216E7" w:rsidRDefault="00CF5F05" w:rsidP="00CF5F05">
      <w:pPr>
        <w:rPr>
          <w:rStyle w:val="normaltextrun"/>
          <w:rFonts w:asciiTheme="minorHAnsi" w:eastAsiaTheme="minorEastAsia" w:hAnsiTheme="minorHAnsi" w:cstheme="minorBidi"/>
        </w:rPr>
      </w:pPr>
      <w:r w:rsidRPr="000216E7">
        <w:rPr>
          <w:rStyle w:val="normaltextrun"/>
          <w:rFonts w:asciiTheme="minorHAnsi" w:eastAsiaTheme="minorEastAsia" w:hAnsiTheme="minorHAnsi" w:cstheme="minorBidi"/>
        </w:rPr>
        <w:t>4.2</w:t>
      </w:r>
      <w:r w:rsidRPr="000216E7">
        <w:tab/>
      </w:r>
      <w:r w:rsidRPr="000216E7">
        <w:rPr>
          <w:rStyle w:val="normaltextrun"/>
          <w:rFonts w:asciiTheme="minorHAnsi" w:eastAsiaTheme="minorEastAsia" w:hAnsiTheme="minorHAnsi" w:cstheme="minorBidi"/>
        </w:rPr>
        <w:t xml:space="preserve">La </w:t>
      </w:r>
      <w:hyperlink r:id="rId39" w:history="1">
        <w:r w:rsidRPr="000216E7">
          <w:rPr>
            <w:rStyle w:val="Hyperlink"/>
            <w:rFonts w:asciiTheme="minorHAnsi" w:hAnsiTheme="minorHAnsi" w:cstheme="minorBidi"/>
          </w:rPr>
          <w:t xml:space="preserve">segunda edición de la </w:t>
        </w:r>
        <w:r w:rsidRPr="000216E7">
          <w:rPr>
            <w:rStyle w:val="Hyperlink"/>
            <w:rFonts w:asciiTheme="minorHAnsi" w:eastAsiaTheme="minorEastAsia" w:hAnsiTheme="minorHAnsi" w:cstheme="minorBidi"/>
          </w:rPr>
          <w:t>Guía para la elaboración de una estrategia nacional de ciberseguridad</w:t>
        </w:r>
      </w:hyperlink>
      <w:r w:rsidRPr="000216E7">
        <w:rPr>
          <w:rStyle w:val="normaltextrun"/>
          <w:rFonts w:asciiTheme="minorHAnsi" w:eastAsiaTheme="minorEastAsia" w:hAnsiTheme="minorHAnsi" w:cstheme="minorBidi"/>
        </w:rPr>
        <w:t xml:space="preserve"> (NCS) se publicó en 2021 en colaboración con más de 20 socios internacionales</w:t>
      </w:r>
      <w:r w:rsidRPr="000216E7">
        <w:rPr>
          <w:rStyle w:val="normaltextrun"/>
          <w:rFonts w:asciiTheme="minorHAnsi" w:eastAsiaTheme="minorEastAsia" w:hAnsiTheme="minorHAnsi" w:cstheme="minorHAnsi"/>
        </w:rPr>
        <w:t>.</w:t>
      </w:r>
    </w:p>
    <w:p w14:paraId="0659956C" w14:textId="77777777" w:rsidR="00CF5F05" w:rsidRPr="000216E7" w:rsidRDefault="00CF5F05" w:rsidP="00CF5F05">
      <w:pPr>
        <w:rPr>
          <w:rFonts w:eastAsia="Calibri" w:cs="Calibri"/>
        </w:rPr>
      </w:pPr>
      <w:r w:rsidRPr="000216E7">
        <w:rPr>
          <w:rStyle w:val="normaltextrun"/>
          <w:rFonts w:asciiTheme="minorHAnsi" w:eastAsiaTheme="minorEastAsia" w:hAnsiTheme="minorHAnsi" w:cstheme="minorBidi"/>
        </w:rPr>
        <w:t>4.3</w:t>
      </w:r>
      <w:r w:rsidRPr="000216E7">
        <w:tab/>
        <w:t>A través de la</w:t>
      </w:r>
      <w:r w:rsidRPr="000216E7">
        <w:rPr>
          <w:rStyle w:val="normaltextrun"/>
          <w:rFonts w:asciiTheme="minorHAnsi" w:eastAsiaTheme="minorEastAsia" w:hAnsiTheme="minorHAnsi" w:cstheme="minorBidi"/>
        </w:rPr>
        <w:t xml:space="preserve"> </w:t>
      </w:r>
      <w:hyperlink r:id="rId40">
        <w:r w:rsidRPr="000216E7">
          <w:rPr>
            <w:rStyle w:val="normaltextrun"/>
            <w:rFonts w:asciiTheme="minorHAnsi" w:eastAsiaTheme="minorEastAsia" w:hAnsiTheme="minorHAnsi" w:cstheme="minorBidi"/>
            <w:color w:val="0000FF"/>
            <w:u w:val="single"/>
          </w:rPr>
          <w:t>Academia de la UIT</w:t>
        </w:r>
      </w:hyperlink>
      <w:r w:rsidRPr="000216E7">
        <w:rPr>
          <w:rStyle w:val="normaltextrun"/>
          <w:rFonts w:asciiTheme="minorHAnsi" w:eastAsiaTheme="minorEastAsia" w:hAnsiTheme="minorHAnsi" w:cstheme="minorBidi"/>
        </w:rPr>
        <w:t>, de los Centros de Excelencia de la UIT y los Centros de Formación de la Academia, la UIT sigue impartiendo formaciones y celebrando talleres sobre diversos aspectos de la ciberseguridad. En 2021 se puso a disposición un</w:t>
      </w:r>
      <w:r w:rsidRPr="000216E7">
        <w:rPr>
          <w:rFonts w:eastAsia="Calibri" w:cs="Calibri"/>
          <w:szCs w:val="24"/>
        </w:rPr>
        <w:t xml:space="preserve"> </w:t>
      </w:r>
      <w:hyperlink r:id="rId41" w:history="1">
        <w:r w:rsidRPr="000216E7">
          <w:rPr>
            <w:rStyle w:val="Hyperlink"/>
            <w:rFonts w:eastAsia="Calibri" w:cs="Calibri"/>
            <w:szCs w:val="24"/>
          </w:rPr>
          <w:t>cursillo de formación en línea autogestionado</w:t>
        </w:r>
      </w:hyperlink>
      <w:r w:rsidRPr="000216E7">
        <w:rPr>
          <w:rFonts w:eastAsia="Calibri" w:cs="Calibri"/>
          <w:szCs w:val="24"/>
        </w:rPr>
        <w:t xml:space="preserve"> basado en la NCS de la Guía, que sigue impartiéndose a través de la Academia de la UIT.</w:t>
      </w:r>
    </w:p>
    <w:p w14:paraId="35C616AB" w14:textId="35732277" w:rsidR="00CF5F05" w:rsidRPr="000216E7" w:rsidRDefault="00CF5F05" w:rsidP="00CF5F05">
      <w:r w:rsidRPr="000216E7">
        <w:rPr>
          <w:rStyle w:val="normaltextrun"/>
          <w:rFonts w:asciiTheme="minorHAnsi" w:eastAsiaTheme="minorEastAsia" w:hAnsiTheme="minorHAnsi" w:cstheme="minorBidi"/>
        </w:rPr>
        <w:t>4.4</w:t>
      </w:r>
      <w:r w:rsidRPr="000216E7">
        <w:tab/>
      </w:r>
      <w:r w:rsidRPr="000216E7">
        <w:rPr>
          <w:rStyle w:val="normaltextrun"/>
          <w:rFonts w:asciiTheme="minorHAnsi" w:eastAsiaTheme="minorEastAsia" w:hAnsiTheme="minorHAnsi" w:cstheme="minorBidi"/>
        </w:rPr>
        <w:t xml:space="preserve">En abril de 2023 se puso en marcha la quinta edición del </w:t>
      </w:r>
      <w:r w:rsidR="000216E7" w:rsidRPr="000216E7">
        <w:rPr>
          <w:rStyle w:val="normaltextrun"/>
          <w:rFonts w:asciiTheme="minorHAnsi" w:eastAsiaTheme="minorEastAsia" w:hAnsiTheme="minorHAnsi" w:cstheme="minorBidi"/>
        </w:rPr>
        <w:t>c</w:t>
      </w:r>
      <w:r w:rsidRPr="000216E7">
        <w:rPr>
          <w:rStyle w:val="normaltextrun"/>
          <w:rFonts w:asciiTheme="minorHAnsi" w:eastAsiaTheme="minorEastAsia" w:hAnsiTheme="minorHAnsi" w:cstheme="minorBidi"/>
        </w:rPr>
        <w:t xml:space="preserve">uestionario del </w:t>
      </w:r>
      <w:hyperlink r:id="rId42">
        <w:r w:rsidRPr="000216E7">
          <w:rPr>
            <w:rStyle w:val="normaltextrun"/>
            <w:rFonts w:asciiTheme="minorHAnsi" w:eastAsiaTheme="minorEastAsia" w:hAnsiTheme="minorHAnsi" w:cstheme="minorBidi"/>
            <w:color w:val="0000FF"/>
            <w:u w:val="single"/>
          </w:rPr>
          <w:t>Índice de Ciberseguridad Global de la UIT</w:t>
        </w:r>
      </w:hyperlink>
      <w:r w:rsidRPr="000216E7">
        <w:rPr>
          <w:rStyle w:val="normaltextrun"/>
          <w:rFonts w:asciiTheme="minorHAnsi" w:eastAsiaTheme="minorEastAsia" w:hAnsiTheme="minorHAnsi" w:cstheme="minorBidi"/>
        </w:rPr>
        <w:t xml:space="preserve"> (ICG), que se encuentra ahora en la fase de recopilación de datos. En las reuniones del Grupo de Expertos sobre el ICG, en las que participaron más de 140 expertos, se formularon recomendaciones sobre la Resolución 130 (Rev. Bucarest</w:t>
      </w:r>
      <w:r w:rsidR="000216E7" w:rsidRPr="000216E7">
        <w:rPr>
          <w:rStyle w:val="normaltextrun"/>
          <w:rFonts w:asciiTheme="minorHAnsi" w:eastAsiaTheme="minorEastAsia" w:hAnsiTheme="minorHAnsi" w:cstheme="minorBidi"/>
        </w:rPr>
        <w:t>,</w:t>
      </w:r>
      <w:r w:rsidRPr="000216E7">
        <w:rPr>
          <w:rStyle w:val="normaltextrun"/>
          <w:rFonts w:asciiTheme="minorHAnsi" w:eastAsiaTheme="minorEastAsia" w:hAnsiTheme="minorHAnsi" w:cstheme="minorBidi"/>
        </w:rPr>
        <w:t xml:space="preserve"> 2022) de la PP y la Resolución 46 (Rev. Kigali</w:t>
      </w:r>
      <w:r w:rsidR="000216E7" w:rsidRPr="000216E7">
        <w:rPr>
          <w:rStyle w:val="normaltextrun"/>
          <w:rFonts w:asciiTheme="minorHAnsi" w:eastAsiaTheme="minorEastAsia" w:hAnsiTheme="minorHAnsi" w:cstheme="minorBidi"/>
        </w:rPr>
        <w:t>,</w:t>
      </w:r>
      <w:r w:rsidRPr="000216E7">
        <w:rPr>
          <w:rStyle w:val="normaltextrun"/>
          <w:rFonts w:asciiTheme="minorHAnsi" w:eastAsiaTheme="minorEastAsia" w:hAnsiTheme="minorHAnsi" w:cstheme="minorBidi"/>
        </w:rPr>
        <w:t xml:space="preserve"> 2022) de la CMDT en relación con las ponderaciones y los informes por niveles. Esas recomendaciones se están teniendo en cuenta en los trabajos en curso. </w:t>
      </w:r>
    </w:p>
    <w:p w14:paraId="0B607992" w14:textId="660AF2C4" w:rsidR="00CF5F05" w:rsidRPr="000216E7" w:rsidRDefault="00CF5F05" w:rsidP="00CF5F05">
      <w:pPr>
        <w:rPr>
          <w:rStyle w:val="eop"/>
          <w:rFonts w:asciiTheme="minorHAnsi" w:hAnsiTheme="minorHAnsi" w:cstheme="minorBidi"/>
        </w:rPr>
      </w:pPr>
      <w:r w:rsidRPr="000216E7">
        <w:rPr>
          <w:rStyle w:val="normaltextrun"/>
          <w:rFonts w:asciiTheme="minorHAnsi" w:eastAsiaTheme="minorEastAsia" w:hAnsiTheme="minorHAnsi" w:cstheme="minorBidi"/>
        </w:rPr>
        <w:t>4.5</w:t>
      </w:r>
      <w:r w:rsidRPr="000216E7">
        <w:tab/>
      </w:r>
      <w:r w:rsidRPr="000216E7">
        <w:rPr>
          <w:rStyle w:val="normaltextrun"/>
          <w:rFonts w:asciiTheme="minorHAnsi" w:eastAsiaTheme="minorEastAsia" w:hAnsiTheme="minorHAnsi" w:cstheme="minorBidi"/>
        </w:rPr>
        <w:t xml:space="preserve">La UIT ha completado con éxito dos ediciones del </w:t>
      </w:r>
      <w:hyperlink r:id="rId43">
        <w:r w:rsidRPr="000216E7">
          <w:rPr>
            <w:rStyle w:val="Hyperlink"/>
            <w:rFonts w:asciiTheme="minorHAnsi" w:hAnsiTheme="minorHAnsi" w:cstheme="minorBidi"/>
          </w:rPr>
          <w:t>Programa de Cibertutorías para Mujeres</w:t>
        </w:r>
      </w:hyperlink>
      <w:r w:rsidRPr="000216E7">
        <w:rPr>
          <w:rStyle w:val="normaltextrun"/>
          <w:rFonts w:asciiTheme="minorHAnsi" w:eastAsiaTheme="minorEastAsia" w:hAnsiTheme="minorHAnsi" w:cstheme="minorBidi"/>
        </w:rPr>
        <w:t>. La tercera edición se lanzó en abril de 2023 y está específicamente destinada a las mujeres de las regiones de África, Asia-Pacífico y los Países Árabes. La edición de 2023 está acompañada del lanzamiento de</w:t>
      </w:r>
      <w:r w:rsidRPr="000216E7">
        <w:rPr>
          <w:rStyle w:val="eop"/>
          <w:rFonts w:asciiTheme="minorHAnsi" w:hAnsiTheme="minorHAnsi" w:cstheme="minorBidi"/>
        </w:rPr>
        <w:t xml:space="preserve"> </w:t>
      </w:r>
      <w:r w:rsidR="007E7160" w:rsidRPr="000216E7">
        <w:rPr>
          <w:rStyle w:val="eop"/>
          <w:rFonts w:asciiTheme="minorHAnsi" w:hAnsiTheme="minorHAnsi" w:cstheme="minorBidi"/>
        </w:rPr>
        <w:t>"</w:t>
      </w:r>
      <w:hyperlink r:id="rId44">
        <w:r w:rsidRPr="000216E7">
          <w:rPr>
            <w:rStyle w:val="Hyperlink"/>
            <w:rFonts w:asciiTheme="minorHAnsi" w:hAnsiTheme="minorHAnsi" w:cstheme="minorBidi"/>
          </w:rPr>
          <w:t>Her CyberTracks</w:t>
        </w:r>
      </w:hyperlink>
      <w:r w:rsidR="007E7160" w:rsidRPr="000216E7">
        <w:rPr>
          <w:rStyle w:val="eop"/>
          <w:rFonts w:asciiTheme="minorHAnsi" w:hAnsiTheme="minorHAnsi" w:cstheme="minorBidi"/>
        </w:rPr>
        <w:t>"</w:t>
      </w:r>
      <w:r w:rsidRPr="000216E7">
        <w:rPr>
          <w:rStyle w:val="eop"/>
          <w:rFonts w:asciiTheme="minorHAnsi" w:hAnsiTheme="minorHAnsi" w:cstheme="minorBidi"/>
        </w:rPr>
        <w:t>, iniciativa destinada en particular a las responsables políticas y diplomáticas.</w:t>
      </w:r>
    </w:p>
    <w:p w14:paraId="0F24894B" w14:textId="77777777" w:rsidR="00CF5F05" w:rsidRPr="000216E7" w:rsidRDefault="00CF5F05" w:rsidP="00CF5F05">
      <w:r w:rsidRPr="000216E7">
        <w:t>4.6</w:t>
      </w:r>
      <w:r w:rsidRPr="000216E7">
        <w:tab/>
        <w:t xml:space="preserve">La UIT colabora con 15 países en </w:t>
      </w:r>
      <w:hyperlink r:id="rId45">
        <w:r w:rsidRPr="000216E7">
          <w:rPr>
            <w:rStyle w:val="Hyperlink"/>
            <w:rFonts w:asciiTheme="minorHAnsi" w:hAnsiTheme="minorHAnsi" w:cstheme="minorBidi"/>
          </w:rPr>
          <w:t>Cyber for Good</w:t>
        </w:r>
      </w:hyperlink>
      <w:r w:rsidRPr="000216E7">
        <w:t xml:space="preserve"> para dar acceso gratuito a herramientas, formaciones y servicios a través de los Miembros de Sector del UIT-D. </w:t>
      </w:r>
    </w:p>
    <w:p w14:paraId="07B3BF04" w14:textId="77777777" w:rsidR="00CF5F05" w:rsidRPr="000216E7" w:rsidRDefault="00CF5F05" w:rsidP="00CF5F05">
      <w:r w:rsidRPr="000216E7">
        <w:t>4.7</w:t>
      </w:r>
      <w:r w:rsidRPr="000216E7">
        <w:tab/>
        <w:t xml:space="preserve">La UIT está colaborando con la OEA en la definición de un enfoque sistemático para la formación en ciberseguridad. Este trabajo comprende la celebración de una serie de talleres para elaborar una guía adaptable para los países. </w:t>
      </w:r>
    </w:p>
    <w:p w14:paraId="15B3BBD8" w14:textId="6BE21F7F" w:rsidR="00CF5F05" w:rsidRPr="000216E7" w:rsidRDefault="00CF5F05" w:rsidP="00CF5F05">
      <w:pPr>
        <w:pStyle w:val="Heading1"/>
      </w:pPr>
      <w:r w:rsidRPr="000216E7">
        <w:lastRenderedPageBreak/>
        <w:t>5</w:t>
      </w:r>
      <w:r w:rsidRPr="000216E7">
        <w:tab/>
        <w:t>Cooperación internacional</w:t>
      </w:r>
    </w:p>
    <w:p w14:paraId="2B3A1A92" w14:textId="77777777" w:rsidR="00CF5F05" w:rsidRPr="000216E7" w:rsidRDefault="00CF5F05" w:rsidP="00CF5F05">
      <w:r w:rsidRPr="000216E7">
        <w:t>5.1</w:t>
      </w:r>
      <w:r w:rsidRPr="000216E7">
        <w:tab/>
        <w:t xml:space="preserve">La UIT está forjando relaciones y </w:t>
      </w:r>
      <w:hyperlink r:id="rId46" w:history="1">
        <w:r w:rsidRPr="000216E7">
          <w:rPr>
            <w:rStyle w:val="Hyperlink"/>
            <w:rFonts w:cstheme="minorBidi"/>
            <w:szCs w:val="24"/>
          </w:rPr>
          <w:t>asociaciones</w:t>
        </w:r>
      </w:hyperlink>
      <w:r w:rsidRPr="000216E7">
        <w:t xml:space="preserve"> con diversas organizaciones e iniciativas regionales/internacionales, tales como OEA, ENISA, INTERPOL, CEDEAO, Banco Mundial, FIRST, GFCE y las asociaciones de EIII/EIEI regionales, como EIEI AP, EIEI ÁFRICA y EIEI OIC.</w:t>
      </w:r>
    </w:p>
    <w:p w14:paraId="6F1A295B" w14:textId="77777777" w:rsidR="00CF5F05" w:rsidRPr="000216E7" w:rsidRDefault="00CF5F05" w:rsidP="00CF5F05">
      <w:pPr>
        <w:rPr>
          <w:bCs/>
          <w:iCs/>
        </w:rPr>
      </w:pPr>
      <w:r w:rsidRPr="000216E7">
        <w:t>5.2</w:t>
      </w:r>
      <w:r w:rsidRPr="000216E7">
        <w:tab/>
        <w:t>En su reunión de 2022 el Consejo decidió presentar a la consideración de la Conferencia de Plenipotenciarios de 2022 las Directrices de utilización de la ACG aprobadas. La Conferencia tomó nota de las Directrices e invitó al Consejo a considerar las propuestas presentadas por los Estados Miembros en relación con la ACG, su utilización actual y su posible evolución futura</w:t>
      </w:r>
      <w:r w:rsidRPr="000216E7">
        <w:rPr>
          <w:bCs/>
          <w:iCs/>
        </w:rPr>
        <w:t>.</w:t>
      </w:r>
    </w:p>
    <w:p w14:paraId="59B16B7D" w14:textId="1CFE0B8B" w:rsidR="00CF5F05" w:rsidRPr="000216E7" w:rsidRDefault="00CF5F05" w:rsidP="00CF5F05">
      <w:pPr>
        <w:rPr>
          <w:rFonts w:cstheme="minorBidi"/>
          <w:szCs w:val="24"/>
        </w:rPr>
      </w:pPr>
      <w:r w:rsidRPr="000216E7">
        <w:rPr>
          <w:rFonts w:cstheme="minorBidi"/>
          <w:szCs w:val="24"/>
        </w:rPr>
        <w:t>5.3</w:t>
      </w:r>
      <w:r w:rsidRPr="000216E7">
        <w:tab/>
        <w:t xml:space="preserve">En tanto que principal organismo facilitador de la Línea de Acción C5 de la CMSI, la UIT organizó una sesión de facilitación de la Línea de Acción C5 sobre </w:t>
      </w:r>
      <w:r w:rsidR="007E7160" w:rsidRPr="000216E7">
        <w:t>"</w:t>
      </w:r>
      <w:r w:rsidRPr="000216E7">
        <w:t>La próxima frontera: hablemos de resiliencia digital: cibernética y espacial</w:t>
      </w:r>
      <w:r w:rsidR="007E7160" w:rsidRPr="000216E7">
        <w:rPr>
          <w:rFonts w:cstheme="minorBidi"/>
          <w:szCs w:val="24"/>
        </w:rPr>
        <w:t>"</w:t>
      </w:r>
      <w:r w:rsidRPr="000216E7">
        <w:rPr>
          <w:rFonts w:cstheme="minorBidi"/>
          <w:szCs w:val="24"/>
        </w:rPr>
        <w:t xml:space="preserve"> en el </w:t>
      </w:r>
      <w:hyperlink r:id="rId47">
        <w:r w:rsidRPr="000216E7">
          <w:rPr>
            <w:rStyle w:val="Hyperlink"/>
            <w:rFonts w:cstheme="minorBidi"/>
            <w:szCs w:val="24"/>
          </w:rPr>
          <w:t>Foro de la CMSI de 2023</w:t>
        </w:r>
      </w:hyperlink>
      <w:r w:rsidRPr="000216E7">
        <w:t>,</w:t>
      </w:r>
      <w:r w:rsidRPr="000216E7">
        <w:rPr>
          <w:rFonts w:cstheme="minorBidi"/>
          <w:szCs w:val="24"/>
        </w:rPr>
        <w:t xml:space="preserve"> en el marco del cual también se celebraron sesiones sobre la confianza en relación con las tecnologías nuevas e incipientes, como la IA y las tecnologías cuánticas, entre otras, así como en el marco de la protección de mujeres y niños en línea. </w:t>
      </w:r>
    </w:p>
    <w:p w14:paraId="067575C0" w14:textId="1CE5CFA5" w:rsidR="00CF5F05" w:rsidRPr="000216E7" w:rsidRDefault="00CF5F05" w:rsidP="00CF5F05">
      <w:pPr>
        <w:rPr>
          <w:rFonts w:cstheme="minorBidi"/>
          <w:szCs w:val="24"/>
        </w:rPr>
      </w:pPr>
      <w:r w:rsidRPr="000216E7">
        <w:rPr>
          <w:rFonts w:cstheme="minorBidi"/>
          <w:szCs w:val="24"/>
        </w:rPr>
        <w:t>5.4</w:t>
      </w:r>
      <w:r w:rsidRPr="000216E7">
        <w:rPr>
          <w:rFonts w:cstheme="minorBidi"/>
          <w:szCs w:val="24"/>
        </w:rPr>
        <w:tab/>
        <w:t xml:space="preserve">La UIT presentó </w:t>
      </w:r>
      <w:hyperlink r:id="rId48" w:history="1">
        <w:r w:rsidRPr="000216E7">
          <w:rPr>
            <w:rStyle w:val="Hyperlink"/>
            <w:rFonts w:cstheme="minorBidi"/>
            <w:szCs w:val="24"/>
          </w:rPr>
          <w:t>información sobre el Índice de Ciberseguridad Global</w:t>
        </w:r>
      </w:hyperlink>
      <w:r w:rsidRPr="000216E7">
        <w:rPr>
          <w:rFonts w:cstheme="minorBidi"/>
          <w:szCs w:val="24"/>
        </w:rPr>
        <w:t xml:space="preserve"> en la cuarta reunión sustantiva del Grupo de Trabajo </w:t>
      </w:r>
      <w:r w:rsidR="000216E7" w:rsidRPr="000216E7">
        <w:rPr>
          <w:rFonts w:cstheme="minorBidi"/>
          <w:szCs w:val="24"/>
        </w:rPr>
        <w:t>a</w:t>
      </w:r>
      <w:r w:rsidRPr="000216E7">
        <w:rPr>
          <w:rFonts w:cstheme="minorBidi"/>
          <w:szCs w:val="24"/>
        </w:rPr>
        <w:t>bierto sobre seguridad de las TIC y de su utilización (OWEG).</w:t>
      </w:r>
    </w:p>
    <w:p w14:paraId="63330A55" w14:textId="77777777" w:rsidR="00CF5F05" w:rsidRPr="000216E7" w:rsidRDefault="00CF5F05" w:rsidP="00CF5F05">
      <w:pPr>
        <w:rPr>
          <w:rFonts w:cstheme="minorBidi"/>
        </w:rPr>
      </w:pPr>
      <w:r w:rsidRPr="000216E7">
        <w:rPr>
          <w:rFonts w:asciiTheme="minorHAnsi" w:hAnsiTheme="minorHAnsi" w:cstheme="minorBidi"/>
          <w:lang w:eastAsia="zh-CN"/>
        </w:rPr>
        <w:t>5.5</w:t>
      </w:r>
      <w:r w:rsidRPr="000216E7">
        <w:rPr>
          <w:rFonts w:asciiTheme="minorHAnsi" w:hAnsiTheme="minorHAnsi" w:cstheme="minorBidi"/>
          <w:lang w:eastAsia="zh-CN"/>
        </w:rPr>
        <w:tab/>
        <w:t xml:space="preserve">La UIT sigue participando en calidad de observador en los trabajos del </w:t>
      </w:r>
      <w:hyperlink r:id="rId49" w:history="1">
        <w:r w:rsidRPr="000216E7">
          <w:rPr>
            <w:rStyle w:val="Hyperlink"/>
            <w:rFonts w:eastAsia="Calibri" w:cs="Calibri"/>
            <w:szCs w:val="24"/>
          </w:rPr>
          <w:t>Comité especial encargado de elaborar un convenio internacional integral sobre la lucha contra la utilización de las TIC con fines delictivos</w:t>
        </w:r>
      </w:hyperlink>
      <w:r w:rsidRPr="000216E7">
        <w:rPr>
          <w:rFonts w:asciiTheme="minorHAnsi" w:hAnsiTheme="minorHAnsi" w:cstheme="minorBidi"/>
          <w:lang w:eastAsia="zh-CN"/>
        </w:rPr>
        <w:t>. La ONUDC ejerce de Secretaría del Comité especial.</w:t>
      </w:r>
    </w:p>
    <w:p w14:paraId="382058F0" w14:textId="69ACE5B1" w:rsidR="00CF5F05" w:rsidRPr="000216E7" w:rsidRDefault="00CF5F05" w:rsidP="00CF5F05">
      <w:pPr>
        <w:pStyle w:val="Heading1"/>
      </w:pPr>
      <w:r w:rsidRPr="000216E7">
        <w:t>6</w:t>
      </w:r>
      <w:r w:rsidRPr="000216E7">
        <w:tab/>
        <w:t>Protección de la Infancia en Línea (PIeL)</w:t>
      </w:r>
    </w:p>
    <w:p w14:paraId="4C00C4E8" w14:textId="3483BA49" w:rsidR="00CF5F05" w:rsidRPr="000216E7" w:rsidRDefault="00CF5F05" w:rsidP="00CF5F05">
      <w:r w:rsidRPr="000216E7">
        <w:t>6.1</w:t>
      </w:r>
      <w:r w:rsidRPr="000216E7">
        <w:tab/>
        <w:t xml:space="preserve">De conformidad con el acuerdo de colaboración entre la UIT y la SCORT Foundation, la UIT coorganizó en el Foro de la CMSI de 2023 un evento sobre </w:t>
      </w:r>
      <w:r w:rsidR="007E7160" w:rsidRPr="000216E7">
        <w:t>"</w:t>
      </w:r>
      <w:hyperlink r:id="rId50" w:history="1">
        <w:r w:rsidRPr="000216E7">
          <w:rPr>
            <w:rStyle w:val="Hyperlink"/>
            <w:rFonts w:asciiTheme="minorHAnsi" w:hAnsiTheme="minorHAnsi" w:cstheme="minorHAnsi"/>
            <w:szCs w:val="24"/>
          </w:rPr>
          <w:t>Juego seguro en la era digital: seguridad infantil en línea y deportes</w:t>
        </w:r>
      </w:hyperlink>
      <w:r w:rsidR="007E7160" w:rsidRPr="000216E7">
        <w:t>"</w:t>
      </w:r>
      <w:r w:rsidRPr="000216E7">
        <w:t>, aprovechando el poder del deporte para sensibilizar acerca de la seguridad de la infancia en línea.</w:t>
      </w:r>
    </w:p>
    <w:p w14:paraId="4CC20046" w14:textId="2A7009C4" w:rsidR="00093EEB" w:rsidRPr="000216E7" w:rsidRDefault="00CF5F05" w:rsidP="00CF5F05">
      <w:r w:rsidRPr="000216E7">
        <w:t>6.2</w:t>
      </w:r>
      <w:r w:rsidRPr="000216E7">
        <w:tab/>
        <w:t xml:space="preserve">En el marco del acuerdo suscrito entre la UIT y el Reino de Arabia Saudita, se está ejecutando el proyecto </w:t>
      </w:r>
      <w:r w:rsidR="007E7160" w:rsidRPr="000216E7">
        <w:t>"</w:t>
      </w:r>
      <w:r w:rsidRPr="000216E7">
        <w:t>Creación de un ciberentorno seguro y empoderador para la infancia</w:t>
      </w:r>
      <w:r w:rsidR="007E7160" w:rsidRPr="000216E7">
        <w:t>"</w:t>
      </w:r>
      <w:r w:rsidRPr="000216E7">
        <w:t>. El proyecto implica la elaboración y puesta a disposición de una serie de formaciones en línea autogestionadas para todos los interesados pertinentes a través de la Academia de la UIT. Se prevé que a mediados de 2023 la UIT presente dos soluciones interactivas (una aplicación web y un juego en línea) diseñadas para que los niños y los jóvenes se conviertan en ciudadanos digitales responsables.</w:t>
      </w:r>
    </w:p>
    <w:p w14:paraId="3C8BFFDB" w14:textId="77777777" w:rsidR="00CF5F05" w:rsidRPr="000216E7" w:rsidRDefault="00CF5F05" w:rsidP="00411C49">
      <w:pPr>
        <w:pStyle w:val="Reasons"/>
      </w:pPr>
    </w:p>
    <w:p w14:paraId="61E35165" w14:textId="77777777" w:rsidR="00CF5F05" w:rsidRPr="000216E7" w:rsidRDefault="00CF5F05">
      <w:pPr>
        <w:jc w:val="center"/>
      </w:pPr>
      <w:r w:rsidRPr="000216E7">
        <w:t>______________</w:t>
      </w:r>
    </w:p>
    <w:sectPr w:rsidR="00CF5F05" w:rsidRPr="000216E7" w:rsidSect="00C538FC">
      <w:footerReference w:type="default" r:id="rId51"/>
      <w:headerReference w:type="first" r:id="rId52"/>
      <w:footerReference w:type="first" r:id="rId5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E67B" w14:textId="77777777" w:rsidR="00881B13" w:rsidRDefault="00881B13">
      <w:r>
        <w:separator/>
      </w:r>
    </w:p>
  </w:endnote>
  <w:endnote w:type="continuationSeparator" w:id="0">
    <w:p w14:paraId="42073DB3" w14:textId="77777777" w:rsidR="00881B13" w:rsidRDefault="0088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9FDBD65" w14:textId="77777777" w:rsidTr="00E31DCE">
      <w:trPr>
        <w:jc w:val="center"/>
      </w:trPr>
      <w:tc>
        <w:tcPr>
          <w:tcW w:w="1803" w:type="dxa"/>
          <w:vAlign w:val="center"/>
        </w:tcPr>
        <w:p w14:paraId="0F16B47A" w14:textId="7A40AED8" w:rsidR="003273A4" w:rsidRDefault="003273A4" w:rsidP="003273A4">
          <w:pPr>
            <w:pStyle w:val="Header"/>
            <w:jc w:val="left"/>
            <w:rPr>
              <w:noProof/>
            </w:rPr>
          </w:pPr>
          <w:r>
            <w:rPr>
              <w:noProof/>
            </w:rPr>
            <w:t xml:space="preserve">DPS </w:t>
          </w:r>
          <w:r w:rsidR="007E7160">
            <w:rPr>
              <w:noProof/>
            </w:rPr>
            <w:t>521072</w:t>
          </w:r>
        </w:p>
      </w:tc>
      <w:tc>
        <w:tcPr>
          <w:tcW w:w="8261" w:type="dxa"/>
        </w:tcPr>
        <w:p w14:paraId="751677C5" w14:textId="6E50DABB" w:rsidR="003273A4" w:rsidRPr="00E06FD5" w:rsidRDefault="003273A4"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7E7160">
            <w:rPr>
              <w:bCs/>
            </w:rPr>
            <w:t>38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657BD36"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2591145" w14:textId="77777777" w:rsidTr="00E31DCE">
      <w:trPr>
        <w:jc w:val="center"/>
      </w:trPr>
      <w:tc>
        <w:tcPr>
          <w:tcW w:w="1803" w:type="dxa"/>
          <w:vAlign w:val="center"/>
        </w:tcPr>
        <w:p w14:paraId="07B8341D" w14:textId="77777777" w:rsidR="00F24B71" w:rsidRDefault="003F77D0" w:rsidP="00F24B71">
          <w:pPr>
            <w:pStyle w:val="Header"/>
            <w:jc w:val="left"/>
            <w:rPr>
              <w:noProof/>
            </w:rPr>
          </w:pPr>
          <w:hyperlink r:id="rId1" w:history="1">
            <w:r w:rsidR="00F24B71" w:rsidRPr="00A514A4">
              <w:rPr>
                <w:rStyle w:val="Hyperlink"/>
                <w:szCs w:val="14"/>
              </w:rPr>
              <w:t>www.itu.int/council</w:t>
            </w:r>
          </w:hyperlink>
        </w:p>
      </w:tc>
      <w:tc>
        <w:tcPr>
          <w:tcW w:w="8261" w:type="dxa"/>
        </w:tcPr>
        <w:p w14:paraId="40B3F209" w14:textId="1C5C3046" w:rsidR="00F24B71" w:rsidRPr="00E06FD5" w:rsidRDefault="00F24B71" w:rsidP="00F24B71">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7E7160">
            <w:rPr>
              <w:bCs/>
            </w:rPr>
            <w:t>38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DF86147"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C30A" w14:textId="77777777" w:rsidR="00881B13" w:rsidRDefault="00881B13">
      <w:r>
        <w:t>____________________</w:t>
      </w:r>
    </w:p>
  </w:footnote>
  <w:footnote w:type="continuationSeparator" w:id="0">
    <w:p w14:paraId="19C79654" w14:textId="77777777" w:rsidR="00881B13" w:rsidRDefault="00881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268C263E" w14:textId="77777777" w:rsidTr="00E31DCE">
      <w:trPr>
        <w:trHeight w:val="1104"/>
        <w:jc w:val="center"/>
      </w:trPr>
      <w:tc>
        <w:tcPr>
          <w:tcW w:w="4390" w:type="dxa"/>
          <w:vAlign w:val="center"/>
        </w:tcPr>
        <w:p w14:paraId="5D4081F9" w14:textId="77777777" w:rsidR="001559F5" w:rsidRPr="009621F8" w:rsidRDefault="001559F5" w:rsidP="001559F5">
          <w:pPr>
            <w:pStyle w:val="Header"/>
            <w:jc w:val="left"/>
            <w:rPr>
              <w:rFonts w:ascii="Arial" w:hAnsi="Arial" w:cs="Arial"/>
              <w:b/>
              <w:bCs/>
              <w:color w:val="009CD6"/>
              <w:sz w:val="36"/>
              <w:szCs w:val="36"/>
            </w:rPr>
          </w:pPr>
          <w:bookmarkStart w:id="2" w:name="_Hlk133422111"/>
          <w:r>
            <w:rPr>
              <w:noProof/>
            </w:rPr>
            <w:drawing>
              <wp:inline distT="0" distB="0" distL="0" distR="0" wp14:anchorId="70066A67" wp14:editId="412CEC73">
                <wp:extent cx="1887322" cy="5303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136" cy="548581"/>
                        </a:xfrm>
                        <a:prstGeom prst="rect">
                          <a:avLst/>
                        </a:prstGeom>
                        <a:noFill/>
                        <a:ln>
                          <a:noFill/>
                        </a:ln>
                      </pic:spPr>
                    </pic:pic>
                  </a:graphicData>
                </a:graphic>
              </wp:inline>
            </w:drawing>
          </w:r>
        </w:p>
      </w:tc>
      <w:tc>
        <w:tcPr>
          <w:tcW w:w="5630" w:type="dxa"/>
        </w:tcPr>
        <w:p w14:paraId="0EC72139" w14:textId="77777777" w:rsidR="001559F5" w:rsidRDefault="001559F5" w:rsidP="001559F5">
          <w:pPr>
            <w:pStyle w:val="Header"/>
            <w:jc w:val="right"/>
            <w:rPr>
              <w:rFonts w:ascii="Arial" w:hAnsi="Arial" w:cs="Arial"/>
              <w:b/>
              <w:bCs/>
              <w:color w:val="009CD6"/>
              <w:szCs w:val="18"/>
            </w:rPr>
          </w:pPr>
        </w:p>
        <w:p w14:paraId="0852538A" w14:textId="77777777" w:rsidR="001559F5" w:rsidRDefault="001559F5" w:rsidP="001559F5">
          <w:pPr>
            <w:pStyle w:val="Header"/>
            <w:jc w:val="right"/>
            <w:rPr>
              <w:rFonts w:ascii="Arial" w:hAnsi="Arial" w:cs="Arial"/>
              <w:b/>
              <w:bCs/>
              <w:color w:val="009CD6"/>
              <w:szCs w:val="18"/>
            </w:rPr>
          </w:pPr>
        </w:p>
        <w:p w14:paraId="595B81B7"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
  <w:p w14:paraId="69A3ED6A"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377DB81" wp14:editId="582CDB00">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36C2D"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561"/>
    <w:multiLevelType w:val="hybridMultilevel"/>
    <w:tmpl w:val="5F50E0DC"/>
    <w:lvl w:ilvl="0" w:tplc="FFFFFFFF">
      <w:start w:val="1"/>
      <w:numFmt w:val="decimal"/>
      <w:pStyle w:val="normalWSIS"/>
      <w:lvlText w:val="%1."/>
      <w:lvlJc w:val="left"/>
      <w:pPr>
        <w:ind w:left="928" w:hanging="360"/>
      </w:pPr>
      <w:rPr>
        <w:b w:val="0"/>
        <w:bCs w:val="0"/>
        <w:i w:val="0"/>
        <w:iCs w:val="0"/>
        <w:color w:val="auto"/>
        <w:sz w:val="20"/>
        <w:szCs w:val="20"/>
        <w:lang w:val="en-US"/>
      </w:rPr>
    </w:lvl>
    <w:lvl w:ilvl="1" w:tplc="04090019">
      <w:start w:val="1"/>
      <w:numFmt w:val="lowerLetter"/>
      <w:lvlText w:val="%2."/>
      <w:lvlJc w:val="left"/>
      <w:pPr>
        <w:ind w:left="447" w:hanging="360"/>
      </w:pPr>
    </w:lvl>
    <w:lvl w:ilvl="2" w:tplc="0409001B">
      <w:start w:val="1"/>
      <w:numFmt w:val="lowerRoman"/>
      <w:lvlText w:val="%3."/>
      <w:lvlJc w:val="right"/>
      <w:pPr>
        <w:ind w:left="1167" w:hanging="180"/>
      </w:pPr>
    </w:lvl>
    <w:lvl w:ilvl="3" w:tplc="0409000F">
      <w:start w:val="1"/>
      <w:numFmt w:val="decimal"/>
      <w:lvlText w:val="%4."/>
      <w:lvlJc w:val="left"/>
      <w:pPr>
        <w:ind w:left="1887" w:hanging="360"/>
      </w:pPr>
    </w:lvl>
    <w:lvl w:ilvl="4" w:tplc="04090019">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num w:numId="1" w16cid:durableId="8311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13"/>
    <w:rsid w:val="000007D1"/>
    <w:rsid w:val="000216E7"/>
    <w:rsid w:val="00093EEB"/>
    <w:rsid w:val="000B0D00"/>
    <w:rsid w:val="000B7C15"/>
    <w:rsid w:val="000D1D0F"/>
    <w:rsid w:val="000F5290"/>
    <w:rsid w:val="0010165C"/>
    <w:rsid w:val="00146BFB"/>
    <w:rsid w:val="001559F5"/>
    <w:rsid w:val="001F14A2"/>
    <w:rsid w:val="002801AA"/>
    <w:rsid w:val="002C4676"/>
    <w:rsid w:val="002C70B0"/>
    <w:rsid w:val="002F3CC4"/>
    <w:rsid w:val="003273A4"/>
    <w:rsid w:val="003F77D0"/>
    <w:rsid w:val="00473962"/>
    <w:rsid w:val="004B5D49"/>
    <w:rsid w:val="00513630"/>
    <w:rsid w:val="00560125"/>
    <w:rsid w:val="00585553"/>
    <w:rsid w:val="005B34D9"/>
    <w:rsid w:val="005D0CCF"/>
    <w:rsid w:val="005F3BCB"/>
    <w:rsid w:val="005F410F"/>
    <w:rsid w:val="0060149A"/>
    <w:rsid w:val="00601924"/>
    <w:rsid w:val="006447EA"/>
    <w:rsid w:val="0064731F"/>
    <w:rsid w:val="00664572"/>
    <w:rsid w:val="006710F6"/>
    <w:rsid w:val="00677A97"/>
    <w:rsid w:val="006C1B56"/>
    <w:rsid w:val="006D4761"/>
    <w:rsid w:val="00726872"/>
    <w:rsid w:val="00760F1C"/>
    <w:rsid w:val="007657F0"/>
    <w:rsid w:val="0077252D"/>
    <w:rsid w:val="007955DA"/>
    <w:rsid w:val="007E5DD3"/>
    <w:rsid w:val="007E7160"/>
    <w:rsid w:val="007F350B"/>
    <w:rsid w:val="00820BE4"/>
    <w:rsid w:val="008451E8"/>
    <w:rsid w:val="00881B13"/>
    <w:rsid w:val="00913B9C"/>
    <w:rsid w:val="00927F93"/>
    <w:rsid w:val="00956E77"/>
    <w:rsid w:val="009F4811"/>
    <w:rsid w:val="00AA390C"/>
    <w:rsid w:val="00B0200A"/>
    <w:rsid w:val="00B574DB"/>
    <w:rsid w:val="00B826C2"/>
    <w:rsid w:val="00B8298E"/>
    <w:rsid w:val="00BD0723"/>
    <w:rsid w:val="00BD2518"/>
    <w:rsid w:val="00BF1D1C"/>
    <w:rsid w:val="00C20C59"/>
    <w:rsid w:val="00C2727F"/>
    <w:rsid w:val="00C538FC"/>
    <w:rsid w:val="00C55B1F"/>
    <w:rsid w:val="00CF1A67"/>
    <w:rsid w:val="00CF5F05"/>
    <w:rsid w:val="00D2750E"/>
    <w:rsid w:val="00D50A36"/>
    <w:rsid w:val="00D62446"/>
    <w:rsid w:val="00DA4EA2"/>
    <w:rsid w:val="00DC3D3E"/>
    <w:rsid w:val="00DE2C90"/>
    <w:rsid w:val="00DE3B24"/>
    <w:rsid w:val="00E06947"/>
    <w:rsid w:val="00E34072"/>
    <w:rsid w:val="00E3592D"/>
    <w:rsid w:val="00E50D76"/>
    <w:rsid w:val="00E92DE8"/>
    <w:rsid w:val="00EB1212"/>
    <w:rsid w:val="00ED65AB"/>
    <w:rsid w:val="00F12850"/>
    <w:rsid w:val="00F24B71"/>
    <w:rsid w:val="00F33BF4"/>
    <w:rsid w:val="00F7105E"/>
    <w:rsid w:val="00F75F57"/>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0DE32"/>
  <w15:docId w15:val="{BF83CF76-C5C0-40F3-B115-C6F2718D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link w:val="enumlev1Char"/>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aliases w:val="超级链接,Style 58,超?级链,超????,하이퍼링크2,하이퍼링크21,超链接1,CEO_Hyperlink,超??级链Ú,fL????,fL?级,超??级链"/>
    <w:basedOn w:val="DefaultParagraphFont"/>
    <w:uiPriority w:val="99"/>
    <w:qForma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SIS">
    <w:name w:val="normal WSIS"/>
    <w:basedOn w:val="ListParagraph"/>
    <w:link w:val="normalWSISChar"/>
    <w:qFormat/>
    <w:rsid w:val="00CF5F05"/>
    <w:pPr>
      <w:numPr>
        <w:numId w:val="1"/>
      </w:numPr>
      <w:tabs>
        <w:tab w:val="clear" w:pos="567"/>
        <w:tab w:val="clear" w:pos="1134"/>
        <w:tab w:val="clear" w:pos="1701"/>
        <w:tab w:val="clear" w:pos="2268"/>
        <w:tab w:val="clear" w:pos="2835"/>
        <w:tab w:val="left" w:pos="426"/>
      </w:tabs>
      <w:overflowPunct/>
      <w:autoSpaceDE/>
      <w:autoSpaceDN/>
      <w:adjustRightInd/>
      <w:spacing w:before="0" w:after="200" w:line="276" w:lineRule="auto"/>
      <w:contextualSpacing w:val="0"/>
      <w:jc w:val="both"/>
      <w:textAlignment w:val="auto"/>
    </w:pPr>
    <w:rPr>
      <w:rFonts w:asciiTheme="minorHAnsi" w:eastAsia="SimSun" w:hAnsiTheme="minorHAnsi" w:cs="Arial"/>
      <w:sz w:val="22"/>
      <w:szCs w:val="22"/>
      <w:lang w:val="fr-CH" w:eastAsia="zh-CN"/>
    </w:rPr>
  </w:style>
  <w:style w:type="character" w:customStyle="1" w:styleId="normalWSISChar">
    <w:name w:val="normal WSIS Char"/>
    <w:basedOn w:val="DefaultParagraphFont"/>
    <w:link w:val="normalWSIS"/>
    <w:rsid w:val="00CF5F05"/>
    <w:rPr>
      <w:rFonts w:asciiTheme="minorHAnsi" w:eastAsia="SimSun" w:hAnsiTheme="minorHAnsi" w:cs="Arial"/>
      <w:sz w:val="22"/>
      <w:szCs w:val="22"/>
      <w:lang w:val="fr-CH"/>
    </w:rPr>
  </w:style>
  <w:style w:type="paragraph" w:customStyle="1" w:styleId="paragraph">
    <w:name w:val="paragraph"/>
    <w:basedOn w:val="Normal"/>
    <w:rsid w:val="00CF5F0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customStyle="1" w:styleId="eop">
    <w:name w:val="eop"/>
    <w:basedOn w:val="DefaultParagraphFont"/>
    <w:rsid w:val="00CF5F05"/>
  </w:style>
  <w:style w:type="character" w:customStyle="1" w:styleId="normaltextrun">
    <w:name w:val="normaltextrun"/>
    <w:basedOn w:val="DefaultParagraphFont"/>
    <w:rsid w:val="00CF5F05"/>
  </w:style>
  <w:style w:type="character" w:customStyle="1" w:styleId="enumlev1Char">
    <w:name w:val="enumlev1 Char"/>
    <w:basedOn w:val="DefaultParagraphFont"/>
    <w:link w:val="enumlev1"/>
    <w:rsid w:val="00CF5F05"/>
    <w:rPr>
      <w:rFonts w:ascii="Calibri" w:hAnsi="Calibri"/>
      <w:sz w:val="24"/>
      <w:lang w:val="es-ES_tradnl" w:eastAsia="en-US"/>
    </w:rPr>
  </w:style>
  <w:style w:type="paragraph" w:styleId="ListParagraph">
    <w:name w:val="List Paragraph"/>
    <w:basedOn w:val="Normal"/>
    <w:uiPriority w:val="34"/>
    <w:qFormat/>
    <w:rsid w:val="00CF5F05"/>
    <w:pPr>
      <w:ind w:left="720"/>
      <w:contextualSpacing/>
    </w:pPr>
  </w:style>
  <w:style w:type="character" w:styleId="UnresolvedMention">
    <w:name w:val="Unresolved Mention"/>
    <w:basedOn w:val="DefaultParagraphFont"/>
    <w:uiPriority w:val="99"/>
    <w:semiHidden/>
    <w:unhideWhenUsed/>
    <w:rsid w:val="00CF5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S-CONF-WCIT-2012/es" TargetMode="External"/><Relationship Id="rId18" Type="http://schemas.openxmlformats.org/officeDocument/2006/relationships/hyperlink" Target="https://www.itu.int/pub/T-RES-T.52-2022/es" TargetMode="External"/><Relationship Id="rId26" Type="http://schemas.openxmlformats.org/officeDocument/2006/relationships/hyperlink" Target="https://www.itu.int/md/S20-CL-C-0018/es" TargetMode="External"/><Relationship Id="rId39" Type="http://schemas.openxmlformats.org/officeDocument/2006/relationships/hyperlink" Target="https://ncsguide.org/" TargetMode="External"/><Relationship Id="rId21" Type="http://schemas.openxmlformats.org/officeDocument/2006/relationships/hyperlink" Target="http://www.itu.int/md/S15-CL-C-0018/es" TargetMode="External"/><Relationship Id="rId34" Type="http://schemas.openxmlformats.org/officeDocument/2006/relationships/hyperlink" Target="https://www.itu.int/pub/R-REC/es" TargetMode="External"/><Relationship Id="rId42" Type="http://schemas.openxmlformats.org/officeDocument/2006/relationships/hyperlink" Target="https://www.itu.int/en/ITU-D/Cybersecurity/Pages/global-cybersecurity-index.aspx" TargetMode="External"/><Relationship Id="rId47" Type="http://schemas.openxmlformats.org/officeDocument/2006/relationships/hyperlink" Target="https://www.itu.int/net4/wsis/forum/2023/en" TargetMode="External"/><Relationship Id="rId50" Type="http://schemas.openxmlformats.org/officeDocument/2006/relationships/hyperlink" Target="https://www.itu.int/net4/wsis/forum/2023/en/Agenda/Session/463" TargetMode="External"/><Relationship Id="rId55" Type="http://schemas.openxmlformats.org/officeDocument/2006/relationships/theme" Target="theme/theme1.xml"/><Relationship Id="rId7" Type="http://schemas.openxmlformats.org/officeDocument/2006/relationships/hyperlink" Target="https://www.itu.int/en/council/Documents/basic-texts-2023/RES-071-S.pdf" TargetMode="External"/><Relationship Id="rId2" Type="http://schemas.openxmlformats.org/officeDocument/2006/relationships/styles" Target="styles.xml"/><Relationship Id="rId16" Type="http://schemas.openxmlformats.org/officeDocument/2006/relationships/hyperlink" Target="https://www.itu.int/md/D14-WTDC17-C-0115/es" TargetMode="External"/><Relationship Id="rId29" Type="http://schemas.openxmlformats.org/officeDocument/2006/relationships/hyperlink" Target="http://www.itu.int/en/ITU-D/Cybersecurity/Pages/Legal-Measures.aspx" TargetMode="External"/><Relationship Id="rId11" Type="http://schemas.openxmlformats.org/officeDocument/2006/relationships/hyperlink" Target="https://www.itu.int/en/council/Documents/basic-texts-2023/RES-174-S.pdf" TargetMode="External"/><Relationship Id="rId24" Type="http://schemas.openxmlformats.org/officeDocument/2006/relationships/hyperlink" Target="https://www.itu.int/md/S18-CL-C-0018/es" TargetMode="External"/><Relationship Id="rId32" Type="http://schemas.openxmlformats.org/officeDocument/2006/relationships/hyperlink" Target="https://www.itu.int/es/ITU-T/publications/Pages/recs.aspx" TargetMode="External"/><Relationship Id="rId37" Type="http://schemas.openxmlformats.org/officeDocument/2006/relationships/hyperlink" Target="https://www.itu.int/en/ITU-D/Cybersecurity/Pages/CyberDrill-2023/CyberDrill-2023.aspx" TargetMode="External"/><Relationship Id="rId40" Type="http://schemas.openxmlformats.org/officeDocument/2006/relationships/hyperlink" Target="https://academy.itu.int/training-courses/full-catalogue?search_api_fulltext=&amp;field_taxon_registration=All&amp;field_course_fee=All&amp;field_taxon_region=All&amp;field_taxon_type=All&amp;field_taxon_topics=109&amp;field_taxon_languages=All&amp;date_start=&amp;date_end=&amp;items_per_page=10" TargetMode="External"/><Relationship Id="rId45" Type="http://schemas.openxmlformats.org/officeDocument/2006/relationships/hyperlink" Target="https://www.itu.int/en/ITU-D/Cybersecurity/Pages/Cyber4Good/Cyber4Good.aspx"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itu.int/en/council/Documents/basic-texts-2023/RES-179-S.pdf" TargetMode="External"/><Relationship Id="rId19" Type="http://schemas.openxmlformats.org/officeDocument/2006/relationships/hyperlink" Target="https://www.itu.int/pub/T-RES-T.75-2022/es" TargetMode="External"/><Relationship Id="rId31" Type="http://schemas.openxmlformats.org/officeDocument/2006/relationships/hyperlink" Target="https://www.itu.int/itu-t/workprog/wp_search.aspx?sg=17" TargetMode="External"/><Relationship Id="rId44" Type="http://schemas.openxmlformats.org/officeDocument/2006/relationships/hyperlink" Target="https://www.itu.int/en/ITU-D/Cybersecurity/Pages/Women-in-Cyber/HerCyberTracks/Her-CyberTracks.aspx"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en/council/Documents/basic-texts-2023/RES-140-S.pdf" TargetMode="External"/><Relationship Id="rId14" Type="http://schemas.openxmlformats.org/officeDocument/2006/relationships/hyperlink" Target="https://www.itu.int/md/S15-CL-C-0109/es" TargetMode="External"/><Relationship Id="rId22" Type="http://schemas.openxmlformats.org/officeDocument/2006/relationships/hyperlink" Target="https://www.itu.int/md/S16-CL-C-0018/es" TargetMode="External"/><Relationship Id="rId27" Type="http://schemas.openxmlformats.org/officeDocument/2006/relationships/hyperlink" Target="https://www.itu.int/md/S21-CL-C-0018/es" TargetMode="External"/><Relationship Id="rId30" Type="http://schemas.openxmlformats.org/officeDocument/2006/relationships/hyperlink" Target="https://www.itu.int/es/ITU-T/studygroups/2022-2024/17/Pages/default.aspx" TargetMode="External"/><Relationship Id="rId35" Type="http://schemas.openxmlformats.org/officeDocument/2006/relationships/hyperlink" Target="https://www.itu.int/en/ITU-R/study-groups/rsg5/rwp5d/imt-2020/Pages/default.aspx" TargetMode="External"/><Relationship Id="rId43" Type="http://schemas.openxmlformats.org/officeDocument/2006/relationships/hyperlink" Target="https://www.itu.int/en/ITU-D/Cybersecurity/Pages/Women-in-Cyber/Women-in-Cyber-Mentorship-Programme.aspx" TargetMode="External"/><Relationship Id="rId48" Type="http://schemas.openxmlformats.org/officeDocument/2006/relationships/hyperlink" Target="https://docs-library.unoda.org/Open-Ended_Working_Group_on_Information_and_Communication_Technologies_-_(2021)/Overview_of_Global_Cybersecurity_Efforts_Current_Gaps.pdf" TargetMode="External"/><Relationship Id="rId8" Type="http://schemas.openxmlformats.org/officeDocument/2006/relationships/hyperlink" Target="https://www.itu.int/en/council/Documents/basic-texts-2023/RES-130-S.pdf"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itu.int/en/council/Documents/basic-texts-2023/RES-181-S.pdf" TargetMode="External"/><Relationship Id="rId17" Type="http://schemas.openxmlformats.org/officeDocument/2006/relationships/hyperlink" Target="https://www.itu.int/pub/T-RES-T.50-2022/es" TargetMode="External"/><Relationship Id="rId25" Type="http://schemas.openxmlformats.org/officeDocument/2006/relationships/hyperlink" Target="https://www.itu.int/md/S19-CL-C-0018/es" TargetMode="External"/><Relationship Id="rId33" Type="http://schemas.openxmlformats.org/officeDocument/2006/relationships/hyperlink" Target="https://www.itu.int/en/ITU-T/focusgroups/Pages/default.aspx" TargetMode="External"/><Relationship Id="rId38" Type="http://schemas.openxmlformats.org/officeDocument/2006/relationships/hyperlink" Target="https://www.itu.int/net4/ITU-D/CDS/sg/rgqlist.asp?lg=3&amp;sp=2014&amp;rgq=D14-SG02-RGQ03.2&amp;stg=2" TargetMode="External"/><Relationship Id="rId46" Type="http://schemas.openxmlformats.org/officeDocument/2006/relationships/hyperlink" Target="http://www.itu.int/en/ITU-D/Cybersecurity/Pages/partnership.aspx" TargetMode="External"/><Relationship Id="rId20" Type="http://schemas.openxmlformats.org/officeDocument/2006/relationships/hyperlink" Target="https://www.itu.int/pub/T-RES-T.58-2022/es" TargetMode="External"/><Relationship Id="rId41" Type="http://schemas.openxmlformats.org/officeDocument/2006/relationships/hyperlink" Target="https://www.itu.int/en/ITU-D/Cybersecurity/Pages/cybersecurity-national-strategies.aspx"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dms_pub/itu-d/opb/tdc/D-TDC-WTDC-2022-PDF-S.pdf" TargetMode="External"/><Relationship Id="rId23" Type="http://schemas.openxmlformats.org/officeDocument/2006/relationships/hyperlink" Target="https://www.itu.int/md/S17-CL-C-0018/es" TargetMode="External"/><Relationship Id="rId28" Type="http://schemas.openxmlformats.org/officeDocument/2006/relationships/hyperlink" Target="https://www.itu.int/md/S22-CL-C-0018/es" TargetMode="External"/><Relationship Id="rId36" Type="http://schemas.openxmlformats.org/officeDocument/2006/relationships/hyperlink" Target="https://www.itu.int/en/ITU-D/Cybersecurity/Pages/cyberdrills.aspx" TargetMode="External"/><Relationship Id="rId49" Type="http://schemas.openxmlformats.org/officeDocument/2006/relationships/hyperlink" Target="https://www.unodc.org/unodc/en/cybercrime/ad_hoc_committee/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GS\PS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PS_Council23.dotx</Template>
  <TotalTime>1</TotalTime>
  <Pages>4</Pages>
  <Words>1645</Words>
  <Characters>12155</Characters>
  <Application>Microsoft Office Word</Application>
  <DocSecurity>4</DocSecurity>
  <Lines>101</Lines>
  <Paragraphs>27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13773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de la UIT sobre el fortalecimiento de su papel en la creación de confianza y seguridad en la utilización de las tecnologías de la información y la comunicación</dc:title>
  <dc:subject>Council 2023</dc:subject>
  <dc:creator>Spanish</dc:creator>
  <cp:keywords>C2023, C23, Council-23</cp:keywords>
  <dc:description/>
  <cp:lastModifiedBy>Xue, Kun</cp:lastModifiedBy>
  <cp:revision>2</cp:revision>
  <cp:lastPrinted>2023-06-20T13:08:00Z</cp:lastPrinted>
  <dcterms:created xsi:type="dcterms:W3CDTF">2023-06-22T08:32:00Z</dcterms:created>
  <dcterms:modified xsi:type="dcterms:W3CDTF">2023-06-22T08:32:00Z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