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813E5E" w14:paraId="3E728879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76E78E3" w14:textId="3CE92B21" w:rsidR="00FE57F6" w:rsidRPr="00E85629" w:rsidRDefault="00512B3B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  <w:r w:rsidRPr="00EE67AB">
              <w:rPr>
                <w:b/>
              </w:rPr>
              <w:t>Punto del orden del día: PL 1</w:t>
            </w:r>
          </w:p>
        </w:tc>
        <w:tc>
          <w:tcPr>
            <w:tcW w:w="5245" w:type="dxa"/>
          </w:tcPr>
          <w:p w14:paraId="142083F2" w14:textId="6EFC6089" w:rsidR="00FE57F6" w:rsidRPr="00E85629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Document</w:t>
            </w:r>
            <w:r w:rsidR="00F24B71">
              <w:rPr>
                <w:b/>
              </w:rPr>
              <w:t>o</w:t>
            </w:r>
            <w:r>
              <w:rPr>
                <w:b/>
              </w:rPr>
              <w:t xml:space="preserve"> C23/</w:t>
            </w:r>
            <w:r w:rsidR="00512B3B">
              <w:rPr>
                <w:b/>
              </w:rPr>
              <w:t>36</w:t>
            </w:r>
            <w:r>
              <w:rPr>
                <w:b/>
              </w:rPr>
              <w:t>-</w:t>
            </w:r>
            <w:r w:rsidR="00F24B71">
              <w:rPr>
                <w:b/>
              </w:rPr>
              <w:t>S</w:t>
            </w:r>
          </w:p>
        </w:tc>
      </w:tr>
      <w:tr w:rsidR="00FE57F6" w:rsidRPr="00813E5E" w14:paraId="1587638A" w14:textId="77777777" w:rsidTr="00C538FC">
        <w:trPr>
          <w:cantSplit/>
        </w:trPr>
        <w:tc>
          <w:tcPr>
            <w:tcW w:w="3969" w:type="dxa"/>
            <w:vMerge/>
          </w:tcPr>
          <w:p w14:paraId="4AEA4E37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9C78008" w14:textId="415A7F8F" w:rsidR="00FE57F6" w:rsidRPr="00E85629" w:rsidRDefault="00512B3B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EE67AB">
              <w:rPr>
                <w:b/>
              </w:rPr>
              <w:t>12 de junio de 2023</w:t>
            </w:r>
          </w:p>
        </w:tc>
      </w:tr>
      <w:tr w:rsidR="00FE57F6" w:rsidRPr="00F24B71" w14:paraId="0740E3D0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06025431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26491FA" w14:textId="77777777" w:rsidR="00FE57F6" w:rsidRPr="00F24B71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F24B71">
              <w:rPr>
                <w:rFonts w:cstheme="minorHAnsi"/>
                <w:b/>
                <w:bCs/>
                <w:lang w:val="fr-CH"/>
              </w:rPr>
              <w:t xml:space="preserve">Original: </w:t>
            </w:r>
            <w:proofErr w:type="spellStart"/>
            <w:r w:rsidRPr="00F24B71">
              <w:rPr>
                <w:rFonts w:cstheme="minorHAnsi"/>
                <w:b/>
                <w:bCs/>
                <w:lang w:val="fr-CH"/>
              </w:rPr>
              <w:t>inglés</w:t>
            </w:r>
            <w:proofErr w:type="spellEnd"/>
          </w:p>
        </w:tc>
      </w:tr>
      <w:tr w:rsidR="00FE57F6" w:rsidRPr="00813E5E" w14:paraId="4D1121F2" w14:textId="77777777" w:rsidTr="00C538FC">
        <w:trPr>
          <w:cantSplit/>
          <w:trHeight w:val="23"/>
        </w:trPr>
        <w:tc>
          <w:tcPr>
            <w:tcW w:w="3969" w:type="dxa"/>
          </w:tcPr>
          <w:p w14:paraId="5F705AAF" w14:textId="77777777" w:rsidR="00FE57F6" w:rsidRPr="00813E5E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7453C749" w14:textId="77777777" w:rsidR="00FE57F6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FE57F6" w14:paraId="0EDF9B9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25502672" w14:textId="77777777" w:rsidR="00FE57F6" w:rsidRPr="004B5D49" w:rsidRDefault="00F24B71" w:rsidP="00C538FC">
            <w:pPr>
              <w:pStyle w:val="Source"/>
              <w:jc w:val="left"/>
              <w:rPr>
                <w:sz w:val="34"/>
                <w:szCs w:val="34"/>
                <w:lang w:val="es-ES"/>
              </w:rPr>
            </w:pPr>
            <w:r w:rsidRPr="00C538FC">
              <w:rPr>
                <w:rFonts w:cstheme="minorHAnsi"/>
                <w:sz w:val="34"/>
                <w:szCs w:val="34"/>
              </w:rPr>
              <w:t>Informe de</w:t>
            </w:r>
            <w:r w:rsidR="004B5D49">
              <w:rPr>
                <w:rFonts w:cstheme="minorHAnsi"/>
                <w:sz w:val="34"/>
                <w:szCs w:val="34"/>
              </w:rPr>
              <w:t xml:space="preserve"> </w:t>
            </w:r>
            <w:r w:rsidRPr="00C538FC">
              <w:rPr>
                <w:rFonts w:cstheme="minorHAnsi"/>
                <w:sz w:val="34"/>
                <w:szCs w:val="34"/>
              </w:rPr>
              <w:t>l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Secretari</w:t>
            </w:r>
            <w:r w:rsidR="004B5D49">
              <w:rPr>
                <w:rFonts w:cstheme="minorHAnsi"/>
                <w:sz w:val="34"/>
                <w:szCs w:val="34"/>
              </w:rPr>
              <w:t>a</w:t>
            </w:r>
            <w:r w:rsidRPr="00C538FC">
              <w:rPr>
                <w:rFonts w:cstheme="minorHAnsi"/>
                <w:sz w:val="34"/>
                <w:szCs w:val="34"/>
              </w:rPr>
              <w:t xml:space="preserve"> General</w:t>
            </w:r>
          </w:p>
        </w:tc>
      </w:tr>
      <w:tr w:rsidR="00FE57F6" w:rsidRPr="00813E5E" w14:paraId="41386900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361925B" w14:textId="13885C0F" w:rsidR="00FE57F6" w:rsidRPr="00512B3B" w:rsidRDefault="00512B3B" w:rsidP="00C538FC">
            <w:pPr>
              <w:pStyle w:val="Subtitle"/>
              <w:framePr w:hSpace="0" w:wrap="auto" w:hAnchor="text" w:xAlign="left" w:yAlign="inline"/>
              <w:rPr>
                <w:lang w:val="es-ES"/>
              </w:rPr>
            </w:pPr>
            <w:r w:rsidRPr="00EE67AB">
              <w:rPr>
                <w:lang w:val="es-ES_tradnl"/>
              </w:rPr>
              <w:t>ACELERAR LA APLICACIÓN DEL PLAN ESTRATÉGICO DE LA UIT</w:t>
            </w:r>
            <w:r>
              <w:rPr>
                <w:lang w:val="es-ES_tradnl"/>
              </w:rPr>
              <w:t xml:space="preserve"> PARA </w:t>
            </w:r>
            <w:r w:rsidRPr="00EE67AB">
              <w:rPr>
                <w:lang w:val="es-ES_tradnl"/>
              </w:rPr>
              <w:t>2024-2027</w:t>
            </w:r>
          </w:p>
        </w:tc>
      </w:tr>
      <w:tr w:rsidR="00FE57F6" w:rsidRPr="00813E5E" w14:paraId="79C2B556" w14:textId="77777777" w:rsidTr="00C538F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C210AD4" w14:textId="77CC11E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Finalidad</w:t>
            </w:r>
          </w:p>
          <w:p w14:paraId="0AA93B17" w14:textId="3FFA43F0" w:rsidR="00FE57F6" w:rsidRPr="00F24B71" w:rsidRDefault="00512B3B" w:rsidP="00C538FC">
            <w:pPr>
              <w:rPr>
                <w:lang w:val="es-ES"/>
              </w:rPr>
            </w:pPr>
            <w:r>
              <w:t>E</w:t>
            </w:r>
            <w:r w:rsidRPr="00BF0371">
              <w:t>n el presente documento se expone el plan de la Secretaría para pasar de la visión a la acción y acelerar la aplicación</w:t>
            </w:r>
            <w:r w:rsidRPr="00EE67AB">
              <w:t xml:space="preserve"> del Plan Estratégico de la UIT para 2024-2027.</w:t>
            </w:r>
          </w:p>
          <w:p w14:paraId="194C8D31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Acción solicitada </w:t>
            </w:r>
            <w:r w:rsidR="00677A97">
              <w:rPr>
                <w:b/>
                <w:bCs/>
                <w:sz w:val="26"/>
                <w:szCs w:val="26"/>
                <w:lang w:val="es-ES"/>
              </w:rPr>
              <w:t>al</w:t>
            </w:r>
            <w:r w:rsidRPr="00F24B71">
              <w:rPr>
                <w:b/>
                <w:bCs/>
                <w:sz w:val="26"/>
                <w:szCs w:val="26"/>
                <w:lang w:val="es-ES"/>
              </w:rPr>
              <w:t xml:space="preserve"> Consejo</w:t>
            </w:r>
          </w:p>
          <w:p w14:paraId="28D14E3E" w14:textId="70E5CD8D" w:rsidR="00FE57F6" w:rsidRPr="00F24B71" w:rsidRDefault="00512B3B" w:rsidP="00C538FC">
            <w:pPr>
              <w:rPr>
                <w:lang w:val="es-ES"/>
              </w:rPr>
            </w:pPr>
            <w:r w:rsidRPr="00EE67AB">
              <w:t xml:space="preserve">Se invita al Consejo a </w:t>
            </w:r>
            <w:r w:rsidRPr="00EE67AB">
              <w:rPr>
                <w:b/>
                <w:bCs/>
              </w:rPr>
              <w:t xml:space="preserve">tomar nota </w:t>
            </w:r>
            <w:r>
              <w:t>del presente</w:t>
            </w:r>
            <w:r w:rsidRPr="00EE67AB">
              <w:t xml:space="preserve"> informe.</w:t>
            </w:r>
          </w:p>
          <w:p w14:paraId="00B37845" w14:textId="77777777" w:rsidR="00FE57F6" w:rsidRPr="00F24B71" w:rsidRDefault="00F24B71" w:rsidP="00C538FC">
            <w:pPr>
              <w:spacing w:before="160"/>
              <w:rPr>
                <w:b/>
                <w:bCs/>
                <w:sz w:val="26"/>
                <w:szCs w:val="26"/>
                <w:lang w:val="es-ES"/>
              </w:rPr>
            </w:pPr>
            <w:r w:rsidRPr="00F24B71">
              <w:rPr>
                <w:b/>
                <w:bCs/>
                <w:sz w:val="26"/>
                <w:szCs w:val="26"/>
                <w:lang w:val="es-ES"/>
              </w:rPr>
              <w:t>Vínculos pertinentes con el Plan Estratégico</w:t>
            </w:r>
          </w:p>
          <w:p w14:paraId="00199715" w14:textId="28E3746F" w:rsidR="00FE57F6" w:rsidRPr="00F24B71" w:rsidRDefault="00512B3B" w:rsidP="00C538FC">
            <w:pPr>
              <w:rPr>
                <w:lang w:val="es-ES"/>
              </w:rPr>
            </w:pPr>
            <w:r w:rsidRPr="00EE67AB">
              <w:t xml:space="preserve">Las </w:t>
            </w:r>
            <w:r>
              <w:t xml:space="preserve">siguientes </w:t>
            </w:r>
            <w:r w:rsidRPr="00EE67AB">
              <w:t>recomendaciones se basan en el Plan Estratégico de la UIT para 2024-2027</w:t>
            </w:r>
            <w:r>
              <w:t xml:space="preserve"> y su objetivo es </w:t>
            </w:r>
            <w:r w:rsidRPr="00EE67AB">
              <w:t>acelerar</w:t>
            </w:r>
            <w:r>
              <w:t xml:space="preserve"> la plena aplicación d</w:t>
            </w:r>
            <w:r w:rsidRPr="00EE67AB">
              <w:t>e l</w:t>
            </w:r>
            <w:r>
              <w:t>a</w:t>
            </w:r>
            <w:r w:rsidRPr="00EE67AB">
              <w:t xml:space="preserve">s dos </w:t>
            </w:r>
            <w:r>
              <w:t>meta</w:t>
            </w:r>
            <w:r w:rsidRPr="00EE67AB">
              <w:t>s estratégic</w:t>
            </w:r>
            <w:r>
              <w:t>a</w:t>
            </w:r>
            <w:r w:rsidRPr="00EE67AB">
              <w:t>s de la Unión</w:t>
            </w:r>
            <w:r>
              <w:t>, que consisten en i</w:t>
            </w:r>
            <w:r w:rsidRPr="00D11631">
              <w:t>mpulsar la conectividad universal y la transformación digital sostenible</w:t>
            </w:r>
            <w:r w:rsidRPr="00EE67AB">
              <w:t>.</w:t>
            </w:r>
          </w:p>
          <w:p w14:paraId="4E161521" w14:textId="77777777" w:rsidR="00512B3B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 xml:space="preserve">Repercusiones financieras: </w:t>
            </w:r>
          </w:p>
          <w:p w14:paraId="70C5B3F4" w14:textId="524E3BAD" w:rsidR="00FE57F6" w:rsidRDefault="00512B3B" w:rsidP="00512B3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EE67AB">
              <w:rPr>
                <w:szCs w:val="24"/>
              </w:rPr>
              <w:t>Las actividades mencionadas en este documento</w:t>
            </w:r>
            <w:r w:rsidRPr="00D11631">
              <w:rPr>
                <w:lang w:val="es-ES"/>
              </w:rPr>
              <w:t xml:space="preserve"> </w:t>
            </w:r>
            <w:r w:rsidRPr="00D11631">
              <w:rPr>
                <w:szCs w:val="24"/>
              </w:rPr>
              <w:t>se inscriben en el presupuesto de la UIT.</w:t>
            </w:r>
          </w:p>
          <w:p w14:paraId="6B958D3C" w14:textId="77777777" w:rsidR="00FE57F6" w:rsidRPr="00813E5E" w:rsidRDefault="00FE57F6" w:rsidP="00C538FC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635838A5" w14:textId="67BEE6AD" w:rsidR="00FE57F6" w:rsidRDefault="00F24B71" w:rsidP="00C538FC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24B71">
              <w:rPr>
                <w:b/>
                <w:bCs/>
                <w:sz w:val="26"/>
                <w:szCs w:val="26"/>
              </w:rPr>
              <w:t>Referencia</w:t>
            </w:r>
            <w:r w:rsidR="00512B3B">
              <w:rPr>
                <w:b/>
                <w:bCs/>
                <w:sz w:val="26"/>
                <w:szCs w:val="26"/>
              </w:rPr>
              <w:t>s</w:t>
            </w:r>
          </w:p>
          <w:p w14:paraId="4A8209E7" w14:textId="301E156B" w:rsidR="00FE57F6" w:rsidRDefault="00E23EDA" w:rsidP="00C538FC">
            <w:pPr>
              <w:spacing w:after="160"/>
            </w:pPr>
            <w:hyperlink r:id="rId7" w:tgtFrame="_blank" w:history="1">
              <w:r w:rsidR="00512B3B" w:rsidRPr="00512B3B">
                <w:rPr>
                  <w:rStyle w:val="Hyperlink"/>
                  <w:i/>
                  <w:iCs/>
                </w:rPr>
                <w:t>Resolución 71</w:t>
              </w:r>
            </w:hyperlink>
            <w:r w:rsidR="00512B3B" w:rsidRPr="00D11631">
              <w:rPr>
                <w:rStyle w:val="normaltextrun"/>
                <w:rFonts w:cs="Calibri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 (Rev. Bucarest, 2022) de la Conferencia de Plenipotenciarios</w:t>
            </w:r>
            <w:r w:rsidR="00512B3B" w:rsidRPr="00D11631">
              <w:rPr>
                <w:rStyle w:val="eop"/>
                <w:sz w:val="22"/>
                <w:szCs w:val="22"/>
              </w:rPr>
              <w:t xml:space="preserve">; </w:t>
            </w:r>
            <w:r w:rsidR="00512B3B" w:rsidRPr="00D11631">
              <w:rPr>
                <w:sz w:val="22"/>
                <w:szCs w:val="22"/>
              </w:rPr>
              <w:t xml:space="preserve">Documentos </w:t>
            </w:r>
            <w:hyperlink r:id="rId8" w:history="1">
              <w:r w:rsidR="00512B3B" w:rsidRPr="00D11631">
                <w:rPr>
                  <w:rStyle w:val="Hyperlink"/>
                  <w:sz w:val="22"/>
                  <w:szCs w:val="22"/>
                </w:rPr>
                <w:t>C23/52</w:t>
              </w:r>
            </w:hyperlink>
            <w:r w:rsidR="00512B3B">
              <w:rPr>
                <w:sz w:val="22"/>
                <w:szCs w:val="22"/>
              </w:rPr>
              <w:t xml:space="preserve"> y</w:t>
            </w:r>
            <w:r w:rsidR="00512B3B" w:rsidRPr="00D11631">
              <w:rPr>
                <w:sz w:val="22"/>
                <w:szCs w:val="22"/>
              </w:rPr>
              <w:t xml:space="preserve"> </w:t>
            </w:r>
            <w:hyperlink r:id="rId9" w:history="1">
              <w:r w:rsidR="00512B3B" w:rsidRPr="00D11631">
                <w:rPr>
                  <w:rStyle w:val="Hyperlink"/>
                  <w:sz w:val="22"/>
                  <w:szCs w:val="22"/>
                </w:rPr>
                <w:t>C23/62</w:t>
              </w:r>
            </w:hyperlink>
            <w:r w:rsidR="00512B3B" w:rsidRPr="00D11631">
              <w:rPr>
                <w:sz w:val="22"/>
                <w:szCs w:val="22"/>
              </w:rPr>
              <w:t xml:space="preserve"> del</w:t>
            </w:r>
            <w:r w:rsidR="00512B3B" w:rsidRPr="00D11631">
              <w:rPr>
                <w:rStyle w:val="eop"/>
                <w:sz w:val="22"/>
                <w:szCs w:val="22"/>
              </w:rPr>
              <w:t xml:space="preserve"> Consejo</w:t>
            </w:r>
            <w:r w:rsidR="00512B3B" w:rsidRPr="00D11631">
              <w:rPr>
                <w:sz w:val="22"/>
                <w:szCs w:val="22"/>
              </w:rPr>
              <w:t>.</w:t>
            </w:r>
          </w:p>
        </w:tc>
      </w:tr>
      <w:bookmarkEnd w:id="0"/>
    </w:tbl>
    <w:p w14:paraId="3DB39CF4" w14:textId="77777777" w:rsidR="00093EEB" w:rsidRDefault="00093EEB"/>
    <w:p w14:paraId="2E990818" w14:textId="77777777" w:rsidR="001559F5" w:rsidRDefault="001559F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11F42AE2" w14:textId="77777777" w:rsidR="00512B3B" w:rsidRPr="00EE67AB" w:rsidRDefault="00512B3B" w:rsidP="00884C48">
      <w:pPr>
        <w:pStyle w:val="Headingb"/>
      </w:pPr>
      <w:r>
        <w:lastRenderedPageBreak/>
        <w:t>Antecedentes</w:t>
      </w:r>
    </w:p>
    <w:p w14:paraId="5F1DE99B" w14:textId="6E7BB90C" w:rsidR="00512B3B" w:rsidRPr="00EE67AB" w:rsidRDefault="00884C48" w:rsidP="00884C48">
      <w:r>
        <w:t>1</w:t>
      </w:r>
      <w:r>
        <w:tab/>
      </w:r>
      <w:r w:rsidR="00512B3B" w:rsidRPr="00EE67AB">
        <w:t>Hace casi 40 años, el innovador Informe Maitland de 1984,</w:t>
      </w:r>
      <w:r w:rsidR="00512B3B">
        <w:t xml:space="preserve"> titulado</w:t>
      </w:r>
      <w:r w:rsidR="00512B3B" w:rsidRPr="00EE67AB">
        <w:t xml:space="preserve"> </w:t>
      </w:r>
      <w:r w:rsidR="00512B3B" w:rsidRPr="00C801BD">
        <w:rPr>
          <w:i/>
          <w:iCs/>
        </w:rPr>
        <w:t>El eslabón perdido</w:t>
      </w:r>
      <w:r w:rsidR="00512B3B" w:rsidRPr="00EE67AB">
        <w:t xml:space="preserve">, evaluó por primera vez los beneficios de las telecomunicaciones. </w:t>
      </w:r>
      <w:r w:rsidR="00512B3B">
        <w:t xml:space="preserve">En dicho informe se afirma que </w:t>
      </w:r>
      <w:r>
        <w:t>"</w:t>
      </w:r>
      <w:r w:rsidR="00512B3B">
        <w:t>e</w:t>
      </w:r>
      <w:r w:rsidR="00512B3B" w:rsidRPr="00C801BD">
        <w:rPr>
          <w:lang w:val="es-ES"/>
        </w:rPr>
        <w:t>n las postrimer</w:t>
      </w:r>
      <w:r w:rsidR="00512B3B">
        <w:rPr>
          <w:lang w:val="es-ES"/>
        </w:rPr>
        <w:t>í</w:t>
      </w:r>
      <w:r w:rsidR="00512B3B" w:rsidRPr="00C801BD">
        <w:rPr>
          <w:lang w:val="es-ES"/>
        </w:rPr>
        <w:t>as del siglo XX, s</w:t>
      </w:r>
      <w:r w:rsidR="00512B3B">
        <w:rPr>
          <w:lang w:val="es-ES"/>
        </w:rPr>
        <w:t>ó</w:t>
      </w:r>
      <w:r w:rsidR="00512B3B" w:rsidRPr="00C801BD">
        <w:rPr>
          <w:lang w:val="es-ES"/>
        </w:rPr>
        <w:t>lo puede ser injusto que una minor</w:t>
      </w:r>
      <w:r w:rsidR="00512B3B">
        <w:rPr>
          <w:lang w:val="es-ES"/>
        </w:rPr>
        <w:t>í</w:t>
      </w:r>
      <w:r w:rsidR="00512B3B" w:rsidRPr="00C801BD">
        <w:rPr>
          <w:lang w:val="es-ES"/>
        </w:rPr>
        <w:t>a de los seres humanos goce de los beneficios derivados de la nueva tecnolog</w:t>
      </w:r>
      <w:r w:rsidR="00512B3B">
        <w:rPr>
          <w:lang w:val="es-ES"/>
        </w:rPr>
        <w:t>í</w:t>
      </w:r>
      <w:r w:rsidR="00512B3B" w:rsidRPr="00C801BD">
        <w:rPr>
          <w:lang w:val="es-ES"/>
        </w:rPr>
        <w:t>a, mientras una mayor</w:t>
      </w:r>
      <w:r w:rsidR="00512B3B">
        <w:rPr>
          <w:lang w:val="es-ES"/>
        </w:rPr>
        <w:t>í</w:t>
      </w:r>
      <w:r w:rsidR="00512B3B" w:rsidRPr="00C801BD">
        <w:rPr>
          <w:lang w:val="es-ES"/>
        </w:rPr>
        <w:t>a vive en relativo aislamiento</w:t>
      </w:r>
      <w:r>
        <w:rPr>
          <w:lang w:val="es-ES"/>
        </w:rPr>
        <w:t>"</w:t>
      </w:r>
      <w:r w:rsidR="00512B3B" w:rsidRPr="00C801BD">
        <w:rPr>
          <w:lang w:val="es-ES"/>
        </w:rPr>
        <w:t>.</w:t>
      </w:r>
    </w:p>
    <w:p w14:paraId="1997C06B" w14:textId="0BAD8A63" w:rsidR="00512B3B" w:rsidRPr="00C801BD" w:rsidRDefault="00884C48" w:rsidP="00884C48">
      <w:pPr>
        <w:rPr>
          <w:lang w:val="es-ES"/>
        </w:rPr>
      </w:pPr>
      <w:r>
        <w:t>2</w:t>
      </w:r>
      <w:r>
        <w:tab/>
      </w:r>
      <w:r w:rsidR="00512B3B" w:rsidRPr="00EE67AB">
        <w:t xml:space="preserve">En los años 80, </w:t>
      </w:r>
      <w:r w:rsidR="00512B3B">
        <w:t>se</w:t>
      </w:r>
      <w:r w:rsidR="00512B3B" w:rsidRPr="00EE67AB">
        <w:t xml:space="preserve"> podía trabajar sin teléfono. Hoy</w:t>
      </w:r>
      <w:r w:rsidR="00512B3B">
        <w:t xml:space="preserve"> en día</w:t>
      </w:r>
      <w:r w:rsidR="00512B3B" w:rsidRPr="00EE67AB">
        <w:t>, para dos tercios de la población mundial,</w:t>
      </w:r>
      <w:r w:rsidR="00512B3B">
        <w:t xml:space="preserve"> el hecho de</w:t>
      </w:r>
      <w:r w:rsidR="00512B3B" w:rsidRPr="00EE67AB">
        <w:t xml:space="preserve"> no tener acceso al mundo digital</w:t>
      </w:r>
      <w:r w:rsidR="00512B3B" w:rsidRPr="004C0E2C">
        <w:t xml:space="preserve"> </w:t>
      </w:r>
      <w:r w:rsidR="00512B3B" w:rsidRPr="00EE67AB">
        <w:t xml:space="preserve">es </w:t>
      </w:r>
      <w:r w:rsidR="00512B3B">
        <w:t>sencillamente</w:t>
      </w:r>
      <w:r w:rsidR="00512B3B" w:rsidRPr="00EE67AB">
        <w:t xml:space="preserve"> inimaginable. Con algunos países inmersos en la </w:t>
      </w:r>
      <w:r w:rsidR="00512B3B" w:rsidRPr="00C801BD">
        <w:rPr>
          <w:lang w:val="es-ES"/>
        </w:rPr>
        <w:t xml:space="preserve">Quinta Revolución Industrial, la interacción </w:t>
      </w:r>
      <w:r w:rsidR="00512B3B">
        <w:rPr>
          <w:lang w:val="es-ES"/>
        </w:rPr>
        <w:t xml:space="preserve">entre personas y </w:t>
      </w:r>
      <w:r w:rsidR="00512B3B" w:rsidRPr="00C801BD">
        <w:rPr>
          <w:lang w:val="es-ES"/>
        </w:rPr>
        <w:t>robot</w:t>
      </w:r>
      <w:r w:rsidR="00512B3B">
        <w:rPr>
          <w:lang w:val="es-ES"/>
        </w:rPr>
        <w:t>s</w:t>
      </w:r>
      <w:r w:rsidR="00512B3B" w:rsidRPr="00C801BD">
        <w:rPr>
          <w:lang w:val="es-ES"/>
        </w:rPr>
        <w:t xml:space="preserve"> </w:t>
      </w:r>
      <w:r w:rsidR="00512B3B">
        <w:rPr>
          <w:lang w:val="es-ES"/>
        </w:rPr>
        <w:t>impondrá</w:t>
      </w:r>
      <w:r w:rsidR="00512B3B" w:rsidRPr="00C801BD">
        <w:rPr>
          <w:lang w:val="es-ES"/>
        </w:rPr>
        <w:t xml:space="preserve"> una forma de trabajar totalmente distinta. </w:t>
      </w:r>
    </w:p>
    <w:p w14:paraId="6DBD8BEE" w14:textId="4C6C6AA4" w:rsidR="00512B3B" w:rsidRPr="00C801BD" w:rsidRDefault="00884C48" w:rsidP="00884C48">
      <w:pPr>
        <w:rPr>
          <w:lang w:val="es-ES"/>
        </w:rPr>
      </w:pPr>
      <w:r>
        <w:rPr>
          <w:lang w:val="es-ES"/>
        </w:rPr>
        <w:t>3</w:t>
      </w:r>
      <w:r>
        <w:rPr>
          <w:lang w:val="es-ES"/>
        </w:rPr>
        <w:tab/>
      </w:r>
      <w:r w:rsidR="00512B3B">
        <w:rPr>
          <w:lang w:val="es-ES"/>
        </w:rPr>
        <w:t>No obstante, dadas las persistent</w:t>
      </w:r>
      <w:r w:rsidR="00512B3B" w:rsidRPr="00C801BD">
        <w:rPr>
          <w:lang w:val="es-ES"/>
        </w:rPr>
        <w:t>e</w:t>
      </w:r>
      <w:r w:rsidR="00512B3B">
        <w:rPr>
          <w:lang w:val="es-ES"/>
        </w:rPr>
        <w:t>s</w:t>
      </w:r>
      <w:r w:rsidR="00512B3B" w:rsidRPr="00C801BD">
        <w:rPr>
          <w:lang w:val="es-ES"/>
        </w:rPr>
        <w:t xml:space="preserve"> brecha</w:t>
      </w:r>
      <w:r w:rsidR="00512B3B">
        <w:rPr>
          <w:lang w:val="es-ES"/>
        </w:rPr>
        <w:t>s</w:t>
      </w:r>
      <w:r w:rsidR="00512B3B" w:rsidRPr="00C801BD">
        <w:rPr>
          <w:lang w:val="es-ES"/>
        </w:rPr>
        <w:t xml:space="preserve"> digital</w:t>
      </w:r>
      <w:r w:rsidR="00512B3B">
        <w:rPr>
          <w:lang w:val="es-ES"/>
        </w:rPr>
        <w:t>es,</w:t>
      </w:r>
      <w:r w:rsidR="00512B3B" w:rsidRPr="00C801BD">
        <w:rPr>
          <w:lang w:val="es-ES"/>
        </w:rPr>
        <w:t xml:space="preserve"> </w:t>
      </w:r>
      <w:r w:rsidR="00512B3B" w:rsidRPr="00637A03">
        <w:rPr>
          <w:lang w:val="es-ES"/>
        </w:rPr>
        <w:t>es preciso dotar a miles de millones de personas de los medios necesarios para utilizar Internet. La conectividad es más necesaria que nunca para cerrar estas brechas antes de que</w:t>
      </w:r>
      <w:r w:rsidR="00512B3B">
        <w:rPr>
          <w:lang w:val="es-ES"/>
        </w:rPr>
        <w:t xml:space="preserve"> la situación</w:t>
      </w:r>
      <w:r w:rsidR="00512B3B" w:rsidRPr="00637A03">
        <w:rPr>
          <w:lang w:val="es-ES"/>
        </w:rPr>
        <w:t xml:space="preserve"> se </w:t>
      </w:r>
      <w:r w:rsidR="00512B3B">
        <w:rPr>
          <w:lang w:val="es-ES"/>
        </w:rPr>
        <w:t>torne</w:t>
      </w:r>
      <w:r w:rsidR="00512B3B" w:rsidRPr="00637A03">
        <w:rPr>
          <w:lang w:val="es-ES"/>
        </w:rPr>
        <w:t xml:space="preserve"> irreversible.</w:t>
      </w:r>
      <w:r w:rsidR="00512B3B" w:rsidRPr="00C801BD">
        <w:rPr>
          <w:lang w:val="es-ES"/>
        </w:rPr>
        <w:t xml:space="preserve"> </w:t>
      </w:r>
    </w:p>
    <w:p w14:paraId="1BAE191B" w14:textId="2A04EDDC" w:rsidR="00512B3B" w:rsidRPr="00C801BD" w:rsidRDefault="00884C48" w:rsidP="00884C48">
      <w:pPr>
        <w:rPr>
          <w:lang w:val="es-ES"/>
        </w:rPr>
      </w:pPr>
      <w:r>
        <w:rPr>
          <w:lang w:val="es-ES"/>
        </w:rPr>
        <w:t>4</w:t>
      </w:r>
      <w:r>
        <w:rPr>
          <w:lang w:val="es-ES"/>
        </w:rPr>
        <w:tab/>
      </w:r>
      <w:r w:rsidR="00512B3B" w:rsidRPr="00C801BD">
        <w:rPr>
          <w:lang w:val="es-ES"/>
        </w:rPr>
        <w:t xml:space="preserve">Si </w:t>
      </w:r>
      <w:r w:rsidR="00512B3B">
        <w:rPr>
          <w:lang w:val="es-ES"/>
        </w:rPr>
        <w:t>no se frena esta dinámica</w:t>
      </w:r>
      <w:r w:rsidR="00512B3B" w:rsidRPr="00C801BD">
        <w:rPr>
          <w:lang w:val="es-ES"/>
        </w:rPr>
        <w:t>, con toda probabilidad</w:t>
      </w:r>
      <w:r w:rsidR="00512B3B">
        <w:rPr>
          <w:lang w:val="es-ES"/>
        </w:rPr>
        <w:t>,</w:t>
      </w:r>
      <w:r w:rsidR="00512B3B" w:rsidRPr="00C801BD">
        <w:rPr>
          <w:lang w:val="es-ES"/>
        </w:rPr>
        <w:t xml:space="preserve"> gran parte de la próxima generación de trabajadores </w:t>
      </w:r>
      <w:r w:rsidR="00512B3B">
        <w:rPr>
          <w:lang w:val="es-ES"/>
        </w:rPr>
        <w:t>se hallará en una situación de riesgo al carecer hoy del acceso necesario para</w:t>
      </w:r>
      <w:r w:rsidR="00512B3B" w:rsidRPr="00C801BD">
        <w:rPr>
          <w:lang w:val="es-ES"/>
        </w:rPr>
        <w:t xml:space="preserve"> desarrollar las capacidades para el mañana. </w:t>
      </w:r>
    </w:p>
    <w:p w14:paraId="0105ED2A" w14:textId="1CD4339B" w:rsidR="00512B3B" w:rsidRPr="00EE67AB" w:rsidRDefault="00884C48" w:rsidP="00884C48">
      <w:r>
        <w:rPr>
          <w:lang w:val="es-ES"/>
        </w:rPr>
        <w:t>5</w:t>
      </w:r>
      <w:r>
        <w:rPr>
          <w:lang w:val="es-ES"/>
        </w:rPr>
        <w:tab/>
      </w:r>
      <w:r w:rsidR="00512B3B" w:rsidRPr="00C801BD">
        <w:rPr>
          <w:lang w:val="es-ES"/>
        </w:rPr>
        <w:t xml:space="preserve">En este contexto, la Conferencia de Plenipotenciarios (Bucarest, 2022) (PP-22) de la UIT adoptó un </w:t>
      </w:r>
      <w:r w:rsidR="00512B3B" w:rsidRPr="0033489E">
        <w:t>ambicioso</w:t>
      </w:r>
      <w:r w:rsidR="00512B3B" w:rsidRPr="00EE67AB">
        <w:t xml:space="preserve"> plan (</w:t>
      </w:r>
      <w:r w:rsidR="00512B3B">
        <w:t xml:space="preserve">véase la </w:t>
      </w:r>
      <w:hyperlink r:id="rId10" w:tgtFrame="_blank" w:history="1">
        <w:r w:rsidR="00512B3B" w:rsidRPr="00EE67AB">
          <w:rPr>
            <w:rStyle w:val="normaltextrun"/>
            <w:rFonts w:cs="Calibri"/>
            <w:color w:val="0563C1"/>
            <w:u w:val="single"/>
            <w:shd w:val="clear" w:color="auto" w:fill="FFFFFF"/>
          </w:rPr>
          <w:t>Resolución 71</w:t>
        </w:r>
      </w:hyperlink>
      <w:r w:rsidR="00512B3B" w:rsidRPr="00EE67AB">
        <w:t xml:space="preserve">) con dos </w:t>
      </w:r>
      <w:r w:rsidR="00512B3B">
        <w:t>importantes</w:t>
      </w:r>
      <w:r w:rsidR="00512B3B" w:rsidRPr="00EE67AB">
        <w:t xml:space="preserve"> y audaces </w:t>
      </w:r>
      <w:r w:rsidR="00512B3B">
        <w:t>meta</w:t>
      </w:r>
      <w:r w:rsidR="00512B3B" w:rsidRPr="00EE67AB">
        <w:t>s estratégic</w:t>
      </w:r>
      <w:r w:rsidR="00512B3B">
        <w:t>a</w:t>
      </w:r>
      <w:r w:rsidR="00512B3B" w:rsidRPr="00EE67AB">
        <w:t>s que deben alcanzarse en los próximos cuatro años</w:t>
      </w:r>
      <w:r w:rsidR="00512B3B">
        <w:t>, a saber</w:t>
      </w:r>
      <w:r w:rsidR="00512B3B" w:rsidRPr="00EE67AB">
        <w:t xml:space="preserve">: la conectividad universal y la transformación digital sostenible. </w:t>
      </w:r>
    </w:p>
    <w:p w14:paraId="5B681B41" w14:textId="2DE7BAC2" w:rsidR="00512B3B" w:rsidRPr="00EE67AB" w:rsidRDefault="00884C48" w:rsidP="00884C48">
      <w:r>
        <w:t>6</w:t>
      </w:r>
      <w:r>
        <w:tab/>
      </w:r>
      <w:r w:rsidR="00512B3B">
        <w:t>Habida cuenta de que</w:t>
      </w:r>
      <w:r w:rsidR="00512B3B" w:rsidRPr="00EE67AB">
        <w:t xml:space="preserve"> 2 700 millones de personas </w:t>
      </w:r>
      <w:r w:rsidR="00512B3B">
        <w:t xml:space="preserve">seguían careciendo de conexión </w:t>
      </w:r>
      <w:r w:rsidR="00512B3B" w:rsidRPr="00EE67AB">
        <w:t>en</w:t>
      </w:r>
      <w:r>
        <w:t> </w:t>
      </w:r>
      <w:r w:rsidR="00512B3B" w:rsidRPr="00EE67AB">
        <w:t>2022, y</w:t>
      </w:r>
      <w:r w:rsidR="00512B3B">
        <w:t xml:space="preserve"> dada la pugna</w:t>
      </w:r>
      <w:r w:rsidR="00512B3B" w:rsidRPr="00EE67AB">
        <w:t xml:space="preserve"> por </w:t>
      </w:r>
      <w:r w:rsidR="00512B3B">
        <w:t>cumplir</w:t>
      </w:r>
      <w:r w:rsidR="00512B3B" w:rsidRPr="00EE67AB">
        <w:t xml:space="preserve"> los Objetivos de Desarrollo Sostenible (ODS) y aplicar la Agenda 2030, la UIT debe impulsar el diálogo y la acción para garantizar que las tecnologías actúen como </w:t>
      </w:r>
      <w:r w:rsidR="00512B3B">
        <w:t xml:space="preserve">elemento </w:t>
      </w:r>
      <w:r w:rsidR="00512B3B" w:rsidRPr="00EE67AB">
        <w:t xml:space="preserve">catalizador y no </w:t>
      </w:r>
      <w:r w:rsidR="00512B3B">
        <w:t>agraven</w:t>
      </w:r>
      <w:r w:rsidR="00512B3B" w:rsidRPr="00EE67AB">
        <w:t xml:space="preserve"> aún más las brechas digitales. </w:t>
      </w:r>
    </w:p>
    <w:p w14:paraId="43EA72E4" w14:textId="7B4B9752" w:rsidR="00512B3B" w:rsidRPr="00EE67AB" w:rsidRDefault="00884C48" w:rsidP="00884C48">
      <w:r>
        <w:t>7</w:t>
      </w:r>
      <w:r>
        <w:tab/>
      </w:r>
      <w:r w:rsidR="00512B3B">
        <w:t>L</w:t>
      </w:r>
      <w:r w:rsidR="00512B3B" w:rsidRPr="00EE67AB">
        <w:t>a U</w:t>
      </w:r>
      <w:r w:rsidR="00512B3B">
        <w:t xml:space="preserve">nión debe desempeñar </w:t>
      </w:r>
      <w:r w:rsidR="00512B3B" w:rsidRPr="00EE67AB">
        <w:t xml:space="preserve">un papel integral y </w:t>
      </w:r>
      <w:r w:rsidR="00512B3B">
        <w:t>cumplir con lo que el</w:t>
      </w:r>
      <w:r w:rsidR="00512B3B" w:rsidRPr="00EE67AB">
        <w:t xml:space="preserve"> Secretario General de las Naciones Unidas y el sistema de las Naciones Unidas</w:t>
      </w:r>
      <w:r w:rsidR="00512B3B">
        <w:t xml:space="preserve"> en su conjunto esperan de ella: </w:t>
      </w:r>
      <w:r w:rsidR="00512B3B" w:rsidRPr="0033489E">
        <w:t>conducir al mundo hacia el futuro digital.</w:t>
      </w:r>
      <w:r w:rsidR="00512B3B" w:rsidRPr="00EE67AB">
        <w:t xml:space="preserve"> </w:t>
      </w:r>
    </w:p>
    <w:p w14:paraId="144677D0" w14:textId="6348DB66" w:rsidR="00512B3B" w:rsidRPr="00EE67AB" w:rsidRDefault="00884C48" w:rsidP="00884C48">
      <w:r>
        <w:t>8</w:t>
      </w:r>
      <w:r>
        <w:tab/>
      </w:r>
      <w:r w:rsidR="00512B3B" w:rsidRPr="00EE67AB">
        <w:t>Si bien l</w:t>
      </w:r>
      <w:r w:rsidR="00512B3B">
        <w:t>a tecnología</w:t>
      </w:r>
      <w:r w:rsidR="00512B3B" w:rsidRPr="00EE67AB">
        <w:t xml:space="preserve"> digital </w:t>
      </w:r>
      <w:r w:rsidR="00512B3B">
        <w:t>reviste una importancia crucial para el logro</w:t>
      </w:r>
      <w:r w:rsidR="00512B3B" w:rsidRPr="00EE67AB">
        <w:t xml:space="preserve"> </w:t>
      </w:r>
      <w:r>
        <w:t xml:space="preserve">de </w:t>
      </w:r>
      <w:r w:rsidR="00512B3B" w:rsidRPr="00EE67AB">
        <w:t xml:space="preserve">los ODS, la conectividad es </w:t>
      </w:r>
      <w:r w:rsidR="00512B3B">
        <w:t>el fundamento y la piedra angular</w:t>
      </w:r>
      <w:r w:rsidR="00512B3B" w:rsidRPr="00EE67AB">
        <w:t xml:space="preserve"> de </w:t>
      </w:r>
      <w:r w:rsidR="00512B3B">
        <w:t>dicha tecnología</w:t>
      </w:r>
      <w:r w:rsidR="00512B3B" w:rsidRPr="00EE67AB">
        <w:t xml:space="preserve">. Como tal, la UIT </w:t>
      </w:r>
      <w:r w:rsidR="00512B3B">
        <w:t>ha de</w:t>
      </w:r>
      <w:r w:rsidR="00512B3B" w:rsidRPr="00EE67AB">
        <w:t xml:space="preserve"> seguir impulsando la conectividad universal y </w:t>
      </w:r>
      <w:r w:rsidR="00512B3B">
        <w:t>efectiva,</w:t>
      </w:r>
      <w:r w:rsidR="00512B3B" w:rsidRPr="00EE67AB">
        <w:t xml:space="preserve"> </w:t>
      </w:r>
      <w:r w:rsidR="00512B3B">
        <w:t xml:space="preserve">de tal manera que </w:t>
      </w:r>
      <w:r w:rsidR="00512B3B" w:rsidRPr="00EE67AB">
        <w:t>l</w:t>
      </w:r>
      <w:r w:rsidR="00512B3B">
        <w:t>a tecnología</w:t>
      </w:r>
      <w:r w:rsidR="00512B3B" w:rsidRPr="00EE67AB">
        <w:t xml:space="preserve"> digital pueda cumplir </w:t>
      </w:r>
      <w:r w:rsidR="00512B3B">
        <w:t>lo prometido.</w:t>
      </w:r>
      <w:r w:rsidR="00512B3B" w:rsidRPr="00EE67AB">
        <w:t xml:space="preserve"> </w:t>
      </w:r>
    </w:p>
    <w:p w14:paraId="6E6F1803" w14:textId="64963952" w:rsidR="00512B3B" w:rsidRPr="00EE67AB" w:rsidRDefault="00884C48" w:rsidP="00884C48">
      <w:r>
        <w:t>9</w:t>
      </w:r>
      <w:r>
        <w:tab/>
      </w:r>
      <w:r w:rsidR="00512B3B">
        <w:t>A tal efecto</w:t>
      </w:r>
      <w:r w:rsidR="00512B3B" w:rsidRPr="00EE67AB">
        <w:t xml:space="preserve">, la UIT </w:t>
      </w:r>
      <w:r w:rsidR="00512B3B">
        <w:t>debe predicar con el ejemplo y</w:t>
      </w:r>
      <w:r w:rsidR="00512B3B" w:rsidRPr="00EE67AB">
        <w:t xml:space="preserve"> transforma</w:t>
      </w:r>
      <w:r w:rsidR="00512B3B">
        <w:t xml:space="preserve">r </w:t>
      </w:r>
      <w:r w:rsidR="00512B3B" w:rsidRPr="00EE67AB">
        <w:t xml:space="preserve">la organización </w:t>
      </w:r>
      <w:r w:rsidR="00512B3B">
        <w:t>reforzando su dinamismo y su capacidad de liderazgo</w:t>
      </w:r>
      <w:r w:rsidR="00512B3B" w:rsidRPr="00EE67AB">
        <w:t>. La organización</w:t>
      </w:r>
      <w:r w:rsidR="00512B3B">
        <w:t xml:space="preserve"> tiene que adecuarse a sus fines y,</w:t>
      </w:r>
      <w:r w:rsidR="00512B3B" w:rsidRPr="00EE67AB">
        <w:t xml:space="preserve"> lo que es más importante, </w:t>
      </w:r>
      <w:r w:rsidR="00512B3B">
        <w:t>prepararse</w:t>
      </w:r>
      <w:r w:rsidR="00512B3B" w:rsidRPr="00EE67AB">
        <w:t xml:space="preserve"> para el futuro.</w:t>
      </w:r>
    </w:p>
    <w:p w14:paraId="36F926CC" w14:textId="77777777" w:rsidR="00512B3B" w:rsidRPr="00EE67AB" w:rsidRDefault="00512B3B" w:rsidP="00884C48">
      <w:pPr>
        <w:pStyle w:val="Headingb"/>
      </w:pPr>
      <w:r w:rsidRPr="007855F2">
        <w:t>Proceso de reflexión</w:t>
      </w:r>
    </w:p>
    <w:p w14:paraId="0F5235C1" w14:textId="4DD130C2" w:rsidR="00512B3B" w:rsidRPr="00EE67AB" w:rsidRDefault="00884C48" w:rsidP="00884C48">
      <w:r>
        <w:t>1</w:t>
      </w:r>
      <w:r>
        <w:tab/>
      </w:r>
      <w:r w:rsidR="00512B3B" w:rsidRPr="00EE67AB">
        <w:t xml:space="preserve">Inmediatamente después de la PP-22, el nuevo equipo directivo emprendió rápidamente un </w:t>
      </w:r>
      <w:r w:rsidR="00512B3B" w:rsidRPr="007855F2">
        <w:t>proceso de reflexión</w:t>
      </w:r>
      <w:r w:rsidR="00512B3B">
        <w:t xml:space="preserve"> que abarcó toda </w:t>
      </w:r>
      <w:r w:rsidR="00512B3B" w:rsidRPr="00EE67AB">
        <w:t xml:space="preserve">la </w:t>
      </w:r>
      <w:r w:rsidR="00512B3B">
        <w:t>UIT</w:t>
      </w:r>
      <w:r w:rsidR="00512B3B" w:rsidRPr="00EE67AB">
        <w:t xml:space="preserve">. </w:t>
      </w:r>
      <w:r w:rsidR="00512B3B">
        <w:t>Dicho proceso se basó en</w:t>
      </w:r>
      <w:r w:rsidR="00512B3B" w:rsidRPr="00EE67AB">
        <w:t xml:space="preserve"> el Plan Estratégico y </w:t>
      </w:r>
      <w:r w:rsidR="00512B3B">
        <w:t>las metas de la organización, y</w:t>
      </w:r>
      <w:r w:rsidR="00512B3B" w:rsidRPr="00EE67AB">
        <w:t xml:space="preserve"> se centró en tres cuestiones: </w:t>
      </w:r>
    </w:p>
    <w:p w14:paraId="5FE4F831" w14:textId="2DC32FC6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>
        <w:t>Partiendo del marco proporcionado por</w:t>
      </w:r>
      <w:r w:rsidR="00512B3B" w:rsidRPr="00EE67AB">
        <w:t xml:space="preserve"> los ODS y la propia Agenda Conectar 2030 de la UIT, ¿</w:t>
      </w:r>
      <w:r w:rsidR="00512B3B">
        <w:t>qué expectativas tenemos para el año</w:t>
      </w:r>
      <w:r w:rsidR="00512B3B" w:rsidRPr="00EE67AB">
        <w:t xml:space="preserve"> 2030?</w:t>
      </w:r>
    </w:p>
    <w:p w14:paraId="6E1249CA" w14:textId="5E6DDBDB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 w:rsidRPr="00EE67AB">
        <w:t>¿</w:t>
      </w:r>
      <w:r w:rsidR="00512B3B">
        <w:t>En qué punto nos hallamos</w:t>
      </w:r>
      <w:r w:rsidR="00512B3B" w:rsidRPr="00EE67AB">
        <w:t xml:space="preserve"> hoy?</w:t>
      </w:r>
    </w:p>
    <w:p w14:paraId="4EA5A9FE" w14:textId="664D097E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 w:rsidRPr="00EE67AB">
        <w:t xml:space="preserve">¿Qué necesitamos para </w:t>
      </w:r>
      <w:r w:rsidR="00512B3B">
        <w:t>hacer realidad esas expectativas</w:t>
      </w:r>
      <w:r w:rsidR="00512B3B" w:rsidRPr="00EE67AB">
        <w:t>?</w:t>
      </w:r>
    </w:p>
    <w:p w14:paraId="4477466C" w14:textId="0F7159EA" w:rsidR="00512B3B" w:rsidRPr="00EE67AB" w:rsidRDefault="00884C48" w:rsidP="00884C48">
      <w:r>
        <w:lastRenderedPageBreak/>
        <w:t>2</w:t>
      </w:r>
      <w:r>
        <w:tab/>
      </w:r>
      <w:r w:rsidR="00512B3B">
        <w:t>A</w:t>
      </w:r>
      <w:r w:rsidR="00512B3B" w:rsidRPr="00EE67AB">
        <w:t xml:space="preserve"> fin de mejorar su capacidad interna para alcanzar est</w:t>
      </w:r>
      <w:r w:rsidR="00512B3B">
        <w:t>a</w:t>
      </w:r>
      <w:r w:rsidR="00512B3B" w:rsidRPr="00EE67AB">
        <w:t>s ambicios</w:t>
      </w:r>
      <w:r w:rsidR="00512B3B">
        <w:t>as metas</w:t>
      </w:r>
      <w:r w:rsidR="00512B3B" w:rsidRPr="00EE67AB">
        <w:t xml:space="preserve">, la UIT </w:t>
      </w:r>
      <w:r w:rsidR="00512B3B" w:rsidRPr="0036514F">
        <w:t xml:space="preserve">colaboró con una amplia gama de especialistas y miembros del personal </w:t>
      </w:r>
      <w:r w:rsidR="00512B3B">
        <w:t>de</w:t>
      </w:r>
      <w:r w:rsidR="00512B3B" w:rsidRPr="0036514F">
        <w:t xml:space="preserve"> todos los niveles de las tres Oficinas,</w:t>
      </w:r>
      <w:r w:rsidR="00512B3B">
        <w:t xml:space="preserve"> en un número que ascendió de</w:t>
      </w:r>
      <w:r w:rsidR="00512B3B" w:rsidRPr="0036514F">
        <w:t xml:space="preserve"> 40 a 65</w:t>
      </w:r>
      <w:r w:rsidR="00512B3B">
        <w:t xml:space="preserve"> funcionarios comprometidos con la</w:t>
      </w:r>
      <w:r w:rsidR="00512B3B" w:rsidRPr="0036514F">
        <w:t xml:space="preserve"> </w:t>
      </w:r>
      <w:r w:rsidR="00512B3B">
        <w:t>definición conjunta de los próximos pasos</w:t>
      </w:r>
      <w:r w:rsidR="00512B3B" w:rsidRPr="0036514F">
        <w:t>.</w:t>
      </w:r>
    </w:p>
    <w:p w14:paraId="2ED56C36" w14:textId="70B88A55" w:rsidR="00512B3B" w:rsidRPr="00EE67AB" w:rsidRDefault="00884C48" w:rsidP="00884C48">
      <w:r>
        <w:t>3</w:t>
      </w:r>
      <w:r>
        <w:tab/>
      </w:r>
      <w:r w:rsidR="00512B3B">
        <w:t>Al mismo tiempo</w:t>
      </w:r>
      <w:r w:rsidR="00512B3B" w:rsidRPr="00EE67AB">
        <w:t>, la Secretaria General se puso en contacto con más de 40</w:t>
      </w:r>
      <w:r>
        <w:t> </w:t>
      </w:r>
      <w:r w:rsidR="00512B3B" w:rsidRPr="00EE67AB">
        <w:t>partes interesadas externas a nivel ejecutivo</w:t>
      </w:r>
      <w:r w:rsidR="00512B3B">
        <w:t xml:space="preserve"> de</w:t>
      </w:r>
      <w:r w:rsidR="00512B3B" w:rsidRPr="00EE67AB">
        <w:t xml:space="preserve"> todo el mundo. Entre ellos </w:t>
      </w:r>
      <w:r w:rsidR="00512B3B">
        <w:t>figuraron</w:t>
      </w:r>
      <w:r w:rsidR="00512B3B" w:rsidRPr="00EE67AB">
        <w:t xml:space="preserve"> Estados Miembros, </w:t>
      </w:r>
      <w:r w:rsidR="00512B3B">
        <w:t>entidades d</w:t>
      </w:r>
      <w:r w:rsidR="00512B3B" w:rsidRPr="00EE67AB">
        <w:t xml:space="preserve">el sector privado, organismos de las Naciones Unidas y organizaciones intergubernamentales, </w:t>
      </w:r>
      <w:r w:rsidR="00512B3B">
        <w:t xml:space="preserve">miembros de </w:t>
      </w:r>
      <w:r w:rsidR="00512B3B" w:rsidRPr="00EE67AB">
        <w:t xml:space="preserve">la sociedad civil, instituciones académicas y algunas personalidades destacadas. </w:t>
      </w:r>
    </w:p>
    <w:p w14:paraId="4CA51853" w14:textId="318868D9" w:rsidR="00512B3B" w:rsidRPr="00EE67AB" w:rsidRDefault="00884C48" w:rsidP="00884C48">
      <w:r>
        <w:t>4</w:t>
      </w:r>
      <w:r>
        <w:tab/>
      </w:r>
      <w:r w:rsidR="00512B3B" w:rsidRPr="00EE67AB">
        <w:t xml:space="preserve">El ejercicio fue abierto, sólido, </w:t>
      </w:r>
      <w:r w:rsidR="00512B3B" w:rsidRPr="00031A4C">
        <w:t xml:space="preserve">participativo y con </w:t>
      </w:r>
      <w:r w:rsidR="00512B3B">
        <w:t>capacidad de</w:t>
      </w:r>
      <w:r w:rsidR="00512B3B" w:rsidRPr="00031A4C">
        <w:t xml:space="preserve"> autocrític</w:t>
      </w:r>
      <w:r w:rsidR="00512B3B">
        <w:t>a</w:t>
      </w:r>
      <w:r w:rsidR="00512B3B" w:rsidRPr="00EE67AB">
        <w:t xml:space="preserve">, </w:t>
      </w:r>
      <w:r w:rsidR="00512B3B">
        <w:t>características</w:t>
      </w:r>
      <w:r w:rsidR="00512B3B" w:rsidRPr="00031A4C">
        <w:t xml:space="preserve"> necesaria</w:t>
      </w:r>
      <w:r w:rsidR="00512B3B">
        <w:t>s</w:t>
      </w:r>
      <w:r w:rsidR="00512B3B" w:rsidRPr="00031A4C">
        <w:t xml:space="preserve"> para </w:t>
      </w:r>
      <w:r w:rsidR="00512B3B">
        <w:t xml:space="preserve">forjar </w:t>
      </w:r>
      <w:r w:rsidR="00512B3B" w:rsidRPr="00031A4C">
        <w:t xml:space="preserve">la visión </w:t>
      </w:r>
      <w:r w:rsidR="00512B3B">
        <w:t xml:space="preserve">de futuro de la </w:t>
      </w:r>
      <w:r w:rsidR="00512B3B" w:rsidRPr="00031A4C">
        <w:t xml:space="preserve">UIT. Los debates se </w:t>
      </w:r>
      <w:r w:rsidR="00512B3B">
        <w:t>articularon en torno a</w:t>
      </w:r>
      <w:r w:rsidR="00512B3B" w:rsidRPr="00031A4C">
        <w:t xml:space="preserve"> tres pilares:</w:t>
      </w:r>
    </w:p>
    <w:p w14:paraId="74A317A5" w14:textId="56C49BCF" w:rsidR="00512B3B" w:rsidRPr="00EE67AB" w:rsidRDefault="00884C48" w:rsidP="00884C48">
      <w:pPr>
        <w:pStyle w:val="enumlev1"/>
      </w:pPr>
      <w:r w:rsidRPr="00884C48">
        <w:rPr>
          <w:b/>
          <w:bCs/>
          <w:i/>
          <w:iCs/>
        </w:rPr>
        <w:t>•</w:t>
      </w:r>
      <w:r>
        <w:rPr>
          <w:b/>
          <w:bCs/>
          <w:i/>
          <w:iCs/>
        </w:rPr>
        <w:tab/>
      </w:r>
      <w:r w:rsidR="00512B3B" w:rsidRPr="00EE67AB">
        <w:rPr>
          <w:b/>
          <w:bCs/>
          <w:i/>
          <w:iCs/>
        </w:rPr>
        <w:t>Pilar 1</w:t>
      </w:r>
      <w:r w:rsidR="00512B3B">
        <w:rPr>
          <w:b/>
          <w:bCs/>
          <w:i/>
          <w:iCs/>
        </w:rPr>
        <w:t xml:space="preserve"> –</w:t>
      </w:r>
      <w:r w:rsidR="00512B3B" w:rsidRPr="00EE67AB">
        <w:rPr>
          <w:b/>
          <w:bCs/>
          <w:i/>
          <w:iCs/>
        </w:rPr>
        <w:t xml:space="preserve"> Liderazgo intelectual</w:t>
      </w:r>
      <w:r w:rsidR="00512B3B" w:rsidRPr="00EE67AB">
        <w:t>: Posicionar a la UIT como líder intelectual mundial en el ecosistema digital.</w:t>
      </w:r>
    </w:p>
    <w:p w14:paraId="2FCEF992" w14:textId="69B6DDDD" w:rsidR="00512B3B" w:rsidRPr="00EE67AB" w:rsidRDefault="00884C48" w:rsidP="00884C48">
      <w:pPr>
        <w:pStyle w:val="enumlev1"/>
      </w:pPr>
      <w:r w:rsidRPr="00884C48">
        <w:rPr>
          <w:b/>
          <w:bCs/>
          <w:i/>
          <w:iCs/>
        </w:rPr>
        <w:t>•</w:t>
      </w:r>
      <w:r>
        <w:rPr>
          <w:b/>
          <w:bCs/>
          <w:i/>
          <w:iCs/>
        </w:rPr>
        <w:tab/>
      </w:r>
      <w:r w:rsidR="00512B3B" w:rsidRPr="00EE67AB">
        <w:rPr>
          <w:b/>
          <w:bCs/>
          <w:i/>
          <w:iCs/>
        </w:rPr>
        <w:t>Pilar 2</w:t>
      </w:r>
      <w:r w:rsidR="00512B3B">
        <w:rPr>
          <w:b/>
          <w:bCs/>
          <w:i/>
          <w:iCs/>
        </w:rPr>
        <w:t xml:space="preserve"> –</w:t>
      </w:r>
      <w:r w:rsidR="00512B3B" w:rsidRPr="00EE67AB">
        <w:rPr>
          <w:b/>
          <w:bCs/>
          <w:i/>
          <w:iCs/>
        </w:rPr>
        <w:t xml:space="preserve"> Asociaciones estratégicas y </w:t>
      </w:r>
      <w:r w:rsidR="00512B3B">
        <w:rPr>
          <w:b/>
          <w:bCs/>
          <w:i/>
          <w:iCs/>
        </w:rPr>
        <w:t>participación</w:t>
      </w:r>
      <w:r w:rsidR="00512B3B" w:rsidRPr="00EE67AB">
        <w:rPr>
          <w:b/>
          <w:bCs/>
          <w:i/>
          <w:iCs/>
        </w:rPr>
        <w:t xml:space="preserve"> de los miembros</w:t>
      </w:r>
      <w:r w:rsidR="00512B3B" w:rsidRPr="00EE67AB">
        <w:t>: Garantizar</w:t>
      </w:r>
      <w:r w:rsidR="00512B3B">
        <w:t xml:space="preserve"> e incrementar la participación de los</w:t>
      </w:r>
      <w:r w:rsidR="00512B3B" w:rsidRPr="00EE67AB">
        <w:rPr>
          <w:rFonts w:asciiTheme="minorHAnsi" w:hAnsiTheme="minorHAnsi" w:cstheme="minorHAnsi"/>
        </w:rPr>
        <w:t xml:space="preserve"> Estados Miembros, Miembros de Sector, Asociados e Instituciones Académicas, establecer y desarrollar asociaciones estratégicas y movilizar importantes recursos financieros. </w:t>
      </w:r>
    </w:p>
    <w:p w14:paraId="32492DC8" w14:textId="3328D099" w:rsidR="00512B3B" w:rsidRPr="00EE67AB" w:rsidRDefault="00884C48" w:rsidP="00884C48">
      <w:pPr>
        <w:pStyle w:val="enumlev1"/>
      </w:pPr>
      <w:r w:rsidRPr="00884C48">
        <w:rPr>
          <w:b/>
          <w:bCs/>
          <w:i/>
          <w:iCs/>
        </w:rPr>
        <w:t>•</w:t>
      </w:r>
      <w:r>
        <w:rPr>
          <w:b/>
          <w:bCs/>
          <w:i/>
          <w:iCs/>
        </w:rPr>
        <w:tab/>
      </w:r>
      <w:r w:rsidR="00512B3B" w:rsidRPr="00EE67AB">
        <w:rPr>
          <w:b/>
          <w:bCs/>
          <w:i/>
          <w:iCs/>
        </w:rPr>
        <w:t>Pilar 3</w:t>
      </w:r>
      <w:r w:rsidR="00512B3B">
        <w:rPr>
          <w:b/>
          <w:bCs/>
          <w:i/>
          <w:iCs/>
        </w:rPr>
        <w:t xml:space="preserve"> –</w:t>
      </w:r>
      <w:r w:rsidR="00512B3B" w:rsidRPr="00EE67AB">
        <w:rPr>
          <w:b/>
          <w:bCs/>
          <w:i/>
          <w:iCs/>
        </w:rPr>
        <w:t xml:space="preserve"> Excelencia </w:t>
      </w:r>
      <w:r w:rsidR="00512B3B">
        <w:rPr>
          <w:b/>
          <w:bCs/>
          <w:i/>
          <w:iCs/>
        </w:rPr>
        <w:t>institucional</w:t>
      </w:r>
      <w:r w:rsidR="00512B3B">
        <w:t>:</w:t>
      </w:r>
      <w:r w:rsidR="00512B3B" w:rsidRPr="00EE67AB">
        <w:t xml:space="preserve"> </w:t>
      </w:r>
      <w:r w:rsidR="00512B3B" w:rsidRPr="00EE67AB">
        <w:rPr>
          <w:rFonts w:asciiTheme="minorHAnsi" w:hAnsiTheme="minorHAnsi" w:cstheme="minorHAnsi"/>
        </w:rPr>
        <w:t xml:space="preserve">Lograr la excelencia </w:t>
      </w:r>
      <w:r w:rsidR="00512B3B">
        <w:rPr>
          <w:rFonts w:asciiTheme="minorHAnsi" w:hAnsiTheme="minorHAnsi" w:cstheme="minorHAnsi"/>
        </w:rPr>
        <w:t>institucional</w:t>
      </w:r>
      <w:r w:rsidR="00512B3B" w:rsidRPr="00EE67AB">
        <w:rPr>
          <w:rFonts w:asciiTheme="minorHAnsi" w:hAnsiTheme="minorHAnsi" w:cstheme="minorHAnsi"/>
        </w:rPr>
        <w:t xml:space="preserve"> en toda la UIT, de modo que </w:t>
      </w:r>
      <w:r w:rsidR="00512B3B">
        <w:rPr>
          <w:rFonts w:asciiTheme="minorHAnsi" w:hAnsiTheme="minorHAnsi" w:cstheme="minorHAnsi"/>
        </w:rPr>
        <w:t>la</w:t>
      </w:r>
      <w:r w:rsidR="00512B3B" w:rsidRPr="00EE67AB">
        <w:rPr>
          <w:rFonts w:asciiTheme="minorHAnsi" w:hAnsiTheme="minorHAnsi" w:cstheme="minorHAnsi"/>
        </w:rPr>
        <w:t xml:space="preserve"> organización</w:t>
      </w:r>
      <w:r w:rsidR="00512B3B">
        <w:rPr>
          <w:rFonts w:asciiTheme="minorHAnsi" w:hAnsiTheme="minorHAnsi" w:cstheme="minorHAnsi"/>
        </w:rPr>
        <w:t xml:space="preserve"> goce de reconocimiento por </w:t>
      </w:r>
      <w:r w:rsidR="00512B3B" w:rsidRPr="00EE67AB">
        <w:rPr>
          <w:rFonts w:asciiTheme="minorHAnsi" w:hAnsiTheme="minorHAnsi" w:cstheme="minorHAnsi"/>
        </w:rPr>
        <w:t>sus conocimientos técnicos, su eficiencia y la calidad y pertinencia de la amplia gama de servicios que presta a sus Miembros.</w:t>
      </w:r>
    </w:p>
    <w:p w14:paraId="3C6E2008" w14:textId="66D0ADA8" w:rsidR="00512B3B" w:rsidRPr="00EE67AB" w:rsidRDefault="00884C48" w:rsidP="00884C48">
      <w:r>
        <w:t>5</w:t>
      </w:r>
      <w:r>
        <w:tab/>
      </w:r>
      <w:r w:rsidR="00512B3B" w:rsidRPr="00EE67AB">
        <w:t>También se</w:t>
      </w:r>
      <w:r w:rsidR="00512B3B">
        <w:t xml:space="preserve"> facilitó información a los miembros del personal y se fomentó su participación </w:t>
      </w:r>
      <w:r w:rsidR="00512B3B" w:rsidRPr="00EE67AB">
        <w:t xml:space="preserve">a través de asambleas </w:t>
      </w:r>
      <w:r w:rsidR="00512B3B">
        <w:t>generales y</w:t>
      </w:r>
      <w:r w:rsidR="00512B3B" w:rsidRPr="00EE67AB">
        <w:t xml:space="preserve"> reuniones con jóvenes,</w:t>
      </w:r>
      <w:r w:rsidR="00512B3B">
        <w:t xml:space="preserve"> pasantes </w:t>
      </w:r>
      <w:r w:rsidR="00512B3B" w:rsidRPr="00EE67AB">
        <w:t>y</w:t>
      </w:r>
      <w:r w:rsidR="00512B3B">
        <w:t xml:space="preserve"> miembros de</w:t>
      </w:r>
      <w:r w:rsidR="00512B3B" w:rsidRPr="00EE67AB">
        <w:t xml:space="preserve"> las oficinas regionales. Se animó a todos</w:t>
      </w:r>
      <w:r w:rsidR="00512B3B">
        <w:t xml:space="preserve"> los participantes </w:t>
      </w:r>
      <w:r w:rsidR="00512B3B" w:rsidRPr="00EE67AB">
        <w:t xml:space="preserve">a dar su opinión y se les </w:t>
      </w:r>
      <w:r w:rsidR="00512B3B">
        <w:t>brindó la oportunidad d</w:t>
      </w:r>
      <w:r w:rsidR="00512B3B" w:rsidRPr="00EE67AB">
        <w:t xml:space="preserve">e compartir pensamientos y </w:t>
      </w:r>
      <w:r w:rsidR="00512B3B">
        <w:t>observaciones</w:t>
      </w:r>
      <w:r w:rsidR="00512B3B" w:rsidRPr="00EE67AB">
        <w:t xml:space="preserve"> a través del correo electrónico </w:t>
      </w:r>
      <w:r w:rsidR="00512B3B">
        <w:t>específico del proceso</w:t>
      </w:r>
      <w:r w:rsidR="00512B3B" w:rsidRPr="00EE67AB">
        <w:t xml:space="preserve">. </w:t>
      </w:r>
    </w:p>
    <w:p w14:paraId="67CFAC98" w14:textId="7AB53132" w:rsidR="00512B3B" w:rsidRPr="00EE67AB" w:rsidRDefault="00884C48" w:rsidP="00884C48">
      <w:r>
        <w:t>6</w:t>
      </w:r>
      <w:r>
        <w:tab/>
      </w:r>
      <w:r w:rsidR="00512B3B" w:rsidRPr="00EE67AB">
        <w:t>La</w:t>
      </w:r>
      <w:r w:rsidR="00512B3B">
        <w:t>s</w:t>
      </w:r>
      <w:r w:rsidR="00512B3B" w:rsidRPr="00EE67AB">
        <w:t xml:space="preserve"> consulta</w:t>
      </w:r>
      <w:r w:rsidR="00512B3B">
        <w:t>s</w:t>
      </w:r>
      <w:r w:rsidR="00512B3B" w:rsidRPr="00EE67AB">
        <w:t xml:space="preserve"> externa</w:t>
      </w:r>
      <w:r w:rsidR="00512B3B">
        <w:t>s</w:t>
      </w:r>
      <w:r w:rsidR="00512B3B" w:rsidRPr="00EE67AB">
        <w:t xml:space="preserve"> </w:t>
      </w:r>
      <w:r w:rsidR="00512B3B">
        <w:t>prosiguieron</w:t>
      </w:r>
      <w:r w:rsidR="00512B3B" w:rsidRPr="00EE67AB">
        <w:t xml:space="preserve"> </w:t>
      </w:r>
      <w:r w:rsidR="00512B3B">
        <w:t>a través de</w:t>
      </w:r>
      <w:r w:rsidR="00512B3B" w:rsidRPr="00EE67AB">
        <w:t xml:space="preserve"> reuniones informativas con embajadores y otros miembros de la comunidad diplomática</w:t>
      </w:r>
      <w:r w:rsidR="00512B3B">
        <w:t xml:space="preserve"> y</w:t>
      </w:r>
      <w:r w:rsidR="00512B3B" w:rsidRPr="00EE67AB">
        <w:t xml:space="preserve"> </w:t>
      </w:r>
      <w:r w:rsidR="00512B3B">
        <w:t xml:space="preserve">de </w:t>
      </w:r>
      <w:r w:rsidR="00512B3B" w:rsidRPr="00EE67AB">
        <w:t xml:space="preserve">la industria, </w:t>
      </w:r>
      <w:r w:rsidR="00512B3B">
        <w:t xml:space="preserve">así como de </w:t>
      </w:r>
      <w:r w:rsidR="00512B3B" w:rsidRPr="00EE67AB">
        <w:t>reuniones ministeriales</w:t>
      </w:r>
      <w:r w:rsidR="00512B3B">
        <w:t>, entre otros encuentros</w:t>
      </w:r>
      <w:r w:rsidR="00512B3B" w:rsidRPr="00EE67AB">
        <w:t xml:space="preserve">. </w:t>
      </w:r>
    </w:p>
    <w:p w14:paraId="251D2D52" w14:textId="2877A97C" w:rsidR="00512B3B" w:rsidRPr="00EE67AB" w:rsidRDefault="00884C48" w:rsidP="00884C48">
      <w:r>
        <w:t>7</w:t>
      </w:r>
      <w:r>
        <w:tab/>
      </w:r>
      <w:r w:rsidR="00512B3B" w:rsidRPr="00EE67AB">
        <w:t xml:space="preserve">En febrero, el nuevo equipo directivo </w:t>
      </w:r>
      <w:r w:rsidR="00512B3B">
        <w:t>organizó un retiro par</w:t>
      </w:r>
      <w:r w:rsidR="00512B3B" w:rsidRPr="00EE67AB">
        <w:t>a los altos cargos de la UIT</w:t>
      </w:r>
      <w:r w:rsidR="00512B3B">
        <w:t>, con miras a</w:t>
      </w:r>
      <w:r w:rsidR="00512B3B" w:rsidRPr="00EE67AB">
        <w:t xml:space="preserve"> perfeccionar las conclusiones de la primera fase </w:t>
      </w:r>
      <w:r w:rsidR="00512B3B">
        <w:t>de este ejercicio de reflexión</w:t>
      </w:r>
      <w:r w:rsidR="00512B3B" w:rsidRPr="00EE67AB">
        <w:t xml:space="preserve">. </w:t>
      </w:r>
      <w:r w:rsidR="00512B3B">
        <w:t xml:space="preserve">Dicho </w:t>
      </w:r>
      <w:r w:rsidR="00512B3B" w:rsidRPr="00EE67AB">
        <w:t>retiro</w:t>
      </w:r>
      <w:r w:rsidR="00512B3B">
        <w:t xml:space="preserve"> constituyó</w:t>
      </w:r>
      <w:r w:rsidR="00512B3B" w:rsidRPr="00EE67AB">
        <w:t xml:space="preserve"> una oportunidad para seguir desarrollando la propuesta de valor de la UIT y determinar cómo </w:t>
      </w:r>
      <w:r w:rsidR="00512B3B">
        <w:t xml:space="preserve">puede </w:t>
      </w:r>
      <w:r w:rsidR="00512B3B" w:rsidRPr="00EE67AB">
        <w:t>encaja</w:t>
      </w:r>
      <w:r w:rsidR="00512B3B">
        <w:t>r</w:t>
      </w:r>
      <w:r w:rsidR="00512B3B" w:rsidRPr="00EE67AB">
        <w:t xml:space="preserve"> mejor </w:t>
      </w:r>
      <w:r w:rsidR="00512B3B">
        <w:t xml:space="preserve">la organización </w:t>
      </w:r>
      <w:r w:rsidR="00512B3B" w:rsidRPr="00EE67AB">
        <w:t>en este mundo impulsado por la tecnología</w:t>
      </w:r>
      <w:r w:rsidR="00512B3B">
        <w:t xml:space="preserve"> y en</w:t>
      </w:r>
      <w:r w:rsidR="00512B3B" w:rsidRPr="00EE67AB">
        <w:t xml:space="preserve"> rápida</w:t>
      </w:r>
      <w:r w:rsidR="00512B3B">
        <w:t xml:space="preserve"> evolución.</w:t>
      </w:r>
      <w:r w:rsidR="00512B3B" w:rsidRPr="00EE67AB">
        <w:t xml:space="preserve"> </w:t>
      </w:r>
      <w:r w:rsidR="00512B3B">
        <w:t>Los participantes definieron una serie de esfer</w:t>
      </w:r>
      <w:r w:rsidR="00512B3B" w:rsidRPr="00EE67AB">
        <w:t>as prioritarias para</w:t>
      </w:r>
      <w:r w:rsidR="00512B3B">
        <w:t xml:space="preserve"> convertir a</w:t>
      </w:r>
      <w:r w:rsidR="00512B3B" w:rsidRPr="00EE67AB">
        <w:t xml:space="preserve"> la </w:t>
      </w:r>
      <w:r w:rsidR="00512B3B">
        <w:t>Unión en un organismo</w:t>
      </w:r>
      <w:r w:rsidR="00512B3B" w:rsidRPr="00EE67AB">
        <w:t xml:space="preserve"> líder</w:t>
      </w:r>
      <w:r w:rsidR="00512B3B" w:rsidRPr="00FD3D19">
        <w:t xml:space="preserve"> </w:t>
      </w:r>
      <w:r w:rsidR="00512B3B">
        <w:t xml:space="preserve">en el ámbito </w:t>
      </w:r>
      <w:r w:rsidR="00512B3B" w:rsidRPr="00EE67AB">
        <w:t xml:space="preserve">digital. </w:t>
      </w:r>
    </w:p>
    <w:p w14:paraId="6B605E0E" w14:textId="77777777" w:rsidR="00512B3B" w:rsidRPr="00EE67AB" w:rsidRDefault="00512B3B" w:rsidP="00884C48">
      <w:pPr>
        <w:pStyle w:val="Headingb"/>
      </w:pPr>
      <w:r w:rsidRPr="00EE67AB">
        <w:t>Resultados</w:t>
      </w:r>
    </w:p>
    <w:p w14:paraId="6B0532EC" w14:textId="709F616C" w:rsidR="00512B3B" w:rsidRPr="00EE67AB" w:rsidRDefault="00884C48" w:rsidP="00884C48">
      <w:r>
        <w:t>1</w:t>
      </w:r>
      <w:r>
        <w:tab/>
      </w:r>
      <w:r w:rsidR="00512B3B">
        <w:t>Se ha considerado de forma</w:t>
      </w:r>
      <w:r w:rsidR="00512B3B" w:rsidRPr="00EE67AB">
        <w:t xml:space="preserve"> unánime que la UIT deb</w:t>
      </w:r>
      <w:r w:rsidR="00512B3B">
        <w:t>ería</w:t>
      </w:r>
      <w:r w:rsidR="00512B3B" w:rsidRPr="00EE67AB">
        <w:t xml:space="preserve"> centrarse en lograr la estabilidad financiera y la excelencia </w:t>
      </w:r>
      <w:r w:rsidR="00512B3B">
        <w:t>institucional</w:t>
      </w:r>
      <w:r w:rsidR="00512B3B" w:rsidRPr="00EE67AB">
        <w:t xml:space="preserve">, </w:t>
      </w:r>
      <w:r w:rsidR="00512B3B">
        <w:t>crear</w:t>
      </w:r>
      <w:r w:rsidR="00512B3B" w:rsidRPr="00EE67AB">
        <w:t xml:space="preserve"> confianza </w:t>
      </w:r>
      <w:r w:rsidR="00512B3B">
        <w:t>a nivel externo</w:t>
      </w:r>
      <w:r w:rsidR="00512B3B" w:rsidRPr="00EE67AB">
        <w:t xml:space="preserve">, </w:t>
      </w:r>
      <w:r w:rsidR="00512B3B">
        <w:t>afianzar su</w:t>
      </w:r>
      <w:r w:rsidR="00512B3B" w:rsidRPr="00EE67AB">
        <w:t xml:space="preserve"> compromiso con los jóvenes y reforzar </w:t>
      </w:r>
      <w:r w:rsidR="00512B3B">
        <w:t>su</w:t>
      </w:r>
      <w:r w:rsidR="00512B3B" w:rsidRPr="00EE67AB">
        <w:t xml:space="preserve"> papel en el futuro digital </w:t>
      </w:r>
      <w:r w:rsidR="00512B3B">
        <w:t>realizando</w:t>
      </w:r>
      <w:r w:rsidR="00512B3B" w:rsidRPr="00EE67AB">
        <w:t xml:space="preserve"> análisis prospectivo</w:t>
      </w:r>
      <w:r w:rsidR="00512B3B">
        <w:t>s</w:t>
      </w:r>
      <w:r w:rsidR="00512B3B" w:rsidRPr="00EE67AB">
        <w:t xml:space="preserve"> </w:t>
      </w:r>
      <w:r w:rsidR="00512B3B">
        <w:t xml:space="preserve">de </w:t>
      </w:r>
      <w:r w:rsidR="00512B3B" w:rsidRPr="00EE67AB">
        <w:t xml:space="preserve">tecnologías transformadoras </w:t>
      </w:r>
      <w:r w:rsidR="00512B3B">
        <w:t>capaces de ejercer repercusiones a escala</w:t>
      </w:r>
      <w:r w:rsidR="00512B3B" w:rsidRPr="00EE67AB">
        <w:t xml:space="preserve"> mundial y </w:t>
      </w:r>
      <w:r w:rsidR="00512B3B">
        <w:t>asumiendo el</w:t>
      </w:r>
      <w:r w:rsidR="00512B3B" w:rsidRPr="00EE67AB">
        <w:t xml:space="preserve"> liderazgo </w:t>
      </w:r>
      <w:r w:rsidR="00512B3B">
        <w:t>intelectual en esa esfera.</w:t>
      </w:r>
    </w:p>
    <w:p w14:paraId="417F810B" w14:textId="3D69B95A" w:rsidR="00512B3B" w:rsidRPr="00EE67AB" w:rsidRDefault="00884C48" w:rsidP="00884C48">
      <w:r>
        <w:lastRenderedPageBreak/>
        <w:t>2</w:t>
      </w:r>
      <w:r>
        <w:tab/>
      </w:r>
      <w:r w:rsidR="00512B3B">
        <w:t>Por encima de todo</w:t>
      </w:r>
      <w:r w:rsidR="00512B3B" w:rsidRPr="00EE67AB">
        <w:t xml:space="preserve">, el enfoque </w:t>
      </w:r>
      <w:r w:rsidR="00512B3B">
        <w:t xml:space="preserve">de </w:t>
      </w:r>
      <w:r>
        <w:t>"</w:t>
      </w:r>
      <w:r w:rsidR="00512B3B" w:rsidRPr="00EE67AB">
        <w:t>Una UIT</w:t>
      </w:r>
      <w:r>
        <w:t>"</w:t>
      </w:r>
      <w:r w:rsidR="00512B3B" w:rsidRPr="00EE67AB">
        <w:t xml:space="preserve"> deb</w:t>
      </w:r>
      <w:r w:rsidR="00512B3B">
        <w:t>ería</w:t>
      </w:r>
      <w:r w:rsidR="00512B3B" w:rsidRPr="00EE67AB">
        <w:t xml:space="preserve"> aplicarse en todos los aspectos del trabajo. </w:t>
      </w:r>
      <w:r w:rsidR="00512B3B">
        <w:t>En lo que respecta a</w:t>
      </w:r>
      <w:r w:rsidR="00512B3B" w:rsidRPr="00EE67AB">
        <w:t xml:space="preserve"> la ejecución sobre el terreno, </w:t>
      </w:r>
      <w:r w:rsidR="00512B3B">
        <w:t>conviene</w:t>
      </w:r>
      <w:r w:rsidR="00512B3B" w:rsidRPr="00EE67AB">
        <w:t xml:space="preserve"> fomentar la movilidad voluntaria a fin de aumentar la capacidad y garantizar la difusión de conocimientos en las oficinas sobre el terreno. A más largo plazo, </w:t>
      </w:r>
      <w:r w:rsidR="00512B3B">
        <w:t xml:space="preserve">conviene </w:t>
      </w:r>
      <w:r w:rsidR="00512B3B" w:rsidRPr="00EE67AB">
        <w:t>redefinir las estrategias y políticas de contratación para que todo</w:t>
      </w:r>
      <w:r w:rsidR="00512B3B">
        <w:t xml:space="preserve">s los </w:t>
      </w:r>
      <w:r w:rsidR="00512B3B" w:rsidRPr="002E13B4">
        <w:t>funcionarios de categoría profesional (P)</w:t>
      </w:r>
      <w:r w:rsidR="00512B3B">
        <w:t xml:space="preserve"> </w:t>
      </w:r>
      <w:r w:rsidR="00512B3B" w:rsidRPr="00EE67AB">
        <w:t>pueda</w:t>
      </w:r>
      <w:r w:rsidR="00512B3B">
        <w:t>n ser trasladados</w:t>
      </w:r>
      <w:r w:rsidR="00512B3B" w:rsidRPr="00EE67AB">
        <w:t xml:space="preserve"> a cualquier lugar de destino de la UIT en función de las necesidades de la organización.</w:t>
      </w:r>
    </w:p>
    <w:p w14:paraId="53865FD5" w14:textId="2A0DACEF" w:rsidR="00512B3B" w:rsidRPr="00EE67AB" w:rsidRDefault="00884C48" w:rsidP="00884C48">
      <w:r>
        <w:t>3</w:t>
      </w:r>
      <w:r>
        <w:tab/>
      </w:r>
      <w:r w:rsidR="00512B3B" w:rsidRPr="00EE67AB">
        <w:t xml:space="preserve">Todas estas conclusiones del ejercicio de </w:t>
      </w:r>
      <w:r w:rsidR="00512B3B">
        <w:t>reflexión</w:t>
      </w:r>
      <w:r w:rsidR="00512B3B" w:rsidRPr="00EE67AB">
        <w:t>, el retiro</w:t>
      </w:r>
      <w:r w:rsidR="00512B3B">
        <w:t xml:space="preserve"> del personal directivo</w:t>
      </w:r>
      <w:r w:rsidR="00512B3B" w:rsidRPr="00EE67AB">
        <w:t xml:space="preserve"> y la consulta </w:t>
      </w:r>
      <w:r w:rsidR="00512B3B">
        <w:t>evidencian</w:t>
      </w:r>
      <w:r w:rsidR="00512B3B" w:rsidRPr="00EE67AB">
        <w:t xml:space="preserve"> </w:t>
      </w:r>
      <w:r w:rsidR="00512B3B" w:rsidRPr="00EE67AB">
        <w:rPr>
          <w:b/>
          <w:bCs/>
        </w:rPr>
        <w:t xml:space="preserve">la necesidad de que la UIT se </w:t>
      </w:r>
      <w:r w:rsidR="00512B3B">
        <w:rPr>
          <w:b/>
          <w:bCs/>
        </w:rPr>
        <w:t>prepare</w:t>
      </w:r>
      <w:r w:rsidR="00512B3B" w:rsidRPr="00EE67AB">
        <w:rPr>
          <w:b/>
          <w:bCs/>
        </w:rPr>
        <w:t xml:space="preserve"> </w:t>
      </w:r>
      <w:r w:rsidR="00512B3B">
        <w:rPr>
          <w:b/>
          <w:bCs/>
        </w:rPr>
        <w:t>mejor para</w:t>
      </w:r>
      <w:r w:rsidR="00512B3B" w:rsidRPr="00EE67AB">
        <w:rPr>
          <w:b/>
          <w:bCs/>
        </w:rPr>
        <w:t xml:space="preserve"> los retos</w:t>
      </w:r>
      <w:r w:rsidR="00512B3B">
        <w:rPr>
          <w:b/>
          <w:bCs/>
        </w:rPr>
        <w:t xml:space="preserve"> presentes y futuros</w:t>
      </w:r>
      <w:r w:rsidR="00512B3B" w:rsidRPr="00EE67AB">
        <w:t xml:space="preserve">. </w:t>
      </w:r>
    </w:p>
    <w:p w14:paraId="65174A3D" w14:textId="227DDF53" w:rsidR="00512B3B" w:rsidRPr="00EE67AB" w:rsidRDefault="00884C48" w:rsidP="00884C48">
      <w:r>
        <w:t>4</w:t>
      </w:r>
      <w:r>
        <w:tab/>
      </w:r>
      <w:r w:rsidR="00512B3B" w:rsidRPr="00EE67AB">
        <w:t>La U</w:t>
      </w:r>
      <w:r w:rsidR="00512B3B">
        <w:t>nión</w:t>
      </w:r>
      <w:r w:rsidR="00512B3B" w:rsidRPr="00EE67AB">
        <w:t xml:space="preserve"> tiene que adelantarse a los acontecimientos. Seguir como hasta ahora no es una opción. La</w:t>
      </w:r>
      <w:r w:rsidR="00512B3B">
        <w:t xml:space="preserve"> organización ha de cambiar su forma de</w:t>
      </w:r>
      <w:r w:rsidR="00512B3B" w:rsidRPr="00EE67AB">
        <w:t xml:space="preserve"> pensa</w:t>
      </w:r>
      <w:r w:rsidR="00512B3B">
        <w:t>r</w:t>
      </w:r>
      <w:r w:rsidR="00512B3B" w:rsidRPr="00EE67AB">
        <w:t>, planifica</w:t>
      </w:r>
      <w:r w:rsidR="00512B3B">
        <w:t>r</w:t>
      </w:r>
      <w:r w:rsidR="00512B3B" w:rsidRPr="00EE67AB">
        <w:t>, ejecuta</w:t>
      </w:r>
      <w:r w:rsidR="00512B3B">
        <w:t>r</w:t>
      </w:r>
      <w:r w:rsidR="00512B3B" w:rsidRPr="00EE67AB">
        <w:t xml:space="preserve"> y dirig</w:t>
      </w:r>
      <w:r w:rsidR="00512B3B">
        <w:t>ir, para ser quien guíe</w:t>
      </w:r>
      <w:r w:rsidR="00512B3B" w:rsidRPr="00EE67AB">
        <w:t xml:space="preserve"> al mundo hacia el futuro digital. </w:t>
      </w:r>
    </w:p>
    <w:p w14:paraId="4987FA86" w14:textId="14990183" w:rsidR="00512B3B" w:rsidRPr="00EE67AB" w:rsidRDefault="00884C48" w:rsidP="00884C48">
      <w:r>
        <w:t>5</w:t>
      </w:r>
      <w:r>
        <w:tab/>
      </w:r>
      <w:r w:rsidR="00512B3B" w:rsidRPr="00EE67AB">
        <w:t xml:space="preserve">Existe un plan basado en los tres pilares del ejercicio de </w:t>
      </w:r>
      <w:r w:rsidR="00512B3B">
        <w:t>reflexión y acorde</w:t>
      </w:r>
      <w:r w:rsidR="00512B3B" w:rsidRPr="00EE67AB">
        <w:t xml:space="preserve"> </w:t>
      </w:r>
      <w:r w:rsidR="00512B3B">
        <w:t>a</w:t>
      </w:r>
      <w:r w:rsidR="00512B3B" w:rsidRPr="00EE67AB">
        <w:t>l Plan Estratégico para 2024-2027 y las orientaciones recibidas de la PP-22.</w:t>
      </w:r>
    </w:p>
    <w:p w14:paraId="00A2C3E5" w14:textId="2B0115F7" w:rsidR="00512B3B" w:rsidRPr="00EE67AB" w:rsidRDefault="00884C48" w:rsidP="00884C48">
      <w:r>
        <w:t>6</w:t>
      </w:r>
      <w:r>
        <w:tab/>
      </w:r>
      <w:r w:rsidR="00512B3B" w:rsidRPr="00EE67AB">
        <w:t>Los trabajos se han clasificado en internos y externos a corto y medio plazo (2023</w:t>
      </w:r>
      <w:r>
        <w:noBreakHyphen/>
      </w:r>
      <w:r w:rsidR="00512B3B" w:rsidRPr="00EE67AB">
        <w:t xml:space="preserve">2024). </w:t>
      </w:r>
    </w:p>
    <w:p w14:paraId="7F41DA2A" w14:textId="77777777" w:rsidR="00512B3B" w:rsidRPr="00EE67AB" w:rsidRDefault="00512B3B" w:rsidP="00884C48">
      <w:pPr>
        <w:pStyle w:val="Headingb"/>
      </w:pPr>
      <w:r w:rsidRPr="00EE67AB">
        <w:t>Próximos pasos</w:t>
      </w:r>
    </w:p>
    <w:p w14:paraId="1C5B8362" w14:textId="1316E9EE" w:rsidR="00512B3B" w:rsidRPr="00EE67AB" w:rsidRDefault="00884C48" w:rsidP="00884C48">
      <w:r>
        <w:t>1</w:t>
      </w:r>
      <w:r>
        <w:tab/>
      </w:r>
      <w:r w:rsidR="00512B3B" w:rsidRPr="002E13B4">
        <w:t>Los</w:t>
      </w:r>
      <w:r w:rsidR="00512B3B" w:rsidRPr="00EE67AB">
        <w:rPr>
          <w:b/>
          <w:bCs/>
        </w:rPr>
        <w:t xml:space="preserve"> esfuerzos internos </w:t>
      </w:r>
      <w:r w:rsidR="00512B3B" w:rsidRPr="00EE67AB">
        <w:t xml:space="preserve">se centrarán en el tercer </w:t>
      </w:r>
      <w:r w:rsidR="00512B3B" w:rsidRPr="002E13B4">
        <w:t>pilar, la</w:t>
      </w:r>
      <w:r w:rsidR="00512B3B" w:rsidRPr="00EE67AB">
        <w:rPr>
          <w:b/>
          <w:bCs/>
        </w:rPr>
        <w:t xml:space="preserve"> excelencia </w:t>
      </w:r>
      <w:r w:rsidR="00512B3B">
        <w:rPr>
          <w:b/>
          <w:bCs/>
        </w:rPr>
        <w:t>institucional</w:t>
      </w:r>
      <w:r w:rsidR="00512B3B" w:rsidRPr="00EE67AB">
        <w:t xml:space="preserve">. </w:t>
      </w:r>
      <w:r w:rsidR="00512B3B">
        <w:t xml:space="preserve">Los argumentos en favor del cambio a nivel interno </w:t>
      </w:r>
      <w:r w:rsidR="00512B3B" w:rsidRPr="00EE67AB">
        <w:t>presentado</w:t>
      </w:r>
      <w:r w:rsidR="00512B3B">
        <w:t>s</w:t>
      </w:r>
      <w:r w:rsidR="00512B3B" w:rsidRPr="00EE67AB">
        <w:t xml:space="preserve"> al Consejo de la UIT </w:t>
      </w:r>
      <w:r w:rsidR="00512B3B">
        <w:t>trazan</w:t>
      </w:r>
      <w:r w:rsidR="00512B3B" w:rsidRPr="00EE67AB">
        <w:t xml:space="preserve"> una hoja de ruta </w:t>
      </w:r>
      <w:r w:rsidR="00512B3B">
        <w:t>para la</w:t>
      </w:r>
      <w:r w:rsidR="00512B3B" w:rsidRPr="00EE67AB">
        <w:t xml:space="preserve"> transformación</w:t>
      </w:r>
      <w:r w:rsidR="00512B3B">
        <w:t>, cuyo objetivo es</w:t>
      </w:r>
      <w:r w:rsidR="00512B3B" w:rsidRPr="00EE67AB">
        <w:t xml:space="preserve"> alcanzar la excelencia </w:t>
      </w:r>
      <w:r w:rsidR="00512B3B">
        <w:t>institucional</w:t>
      </w:r>
      <w:r w:rsidR="00512B3B" w:rsidRPr="00EE67AB">
        <w:t xml:space="preserve"> (</w:t>
      </w:r>
      <w:hyperlink r:id="rId11" w:history="1">
        <w:r w:rsidR="00512B3B" w:rsidRPr="00EE67AB">
          <w:rPr>
            <w:rStyle w:val="Hyperlink"/>
          </w:rPr>
          <w:t>C23/52</w:t>
        </w:r>
      </w:hyperlink>
      <w:r w:rsidR="00512B3B" w:rsidRPr="00EE67AB">
        <w:t xml:space="preserve">) </w:t>
      </w:r>
      <w:r w:rsidR="00512B3B">
        <w:t>otorgando prioridad a</w:t>
      </w:r>
      <w:r w:rsidR="00512B3B" w:rsidRPr="00EE67AB">
        <w:t xml:space="preserve">: </w:t>
      </w:r>
    </w:p>
    <w:p w14:paraId="7DCC0ADC" w14:textId="578E42D3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 w:rsidRPr="00EE67AB">
        <w:t>las personas y la cultura;</w:t>
      </w:r>
    </w:p>
    <w:p w14:paraId="17C985F9" w14:textId="19BC43D7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>
        <w:t xml:space="preserve">la </w:t>
      </w:r>
      <w:r w:rsidR="00512B3B" w:rsidRPr="00EE67AB">
        <w:t>gestión y</w:t>
      </w:r>
      <w:r w:rsidR="00512B3B">
        <w:t xml:space="preserve"> la</w:t>
      </w:r>
      <w:r w:rsidR="00512B3B" w:rsidRPr="00EE67AB">
        <w:t xml:space="preserve"> planificación financieras;</w:t>
      </w:r>
    </w:p>
    <w:p w14:paraId="2925523D" w14:textId="58BFF035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>
        <w:t xml:space="preserve">los </w:t>
      </w:r>
      <w:r w:rsidR="00512B3B" w:rsidRPr="00EE67AB">
        <w:t>sistemas,</w:t>
      </w:r>
      <w:r w:rsidR="00512B3B">
        <w:t xml:space="preserve"> los</w:t>
      </w:r>
      <w:r w:rsidR="00512B3B" w:rsidRPr="00EE67AB">
        <w:t xml:space="preserve"> procesos y </w:t>
      </w:r>
      <w:r w:rsidR="00512B3B">
        <w:t xml:space="preserve">las </w:t>
      </w:r>
      <w:r w:rsidR="00512B3B" w:rsidRPr="00EE67AB">
        <w:t>herramientas; y</w:t>
      </w:r>
    </w:p>
    <w:p w14:paraId="17D0AB28" w14:textId="7D443B20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>
        <w:t xml:space="preserve">la </w:t>
      </w:r>
      <w:r w:rsidR="00512B3B" w:rsidRPr="00EE67AB">
        <w:t xml:space="preserve">supervisión, </w:t>
      </w:r>
      <w:r w:rsidR="00512B3B">
        <w:t xml:space="preserve">los </w:t>
      </w:r>
      <w:r w:rsidR="00512B3B" w:rsidRPr="00EE67AB">
        <w:t>controles internos y</w:t>
      </w:r>
      <w:r w:rsidR="00512B3B">
        <w:t xml:space="preserve"> la</w:t>
      </w:r>
      <w:r w:rsidR="00512B3B" w:rsidRPr="00EE67AB">
        <w:t xml:space="preserve"> gobernanza.</w:t>
      </w:r>
    </w:p>
    <w:p w14:paraId="3B42CB77" w14:textId="66D1EB86" w:rsidR="00512B3B" w:rsidRPr="00EE67AB" w:rsidRDefault="00884C48" w:rsidP="00884C48">
      <w:r>
        <w:t>2</w:t>
      </w:r>
      <w:r>
        <w:tab/>
      </w:r>
      <w:r w:rsidR="00512B3B" w:rsidRPr="00EE67AB">
        <w:t xml:space="preserve">También se ha empezado a prestar más atención a la capacidad de ejecución del personal con la introducción de los laboratorios de aprendizaje (formación </w:t>
      </w:r>
      <w:r w:rsidR="00512B3B">
        <w:t>práctica</w:t>
      </w:r>
      <w:r w:rsidR="00512B3B" w:rsidRPr="00EE67AB">
        <w:t xml:space="preserve"> y continua para </w:t>
      </w:r>
      <w:r w:rsidR="00512B3B">
        <w:t>los funcionarios</w:t>
      </w:r>
      <w:r w:rsidR="00512B3B" w:rsidRPr="00EE67AB">
        <w:t xml:space="preserve">) y el programa </w:t>
      </w:r>
      <w:r w:rsidR="00512B3B">
        <w:t>de promotores del cambio</w:t>
      </w:r>
      <w:r w:rsidR="00512B3B" w:rsidRPr="00EE67AB">
        <w:t xml:space="preserve"> (que utiliza las conclusiones del ejercicio de </w:t>
      </w:r>
      <w:r w:rsidR="00512B3B">
        <w:t>reflexión</w:t>
      </w:r>
      <w:r w:rsidR="00512B3B" w:rsidRPr="00EE67AB">
        <w:t xml:space="preserve"> como estudios de casos). </w:t>
      </w:r>
    </w:p>
    <w:p w14:paraId="0C8454F9" w14:textId="64CFAC92" w:rsidR="00512B3B" w:rsidRDefault="00884C48" w:rsidP="00884C48">
      <w:r>
        <w:t>3</w:t>
      </w:r>
      <w:r>
        <w:tab/>
      </w:r>
      <w:r w:rsidR="00512B3B" w:rsidRPr="000A525C">
        <w:t xml:space="preserve">Al </w:t>
      </w:r>
      <w:r w:rsidR="00512B3B">
        <w:t>término de esta andadura</w:t>
      </w:r>
      <w:r w:rsidR="00512B3B" w:rsidRPr="000A525C">
        <w:t>, la UIT de 2027 debería</w:t>
      </w:r>
      <w:r w:rsidR="00512B3B">
        <w:t xml:space="preserve"> haber mejorado su forma de trabajar, situándose así en l</w:t>
      </w:r>
      <w:r w:rsidR="00512B3B" w:rsidRPr="000A525C">
        <w:t>a posición adecuada para ofrecer un mayor valor en los dos primeros pilares. Tod</w:t>
      </w:r>
      <w:r w:rsidR="00512B3B">
        <w:t xml:space="preserve">as las medidas adoptadas a nivel </w:t>
      </w:r>
      <w:r w:rsidR="00512B3B" w:rsidRPr="000A525C">
        <w:t>intern</w:t>
      </w:r>
      <w:r w:rsidR="00512B3B">
        <w:t>o obran en favor de la capacidad de</w:t>
      </w:r>
      <w:r w:rsidR="00512B3B" w:rsidRPr="000A525C">
        <w:t xml:space="preserve"> liderazgo intelectual y</w:t>
      </w:r>
      <w:r w:rsidR="00512B3B">
        <w:t xml:space="preserve"> la oferta de</w:t>
      </w:r>
      <w:r w:rsidR="00512B3B" w:rsidRPr="000A525C">
        <w:t xml:space="preserve"> valor a los miembros y socios</w:t>
      </w:r>
      <w:r w:rsidR="00512B3B">
        <w:t xml:space="preserve"> de la organización</w:t>
      </w:r>
      <w:r w:rsidR="00512B3B" w:rsidRPr="000A525C">
        <w:t xml:space="preserve"> como </w:t>
      </w:r>
      <w:r>
        <w:t>"</w:t>
      </w:r>
      <w:r w:rsidR="00512B3B" w:rsidRPr="000A525C">
        <w:t>Una UIT</w:t>
      </w:r>
      <w:r>
        <w:t>"</w:t>
      </w:r>
      <w:r w:rsidR="00512B3B" w:rsidRPr="000A525C">
        <w:t xml:space="preserve">. </w:t>
      </w:r>
    </w:p>
    <w:p w14:paraId="4BBC8589" w14:textId="6F54BAA9" w:rsidR="00512B3B" w:rsidRPr="00DC0DAE" w:rsidRDefault="00884C48" w:rsidP="00884C48">
      <w:r>
        <w:t>4</w:t>
      </w:r>
      <w:r>
        <w:tab/>
      </w:r>
      <w:r w:rsidR="00512B3B" w:rsidRPr="00DC0DAE">
        <w:t>Los</w:t>
      </w:r>
      <w:r w:rsidR="00512B3B" w:rsidRPr="000A525C">
        <w:rPr>
          <w:b/>
          <w:bCs/>
        </w:rPr>
        <w:t xml:space="preserve"> esfuerzos externos </w:t>
      </w:r>
      <w:r w:rsidR="00512B3B" w:rsidRPr="000A525C">
        <w:t xml:space="preserve">se centran en los dos primeros pilares: </w:t>
      </w:r>
      <w:r w:rsidR="00512B3B">
        <w:t>l</w:t>
      </w:r>
      <w:r w:rsidR="00512B3B" w:rsidRPr="00DC0DAE">
        <w:t>iderazgo intelectual</w:t>
      </w:r>
      <w:r w:rsidR="00512B3B">
        <w:t xml:space="preserve"> y a</w:t>
      </w:r>
      <w:r w:rsidR="00512B3B" w:rsidRPr="00DC0DAE">
        <w:t xml:space="preserve">sociaciones estratégicas y participación de los miembros. </w:t>
      </w:r>
    </w:p>
    <w:p w14:paraId="1A5BB1A3" w14:textId="64317C3A" w:rsidR="00512B3B" w:rsidRPr="00EE67AB" w:rsidRDefault="00884C48" w:rsidP="00884C48">
      <w:r>
        <w:t>5</w:t>
      </w:r>
      <w:r>
        <w:tab/>
      </w:r>
      <w:r w:rsidR="00512B3B">
        <w:t>La primera iniciativa relacionada con e</w:t>
      </w:r>
      <w:r w:rsidR="00512B3B" w:rsidRPr="00EE67AB">
        <w:t xml:space="preserve">l pilar 1 </w:t>
      </w:r>
      <w:r w:rsidR="00512B3B">
        <w:t>es</w:t>
      </w:r>
      <w:r w:rsidR="00512B3B" w:rsidRPr="00EE67AB">
        <w:t xml:space="preserve"> un observatorio de tendencias emergentes</w:t>
      </w:r>
      <w:r w:rsidR="00512B3B">
        <w:t>, articulado en torno a cuatro ejes</w:t>
      </w:r>
      <w:r w:rsidR="00512B3B" w:rsidRPr="00EE67AB">
        <w:t xml:space="preserve">: </w:t>
      </w:r>
      <w:r w:rsidR="00512B3B" w:rsidRPr="00EE67AB">
        <w:rPr>
          <w:i/>
          <w:iCs/>
        </w:rPr>
        <w:t xml:space="preserve">Visión de futuro </w:t>
      </w:r>
      <w:r w:rsidR="00512B3B" w:rsidRPr="00EE67AB">
        <w:t xml:space="preserve">(tendencias emergentes), </w:t>
      </w:r>
      <w:r w:rsidR="00512B3B" w:rsidRPr="00EE67AB">
        <w:rPr>
          <w:i/>
          <w:iCs/>
        </w:rPr>
        <w:t>Desmitificación de l</w:t>
      </w:r>
      <w:r w:rsidR="00512B3B">
        <w:rPr>
          <w:i/>
          <w:iCs/>
        </w:rPr>
        <w:t>a tecnología</w:t>
      </w:r>
      <w:r w:rsidR="00512B3B" w:rsidRPr="00EE67AB">
        <w:rPr>
          <w:i/>
          <w:iCs/>
        </w:rPr>
        <w:t xml:space="preserve"> digital </w:t>
      </w:r>
      <w:r w:rsidR="00512B3B" w:rsidRPr="00EE67AB">
        <w:t xml:space="preserve">(participación de la comunidad diplomática en temas como la inteligencia artificial, el metaverso, ITU 101, etc.), </w:t>
      </w:r>
      <w:r w:rsidR="00512B3B" w:rsidRPr="00EE67AB">
        <w:rPr>
          <w:i/>
          <w:iCs/>
        </w:rPr>
        <w:t xml:space="preserve">Laboratorios de aprendizaje </w:t>
      </w:r>
      <w:r w:rsidR="00512B3B" w:rsidRPr="00EE67AB">
        <w:t xml:space="preserve">y </w:t>
      </w:r>
      <w:r w:rsidR="00512B3B" w:rsidRPr="00EE67AB">
        <w:rPr>
          <w:i/>
          <w:iCs/>
        </w:rPr>
        <w:t xml:space="preserve">Red </w:t>
      </w:r>
      <w:r w:rsidR="00512B3B" w:rsidRPr="00EE67AB">
        <w:rPr>
          <w:i/>
          <w:iCs/>
        </w:rPr>
        <w:lastRenderedPageBreak/>
        <w:t xml:space="preserve">académica de amigos de la UIT </w:t>
      </w:r>
      <w:r w:rsidR="00512B3B" w:rsidRPr="00EE67AB">
        <w:t xml:space="preserve">(para prestar apoyo con libros blancos, sprints de investigación, artículos de reflexión, etc.). </w:t>
      </w:r>
    </w:p>
    <w:p w14:paraId="4ABA7E06" w14:textId="5C32D6D3" w:rsidR="00512B3B" w:rsidRPr="00EE67AB" w:rsidRDefault="00884C48" w:rsidP="00884C48">
      <w:r>
        <w:t>6</w:t>
      </w:r>
      <w:r>
        <w:tab/>
      </w:r>
      <w:r w:rsidR="00512B3B" w:rsidRPr="00EE67AB">
        <w:t xml:space="preserve">Mientras tanto, continúan las reuniones informativas con los embajadores y otros miembros de la comunidad diplomática y se están organizando </w:t>
      </w:r>
      <w:r w:rsidR="00512B3B">
        <w:t>encuentros</w:t>
      </w:r>
      <w:r w:rsidR="00512B3B" w:rsidRPr="00EE67AB">
        <w:t xml:space="preserve"> con la industria (por ejemplo, durante el </w:t>
      </w:r>
      <w:r w:rsidR="00512B3B" w:rsidRPr="00210C13">
        <w:rPr>
          <w:i/>
          <w:iCs/>
          <w:lang w:val="es-ES"/>
        </w:rPr>
        <w:t>Mobile World Congress</w:t>
      </w:r>
      <w:r w:rsidR="00512B3B" w:rsidRPr="00210C13">
        <w:rPr>
          <w:lang w:val="es-ES"/>
        </w:rPr>
        <w:t xml:space="preserve"> de</w:t>
      </w:r>
      <w:r w:rsidR="00512B3B" w:rsidRPr="00EE67AB">
        <w:t xml:space="preserve"> 2023, </w:t>
      </w:r>
      <w:r w:rsidR="00512B3B">
        <w:t>en paralelo a</w:t>
      </w:r>
      <w:r w:rsidR="00512B3B" w:rsidRPr="00EE67AB">
        <w:t xml:space="preserve"> la Reunión Preparatoria de la Conferencia Mundial de Radiocomunicaciones</w:t>
      </w:r>
      <w:r w:rsidR="00512B3B">
        <w:t xml:space="preserve"> de</w:t>
      </w:r>
      <w:r w:rsidR="00512B3B" w:rsidRPr="00EE67AB">
        <w:t xml:space="preserve"> 2023, etc.) </w:t>
      </w:r>
      <w:r w:rsidR="00512B3B">
        <w:t>para abordar cuestiones</w:t>
      </w:r>
      <w:r w:rsidR="00512B3B" w:rsidRPr="00EE67AB">
        <w:t xml:space="preserve"> identificadas como prioritarias. </w:t>
      </w:r>
    </w:p>
    <w:p w14:paraId="6F8194C7" w14:textId="716BFC58" w:rsidR="00512B3B" w:rsidRPr="00EE67AB" w:rsidRDefault="00884C48" w:rsidP="00884C48">
      <w:r>
        <w:t>7</w:t>
      </w:r>
      <w:r>
        <w:tab/>
      </w:r>
      <w:r w:rsidR="00512B3B">
        <w:t>Se dará continuidad a aquellos eventos</w:t>
      </w:r>
      <w:r w:rsidR="00512B3B" w:rsidRPr="00EE67AB">
        <w:t xml:space="preserve"> </w:t>
      </w:r>
      <w:r w:rsidR="00512B3B">
        <w:t>e</w:t>
      </w:r>
      <w:r w:rsidR="00512B3B" w:rsidRPr="00EE67AB">
        <w:t xml:space="preserve"> iniciativas emblemáticos que </w:t>
      </w:r>
      <w:r w:rsidR="00512B3B">
        <w:t xml:space="preserve">situarán </w:t>
      </w:r>
      <w:r w:rsidR="00512B3B" w:rsidRPr="00EE67AB">
        <w:t xml:space="preserve">a la UIT </w:t>
      </w:r>
      <w:r w:rsidR="00512B3B">
        <w:t>en</w:t>
      </w:r>
      <w:r w:rsidR="00512B3B" w:rsidRPr="00EE67AB">
        <w:t xml:space="preserve"> una posición más estratégica, como</w:t>
      </w:r>
      <w:r w:rsidR="00512B3B">
        <w:t xml:space="preserve"> la cumbre</w:t>
      </w:r>
      <w:r w:rsidR="00512B3B" w:rsidRPr="00EE67AB">
        <w:t xml:space="preserve"> AI for Good, </w:t>
      </w:r>
      <w:r w:rsidR="00512B3B">
        <w:t xml:space="preserve">la colación </w:t>
      </w:r>
      <w:r w:rsidR="00512B3B" w:rsidRPr="00EE67AB">
        <w:t xml:space="preserve">Partner2Connect, </w:t>
      </w:r>
      <w:r w:rsidR="00512B3B" w:rsidRPr="00DB24BD">
        <w:t>la Jornada Digital de los ODS</w:t>
      </w:r>
      <w:r w:rsidR="00512B3B" w:rsidRPr="00EE67AB">
        <w:t>, el GSR, el Foro de la CMSI, el Día de las Niñas en las TIC y el Día</w:t>
      </w:r>
      <w:r w:rsidR="006C6320">
        <w:t> </w:t>
      </w:r>
      <w:r w:rsidR="00512B3B" w:rsidRPr="00EE67AB">
        <w:t xml:space="preserve">Digital </w:t>
      </w:r>
      <w:r w:rsidR="00512B3B">
        <w:t>organizado durante</w:t>
      </w:r>
      <w:r w:rsidR="00512B3B" w:rsidRPr="00DB24BD">
        <w:t xml:space="preserve"> la 28ª Conferencia de las Partes</w:t>
      </w:r>
      <w:r w:rsidR="00512B3B" w:rsidRPr="00EE67AB">
        <w:t xml:space="preserve">. </w:t>
      </w:r>
    </w:p>
    <w:p w14:paraId="59358603" w14:textId="620CD52F" w:rsidR="00512B3B" w:rsidRPr="00D93DF9" w:rsidRDefault="00884C48" w:rsidP="00884C48">
      <w:r>
        <w:t>8</w:t>
      </w:r>
      <w:r>
        <w:tab/>
      </w:r>
      <w:r w:rsidR="00512B3B" w:rsidRPr="00D93DF9">
        <w:t xml:space="preserve">En cuanto a las asociaciones estratégicas y la participación de los miembros, las medidas adoptadas desde la PP-22 se han basado en la Decisión 5, a fin de elaborar </w:t>
      </w:r>
      <w:r w:rsidR="00512B3B" w:rsidRPr="00D93DF9">
        <w:rPr>
          <w:lang w:val="es-ES" w:eastAsia="zh-CN"/>
        </w:rPr>
        <w:t>una estrategia de movilización de recursos financieros a escala de toda la UIT para atender la necesidad de financiación adicional destinada a cumplir las prioridades institucionales</w:t>
      </w:r>
      <w:r w:rsidR="00512B3B">
        <w:rPr>
          <w:lang w:val="es-ES" w:eastAsia="zh-CN"/>
        </w:rPr>
        <w:t xml:space="preserve"> </w:t>
      </w:r>
      <w:r w:rsidR="00512B3B" w:rsidRPr="00D93DF9">
        <w:t>(</w:t>
      </w:r>
      <w:r w:rsidR="00512B3B">
        <w:t xml:space="preserve">véase el documento </w:t>
      </w:r>
      <w:hyperlink r:id="rId12" w:history="1">
        <w:r w:rsidR="00512B3B" w:rsidRPr="00D93DF9">
          <w:rPr>
            <w:rStyle w:val="Hyperlink"/>
          </w:rPr>
          <w:t>C23/62</w:t>
        </w:r>
      </w:hyperlink>
      <w:r w:rsidR="00512B3B" w:rsidRPr="00D93DF9">
        <w:t xml:space="preserve">). </w:t>
      </w:r>
      <w:r w:rsidR="00512B3B">
        <w:t>De acuerdo con</w:t>
      </w:r>
      <w:r w:rsidR="00512B3B" w:rsidRPr="00D93DF9">
        <w:t xml:space="preserve"> los resultados del ejercicio de </w:t>
      </w:r>
      <w:r w:rsidR="00512B3B">
        <w:t xml:space="preserve">reflexión, así como con </w:t>
      </w:r>
      <w:r w:rsidR="00512B3B" w:rsidRPr="00D93DF9">
        <w:t>los debates celebrados posterior</w:t>
      </w:r>
      <w:r w:rsidR="00512B3B">
        <w:t>mente</w:t>
      </w:r>
      <w:r w:rsidR="00512B3B" w:rsidRPr="00D93DF9">
        <w:t xml:space="preserve"> </w:t>
      </w:r>
      <w:r w:rsidR="00512B3B">
        <w:t>durante</w:t>
      </w:r>
      <w:r w:rsidR="00512B3B" w:rsidRPr="00D93DF9">
        <w:t xml:space="preserve"> el retiro de</w:t>
      </w:r>
      <w:r w:rsidR="00512B3B">
        <w:t>l personal</w:t>
      </w:r>
      <w:r w:rsidR="00512B3B" w:rsidRPr="00D93DF9">
        <w:t xml:space="preserve"> directivo en febrero, la UIT contrató a</w:t>
      </w:r>
      <w:r w:rsidR="00512B3B">
        <w:t xml:space="preserve"> la empresa</w:t>
      </w:r>
      <w:r w:rsidR="00512B3B" w:rsidRPr="00D93DF9">
        <w:t xml:space="preserve"> Boston Consulting Group (BCG), que ha sentado las bases para el desarrollo de la estrategia de asociación y movilización de recursos de la UIT</w:t>
      </w:r>
      <w:r w:rsidR="00512B3B" w:rsidRPr="000478DC">
        <w:t xml:space="preserve"> </w:t>
      </w:r>
      <w:r w:rsidR="00512B3B">
        <w:t>a título gratuito</w:t>
      </w:r>
      <w:r w:rsidR="00512B3B" w:rsidRPr="00D93DF9">
        <w:t>.</w:t>
      </w:r>
    </w:p>
    <w:p w14:paraId="7562F455" w14:textId="4878B271" w:rsidR="00512B3B" w:rsidRPr="00EE67AB" w:rsidRDefault="00884C48" w:rsidP="00884C48">
      <w:r>
        <w:t>9</w:t>
      </w:r>
      <w:r>
        <w:tab/>
      </w:r>
      <w:r w:rsidR="00512B3B" w:rsidRPr="00EE67AB">
        <w:t>E</w:t>
      </w:r>
      <w:r w:rsidR="00512B3B">
        <w:t>n el marco de su labor,</w:t>
      </w:r>
      <w:r w:rsidR="00512B3B" w:rsidRPr="00EE67AB">
        <w:t xml:space="preserve"> BCG</w:t>
      </w:r>
      <w:r w:rsidR="00512B3B">
        <w:t xml:space="preserve"> celebró</w:t>
      </w:r>
      <w:r w:rsidR="00512B3B" w:rsidRPr="00EE67AB">
        <w:t xml:space="preserve"> entrevistas con 44 partes interesadas externas, incluidos Estados Miembros y Miembros de Sector, </w:t>
      </w:r>
      <w:r w:rsidR="00512B3B">
        <w:t>así como con</w:t>
      </w:r>
      <w:r w:rsidR="00512B3B" w:rsidRPr="00EE67AB">
        <w:t xml:space="preserve"> más de 30 colegas de la UIT, y </w:t>
      </w:r>
      <w:r w:rsidR="00512B3B">
        <w:t>facilitó</w:t>
      </w:r>
      <w:r w:rsidR="00512B3B" w:rsidRPr="00EE67AB">
        <w:t>:</w:t>
      </w:r>
    </w:p>
    <w:p w14:paraId="70445983" w14:textId="330EED48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 w:rsidRPr="00EE67AB">
        <w:t xml:space="preserve">una evaluación de referencia </w:t>
      </w:r>
      <w:r w:rsidR="00512B3B">
        <w:t>del estado de</w:t>
      </w:r>
      <w:r w:rsidR="00512B3B" w:rsidRPr="00EE67AB">
        <w:t xml:space="preserve"> financiación de la UIT y </w:t>
      </w:r>
      <w:r w:rsidR="00512B3B">
        <w:t>una</w:t>
      </w:r>
      <w:r w:rsidR="00512B3B" w:rsidRPr="00EE67AB">
        <w:t xml:space="preserve"> comparación </w:t>
      </w:r>
      <w:r w:rsidR="00512B3B">
        <w:t>del mismo con el de</w:t>
      </w:r>
      <w:r w:rsidR="00512B3B" w:rsidRPr="00EE67AB">
        <w:t xml:space="preserve"> otros organismos de las Naciones Unidas;</w:t>
      </w:r>
    </w:p>
    <w:p w14:paraId="092AE184" w14:textId="63E8B197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 w:rsidRPr="00EE67AB">
        <w:t>una evaluación de los puntos fuertes de la UIT</w:t>
      </w:r>
      <w:r w:rsidR="00512B3B">
        <w:t>,</w:t>
      </w:r>
      <w:r w:rsidR="00512B3B" w:rsidRPr="00EE67AB">
        <w:t xml:space="preserve"> en los que debería basar</w:t>
      </w:r>
      <w:r w:rsidR="00512B3B">
        <w:t>se</w:t>
      </w:r>
      <w:r w:rsidR="00512B3B" w:rsidRPr="00EE67AB">
        <w:t xml:space="preserve"> su estrategia de asociación y movilización de recursos; y</w:t>
      </w:r>
    </w:p>
    <w:p w14:paraId="4D1A4039" w14:textId="0ABCB8D8" w:rsidR="00512B3B" w:rsidRPr="00EE67AB" w:rsidRDefault="00884C48" w:rsidP="00884C48">
      <w:pPr>
        <w:pStyle w:val="enumlev1"/>
      </w:pPr>
      <w:r w:rsidRPr="00884C48">
        <w:t>•</w:t>
      </w:r>
      <w:r>
        <w:tab/>
      </w:r>
      <w:r w:rsidR="00512B3B">
        <w:t xml:space="preserve">una relación de </w:t>
      </w:r>
      <w:r w:rsidR="00512B3B" w:rsidRPr="00EE67AB">
        <w:t xml:space="preserve">posibles </w:t>
      </w:r>
      <w:r w:rsidR="00512B3B">
        <w:t>vectores</w:t>
      </w:r>
      <w:r w:rsidR="00512B3B" w:rsidRPr="00EE67AB">
        <w:t xml:space="preserve"> clave </w:t>
      </w:r>
      <w:r w:rsidR="00512B3B">
        <w:t>para la</w:t>
      </w:r>
      <w:r w:rsidR="00512B3B" w:rsidRPr="00EE67AB">
        <w:t xml:space="preserve"> movilización de recursos</w:t>
      </w:r>
      <w:r w:rsidR="00512B3B">
        <w:t>, capaces de</w:t>
      </w:r>
      <w:r w:rsidR="00512B3B" w:rsidRPr="00EE67AB">
        <w:t xml:space="preserve"> aumentar los flujos de financiación de la UIT, junto con una lista de </w:t>
      </w:r>
      <w:r w:rsidR="00512B3B">
        <w:t>medidas concretas de cara al futuro.</w:t>
      </w:r>
    </w:p>
    <w:p w14:paraId="3FD85730" w14:textId="6EA6AAB5" w:rsidR="00927F93" w:rsidRDefault="00512B3B" w:rsidP="00884C48">
      <w:pPr>
        <w:rPr>
          <w:rFonts w:asciiTheme="minorHAnsi" w:hAnsiTheme="minorHAnsi" w:cstheme="minorHAnsi"/>
        </w:rPr>
      </w:pPr>
      <w:r w:rsidRPr="00EE67AB">
        <w:t xml:space="preserve">Se ha creado un Grupo de Tareas </w:t>
      </w:r>
      <w:r>
        <w:t xml:space="preserve">Especiales </w:t>
      </w:r>
      <w:r w:rsidRPr="00EE67AB">
        <w:t>sobre movilización de recursos</w:t>
      </w:r>
      <w:r>
        <w:t xml:space="preserve"> en base al concepto de</w:t>
      </w:r>
      <w:r w:rsidRPr="00EE67AB">
        <w:t xml:space="preserve"> </w:t>
      </w:r>
      <w:r w:rsidR="00884C48">
        <w:t>"</w:t>
      </w:r>
      <w:r w:rsidRPr="00EE67AB">
        <w:t>Una UIT</w:t>
      </w:r>
      <w:r w:rsidR="00884C48">
        <w:t>"</w:t>
      </w:r>
      <w:r>
        <w:t>,</w:t>
      </w:r>
      <w:r w:rsidRPr="00EE67AB">
        <w:t xml:space="preserve"> para evaluar la mejor manera de priorizar y aplicar estas recomendaciones (véase el documento </w:t>
      </w:r>
      <w:hyperlink r:id="rId13" w:history="1">
        <w:r w:rsidRPr="00EE67AB">
          <w:rPr>
            <w:rStyle w:val="Hyperlink"/>
          </w:rPr>
          <w:t>C23/62</w:t>
        </w:r>
      </w:hyperlink>
      <w:r w:rsidRPr="00EE67AB">
        <w:t xml:space="preserve">). </w:t>
      </w:r>
      <w:r w:rsidRPr="00F85012">
        <w:rPr>
          <w:rFonts w:asciiTheme="minorHAnsi" w:hAnsiTheme="minorHAnsi" w:cstheme="minorHAnsi"/>
        </w:rPr>
        <w:t xml:space="preserve">Al disponer de unos recursos </w:t>
      </w:r>
      <w:r>
        <w:rPr>
          <w:rFonts w:asciiTheme="minorHAnsi" w:hAnsiTheme="minorHAnsi" w:cstheme="minorHAnsi"/>
        </w:rPr>
        <w:t>sumamente</w:t>
      </w:r>
      <w:r w:rsidRPr="00F85012">
        <w:rPr>
          <w:rFonts w:asciiTheme="minorHAnsi" w:hAnsiTheme="minorHAnsi" w:cstheme="minorHAnsi"/>
        </w:rPr>
        <w:t xml:space="preserve"> limitados, la UIT debe ser muy consciente de cómo se utilizan y centrarse en </w:t>
      </w:r>
      <w:r>
        <w:rPr>
          <w:rFonts w:asciiTheme="minorHAnsi" w:hAnsiTheme="minorHAnsi" w:cstheme="minorHAnsi"/>
        </w:rPr>
        <w:t>las cuestiones</w:t>
      </w:r>
      <w:r w:rsidRPr="00F85012">
        <w:rPr>
          <w:rFonts w:asciiTheme="minorHAnsi" w:hAnsiTheme="minorHAnsi" w:cstheme="minorHAnsi"/>
        </w:rPr>
        <w:t xml:space="preserve"> relevante</w:t>
      </w:r>
      <w:r>
        <w:rPr>
          <w:rFonts w:asciiTheme="minorHAnsi" w:hAnsiTheme="minorHAnsi" w:cstheme="minorHAnsi"/>
        </w:rPr>
        <w:t>s de cara al año</w:t>
      </w:r>
      <w:r w:rsidRPr="00F85012">
        <w:rPr>
          <w:rFonts w:asciiTheme="minorHAnsi" w:hAnsiTheme="minorHAnsi" w:cstheme="minorHAnsi"/>
        </w:rPr>
        <w:t xml:space="preserve"> 2030, así como en </w:t>
      </w:r>
      <w:r>
        <w:rPr>
          <w:rFonts w:asciiTheme="minorHAnsi" w:hAnsiTheme="minorHAnsi" w:cstheme="minorHAnsi"/>
        </w:rPr>
        <w:t>los temas más importantes para l</w:t>
      </w:r>
      <w:r w:rsidRPr="00F85012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Unión</w:t>
      </w:r>
      <w:r w:rsidRPr="00F8501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fin de preparase </w:t>
      </w:r>
      <w:r w:rsidRPr="00F85012">
        <w:rPr>
          <w:rFonts w:asciiTheme="minorHAnsi" w:hAnsiTheme="minorHAnsi" w:cstheme="minorHAnsi"/>
        </w:rPr>
        <w:t>para el futuro</w:t>
      </w:r>
      <w:r>
        <w:rPr>
          <w:rFonts w:asciiTheme="minorHAnsi" w:hAnsiTheme="minorHAnsi" w:cstheme="minorHAnsi"/>
        </w:rPr>
        <w:t xml:space="preserve"> y </w:t>
      </w:r>
      <w:r w:rsidRPr="00F85012">
        <w:rPr>
          <w:rFonts w:asciiTheme="minorHAnsi" w:hAnsiTheme="minorHAnsi" w:cstheme="minorHAnsi"/>
        </w:rPr>
        <w:t>facilit</w:t>
      </w:r>
      <w:r>
        <w:rPr>
          <w:rFonts w:asciiTheme="minorHAnsi" w:hAnsiTheme="minorHAnsi" w:cstheme="minorHAnsi"/>
        </w:rPr>
        <w:t>ar</w:t>
      </w:r>
      <w:r w:rsidRPr="00F85012">
        <w:rPr>
          <w:rFonts w:asciiTheme="minorHAnsi" w:hAnsiTheme="minorHAnsi" w:cstheme="minorHAnsi"/>
        </w:rPr>
        <w:t xml:space="preserve"> el acercamiento entre</w:t>
      </w:r>
      <w:r>
        <w:rPr>
          <w:rFonts w:asciiTheme="minorHAnsi" w:hAnsiTheme="minorHAnsi" w:cstheme="minorHAnsi"/>
        </w:rPr>
        <w:t xml:space="preserve"> las personas</w:t>
      </w:r>
      <w:r w:rsidRPr="00F85012">
        <w:rPr>
          <w:rFonts w:asciiTheme="minorHAnsi" w:hAnsiTheme="minorHAnsi" w:cstheme="minorHAnsi"/>
        </w:rPr>
        <w:t xml:space="preserve"> y la tecnología.</w:t>
      </w:r>
    </w:p>
    <w:p w14:paraId="21523852" w14:textId="5C9BF523" w:rsidR="006C6320" w:rsidRPr="000B0D00" w:rsidRDefault="006C6320" w:rsidP="006B49BE">
      <w:pPr>
        <w:spacing w:before="840"/>
        <w:jc w:val="center"/>
      </w:pPr>
      <w:r>
        <w:t>______________</w:t>
      </w:r>
    </w:p>
    <w:sectPr w:rsidR="006C6320" w:rsidRPr="000B0D00" w:rsidSect="00C538FC">
      <w:footerReference w:type="default" r:id="rId14"/>
      <w:headerReference w:type="first" r:id="rId15"/>
      <w:footerReference w:type="first" r:id="rId16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0C99" w14:textId="77777777" w:rsidR="00512B3B" w:rsidRDefault="00512B3B">
      <w:r>
        <w:separator/>
      </w:r>
    </w:p>
  </w:endnote>
  <w:endnote w:type="continuationSeparator" w:id="0">
    <w:p w14:paraId="57605698" w14:textId="77777777" w:rsidR="00512B3B" w:rsidRDefault="0051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614B0BBD" w14:textId="77777777" w:rsidTr="00E31DCE">
      <w:trPr>
        <w:jc w:val="center"/>
      </w:trPr>
      <w:tc>
        <w:tcPr>
          <w:tcW w:w="1803" w:type="dxa"/>
          <w:vAlign w:val="center"/>
        </w:tcPr>
        <w:p w14:paraId="2949831C" w14:textId="0CB24E20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512B3B">
            <w:rPr>
              <w:noProof/>
            </w:rPr>
            <w:t>521070</w:t>
          </w:r>
        </w:p>
      </w:tc>
      <w:tc>
        <w:tcPr>
          <w:tcW w:w="8261" w:type="dxa"/>
        </w:tcPr>
        <w:p w14:paraId="04378737" w14:textId="4E58484A" w:rsidR="003273A4" w:rsidRPr="00E06FD5" w:rsidRDefault="003273A4" w:rsidP="003273A4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12B3B">
            <w:rPr>
              <w:bCs/>
            </w:rPr>
            <w:t>36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70E4BCC" w14:textId="3DC40947" w:rsidR="00760F1C" w:rsidRPr="004303DF" w:rsidRDefault="004303DF" w:rsidP="003273A4">
    <w:pPr>
      <w:pStyle w:val="Footer"/>
      <w:rPr>
        <w:b/>
        <w:bCs/>
        <w:lang w:val="fr-FR"/>
      </w:rPr>
    </w:pPr>
    <w:r w:rsidRPr="003621E7">
      <w:rPr>
        <w:color w:val="F2F2F2" w:themeColor="background1" w:themeShade="F2"/>
      </w:rPr>
      <w:fldChar w:fldCharType="begin"/>
    </w:r>
    <w:r w:rsidRPr="003621E7">
      <w:rPr>
        <w:color w:val="F2F2F2" w:themeColor="background1" w:themeShade="F2"/>
        <w:lang w:val="fr-FR"/>
      </w:rPr>
      <w:instrText xml:space="preserve"> FILENAME \p  \* MERGEFORMAT </w:instrText>
    </w:r>
    <w:r w:rsidRPr="003621E7">
      <w:rPr>
        <w:color w:val="F2F2F2" w:themeColor="background1" w:themeShade="F2"/>
      </w:rPr>
      <w:fldChar w:fldCharType="separate"/>
    </w:r>
    <w:r w:rsidRPr="003621E7">
      <w:rPr>
        <w:color w:val="F2F2F2" w:themeColor="background1" w:themeShade="F2"/>
        <w:lang w:val="fr-FR"/>
      </w:rPr>
      <w:t>P:\ESP\SG\CONSEIL\C23\000\036S.docx</w:t>
    </w:r>
    <w:r w:rsidRPr="003621E7">
      <w:rPr>
        <w:color w:val="F2F2F2" w:themeColor="background1" w:themeShade="F2"/>
      </w:rPr>
      <w:fldChar w:fldCharType="end"/>
    </w:r>
    <w:r w:rsidRPr="003621E7">
      <w:rPr>
        <w:color w:val="F2F2F2" w:themeColor="background1" w:themeShade="F2"/>
        <w:lang w:val="fr-FR"/>
      </w:rPr>
      <w:t xml:space="preserve"> (521070)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1F3CFDC6" w14:textId="77777777" w:rsidTr="00E31DCE">
      <w:trPr>
        <w:jc w:val="center"/>
      </w:trPr>
      <w:tc>
        <w:tcPr>
          <w:tcW w:w="1803" w:type="dxa"/>
          <w:vAlign w:val="center"/>
        </w:tcPr>
        <w:p w14:paraId="2A4D1970" w14:textId="77777777" w:rsidR="00F24B71" w:rsidRDefault="00E23EDA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AD59834" w14:textId="12D3ED71" w:rsidR="00F24B71" w:rsidRPr="00E06FD5" w:rsidRDefault="00F24B71" w:rsidP="00F24B71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512B3B">
            <w:rPr>
              <w:bCs/>
            </w:rPr>
            <w:t>36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1E06A94" w14:textId="489A9C86" w:rsidR="00760F1C" w:rsidRPr="004303DF" w:rsidRDefault="004303DF" w:rsidP="004303DF">
    <w:pPr>
      <w:pStyle w:val="Footer"/>
      <w:rPr>
        <w:lang w:val="fr-FR"/>
      </w:rPr>
    </w:pPr>
    <w:r w:rsidRPr="003621E7">
      <w:rPr>
        <w:color w:val="F2F2F2" w:themeColor="background1" w:themeShade="F2"/>
      </w:rPr>
      <w:fldChar w:fldCharType="begin"/>
    </w:r>
    <w:r w:rsidRPr="003621E7">
      <w:rPr>
        <w:color w:val="F2F2F2" w:themeColor="background1" w:themeShade="F2"/>
        <w:lang w:val="fr-FR"/>
      </w:rPr>
      <w:instrText xml:space="preserve"> FILENAME \p  \* MERGEFORMAT </w:instrText>
    </w:r>
    <w:r w:rsidRPr="003621E7">
      <w:rPr>
        <w:color w:val="F2F2F2" w:themeColor="background1" w:themeShade="F2"/>
      </w:rPr>
      <w:fldChar w:fldCharType="separate"/>
    </w:r>
    <w:r w:rsidRPr="003621E7">
      <w:rPr>
        <w:color w:val="F2F2F2" w:themeColor="background1" w:themeShade="F2"/>
        <w:lang w:val="fr-FR"/>
      </w:rPr>
      <w:t>P:\ESP\SG\CONSEIL\C23\000\036S.docx</w:t>
    </w:r>
    <w:r w:rsidRPr="003621E7">
      <w:rPr>
        <w:color w:val="F2F2F2" w:themeColor="background1" w:themeShade="F2"/>
      </w:rPr>
      <w:fldChar w:fldCharType="end"/>
    </w:r>
    <w:r w:rsidRPr="003621E7">
      <w:rPr>
        <w:color w:val="F2F2F2" w:themeColor="background1" w:themeShade="F2"/>
        <w:lang w:val="fr-FR"/>
      </w:rPr>
      <w:t xml:space="preserve"> (521070)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9770" w14:textId="77777777" w:rsidR="00512B3B" w:rsidRDefault="00512B3B">
      <w:r>
        <w:t>____________________</w:t>
      </w:r>
    </w:p>
  </w:footnote>
  <w:footnote w:type="continuationSeparator" w:id="0">
    <w:p w14:paraId="5F999F44" w14:textId="77777777" w:rsidR="00512B3B" w:rsidRDefault="0051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46F429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031E7B41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" w:name="_Hlk133422111"/>
          <w:r>
            <w:rPr>
              <w:noProof/>
            </w:rPr>
            <w:drawing>
              <wp:inline distT="0" distB="0" distL="0" distR="0" wp14:anchorId="05C6D91A" wp14:editId="38835C2A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36B1C7E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30EA3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296F630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"/>
  <w:p w14:paraId="7B5B5D32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73870F" wp14:editId="45110F15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134F4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931"/>
    <w:multiLevelType w:val="hybridMultilevel"/>
    <w:tmpl w:val="617EB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82A5E"/>
    <w:multiLevelType w:val="hybridMultilevel"/>
    <w:tmpl w:val="90CEC61C"/>
    <w:lvl w:ilvl="0" w:tplc="1BE69B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787120">
    <w:abstractNumId w:val="0"/>
  </w:num>
  <w:num w:numId="2" w16cid:durableId="1703359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B3B"/>
    <w:rsid w:val="000007D1"/>
    <w:rsid w:val="00093EEB"/>
    <w:rsid w:val="000B0D00"/>
    <w:rsid w:val="000B7C15"/>
    <w:rsid w:val="000D1D0F"/>
    <w:rsid w:val="000F5290"/>
    <w:rsid w:val="0010165C"/>
    <w:rsid w:val="00146BFB"/>
    <w:rsid w:val="001559F5"/>
    <w:rsid w:val="001808DB"/>
    <w:rsid w:val="001F14A2"/>
    <w:rsid w:val="002801AA"/>
    <w:rsid w:val="002C4676"/>
    <w:rsid w:val="002C70B0"/>
    <w:rsid w:val="002F3CC4"/>
    <w:rsid w:val="003273A4"/>
    <w:rsid w:val="003621E7"/>
    <w:rsid w:val="004303DF"/>
    <w:rsid w:val="00473962"/>
    <w:rsid w:val="004B5D49"/>
    <w:rsid w:val="00512B3B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77A97"/>
    <w:rsid w:val="006B49BE"/>
    <w:rsid w:val="006C1B56"/>
    <w:rsid w:val="006C6320"/>
    <w:rsid w:val="006D4761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84C48"/>
    <w:rsid w:val="00913B9C"/>
    <w:rsid w:val="00927F93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38FC"/>
    <w:rsid w:val="00C55B1F"/>
    <w:rsid w:val="00CF1A67"/>
    <w:rsid w:val="00D2750E"/>
    <w:rsid w:val="00D50A36"/>
    <w:rsid w:val="00D62446"/>
    <w:rsid w:val="00DA4EA2"/>
    <w:rsid w:val="00DC3D3E"/>
    <w:rsid w:val="00DE2C90"/>
    <w:rsid w:val="00DE3B24"/>
    <w:rsid w:val="00E06947"/>
    <w:rsid w:val="00E23EDA"/>
    <w:rsid w:val="00E34072"/>
    <w:rsid w:val="00E3592D"/>
    <w:rsid w:val="00E50D76"/>
    <w:rsid w:val="00E92DE8"/>
    <w:rsid w:val="00E94E6F"/>
    <w:rsid w:val="00EB1212"/>
    <w:rsid w:val="00ED65AB"/>
    <w:rsid w:val="00F12850"/>
    <w:rsid w:val="00F24B71"/>
    <w:rsid w:val="00F33BF4"/>
    <w:rsid w:val="00F7105E"/>
    <w:rsid w:val="00F75F57"/>
    <w:rsid w:val="00F82FEE"/>
    <w:rsid w:val="00FA1C96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739DEB"/>
  <w15:docId w15:val="{0A01EF38-3623-4A56-A095-15B4C47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2B3B"/>
  </w:style>
  <w:style w:type="character" w:customStyle="1" w:styleId="eop">
    <w:name w:val="eop"/>
    <w:basedOn w:val="DefaultParagraphFont"/>
    <w:rsid w:val="00512B3B"/>
  </w:style>
  <w:style w:type="paragraph" w:styleId="ListParagraph">
    <w:name w:val="List Paragraph"/>
    <w:basedOn w:val="Normal"/>
    <w:uiPriority w:val="34"/>
    <w:qFormat/>
    <w:rsid w:val="00512B3B"/>
    <w:pPr>
      <w:ind w:left="720"/>
      <w:contextualSpacing/>
    </w:pPr>
    <w:rPr>
      <w:rFonts w:eastAsia="SimSu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3-CL-C-0052/en" TargetMode="External"/><Relationship Id="rId13" Type="http://schemas.openxmlformats.org/officeDocument/2006/relationships/hyperlink" Target="https://www.itu.int/md/S23-CL-C-0062/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-2023/RES-071-S.pdf" TargetMode="External"/><Relationship Id="rId12" Type="http://schemas.openxmlformats.org/officeDocument/2006/relationships/hyperlink" Target="https://www.itu.int/md/S23-CL-C-0062/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52/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tu.int/en/council/Documents/basic-texts-2023/RES-071-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62/en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4</TotalTime>
  <Pages>5</Pages>
  <Words>2076</Words>
  <Characters>11467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13516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Acelerar la aplicación del Plan Estratégico de la UIT para 2024-2027</dc:title>
  <dc:subject>Council 2023</dc:subject>
  <dc:creator>Spanish</dc:creator>
  <cp:keywords>C2023, C23, Council-23</cp:keywords>
  <dc:description/>
  <cp:lastModifiedBy>Xue, Kun</cp:lastModifiedBy>
  <cp:revision>5</cp:revision>
  <cp:lastPrinted>2006-03-24T09:51:00Z</cp:lastPrinted>
  <dcterms:created xsi:type="dcterms:W3CDTF">2023-06-26T10:35:00Z</dcterms:created>
  <dcterms:modified xsi:type="dcterms:W3CDTF">2023-06-26T10:38:00Z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