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80CB0" w14:paraId="1591300A" w14:textId="77777777" w:rsidTr="00AD3606">
        <w:trPr>
          <w:cantSplit/>
          <w:trHeight w:val="23"/>
        </w:trPr>
        <w:tc>
          <w:tcPr>
            <w:tcW w:w="3969" w:type="dxa"/>
            <w:vMerge w:val="restart"/>
            <w:tcMar>
              <w:left w:w="0" w:type="dxa"/>
            </w:tcMar>
          </w:tcPr>
          <w:p w14:paraId="4F2DE73B" w14:textId="54ACD864" w:rsidR="00AD3606" w:rsidRPr="00880CB0" w:rsidRDefault="00AD3606" w:rsidP="00472BAD">
            <w:pPr>
              <w:tabs>
                <w:tab w:val="left" w:pos="851"/>
              </w:tabs>
              <w:spacing w:before="0" w:line="240" w:lineRule="atLeast"/>
              <w:rPr>
                <w:b/>
              </w:rPr>
            </w:pPr>
            <w:bookmarkStart w:id="0" w:name="dmeeting" w:colFirst="0" w:colLast="0"/>
            <w:bookmarkStart w:id="1" w:name="dnum" w:colFirst="1" w:colLast="1"/>
            <w:r w:rsidRPr="00880CB0">
              <w:rPr>
                <w:b/>
              </w:rPr>
              <w:t xml:space="preserve">Agenda item: </w:t>
            </w:r>
            <w:r w:rsidR="002721B8" w:rsidRPr="00880CB0">
              <w:rPr>
                <w:b/>
              </w:rPr>
              <w:t>PL 1</w:t>
            </w:r>
          </w:p>
        </w:tc>
        <w:tc>
          <w:tcPr>
            <w:tcW w:w="5245" w:type="dxa"/>
          </w:tcPr>
          <w:p w14:paraId="2F0CB53A" w14:textId="376C4F07" w:rsidR="00AD3606" w:rsidRPr="00880CB0" w:rsidRDefault="00AD3606" w:rsidP="00472BAD">
            <w:pPr>
              <w:tabs>
                <w:tab w:val="left" w:pos="851"/>
              </w:tabs>
              <w:spacing w:before="0" w:line="240" w:lineRule="atLeast"/>
              <w:jc w:val="right"/>
              <w:rPr>
                <w:b/>
              </w:rPr>
            </w:pPr>
            <w:r w:rsidRPr="00880CB0">
              <w:rPr>
                <w:b/>
              </w:rPr>
              <w:t>Document C23/</w:t>
            </w:r>
            <w:r w:rsidR="002721B8" w:rsidRPr="00880CB0">
              <w:rPr>
                <w:b/>
              </w:rPr>
              <w:t>36</w:t>
            </w:r>
            <w:r w:rsidRPr="00880CB0">
              <w:rPr>
                <w:b/>
              </w:rPr>
              <w:t>-E</w:t>
            </w:r>
          </w:p>
        </w:tc>
      </w:tr>
      <w:tr w:rsidR="00AD3606" w:rsidRPr="00880CB0" w14:paraId="777833CB" w14:textId="77777777" w:rsidTr="00AD3606">
        <w:trPr>
          <w:cantSplit/>
        </w:trPr>
        <w:tc>
          <w:tcPr>
            <w:tcW w:w="3969" w:type="dxa"/>
            <w:vMerge/>
          </w:tcPr>
          <w:p w14:paraId="7DECAB6C" w14:textId="77777777" w:rsidR="00AD3606" w:rsidRPr="00880CB0"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ACA4D99" w:rsidR="00AD3606" w:rsidRPr="00880CB0" w:rsidRDefault="00AB16FD" w:rsidP="00AD3606">
            <w:pPr>
              <w:tabs>
                <w:tab w:val="left" w:pos="851"/>
              </w:tabs>
              <w:spacing w:before="0"/>
              <w:jc w:val="right"/>
              <w:rPr>
                <w:b/>
              </w:rPr>
            </w:pPr>
            <w:r w:rsidRPr="00880CB0">
              <w:rPr>
                <w:b/>
              </w:rPr>
              <w:t>12</w:t>
            </w:r>
            <w:r w:rsidR="00AF6498" w:rsidRPr="00880CB0">
              <w:rPr>
                <w:b/>
              </w:rPr>
              <w:t xml:space="preserve"> </w:t>
            </w:r>
            <w:r w:rsidR="004E0A9D" w:rsidRPr="00880CB0">
              <w:rPr>
                <w:b/>
              </w:rPr>
              <w:t>June</w:t>
            </w:r>
            <w:r w:rsidR="00AD3606" w:rsidRPr="00880CB0">
              <w:rPr>
                <w:b/>
              </w:rPr>
              <w:t xml:space="preserve"> 2023</w:t>
            </w:r>
          </w:p>
        </w:tc>
      </w:tr>
      <w:tr w:rsidR="00AD3606" w:rsidRPr="00880CB0" w14:paraId="082C2282" w14:textId="77777777" w:rsidTr="00AD3606">
        <w:trPr>
          <w:cantSplit/>
          <w:trHeight w:val="23"/>
        </w:trPr>
        <w:tc>
          <w:tcPr>
            <w:tcW w:w="3969" w:type="dxa"/>
            <w:vMerge/>
          </w:tcPr>
          <w:p w14:paraId="5967F199" w14:textId="77777777" w:rsidR="00AD3606" w:rsidRPr="00880CB0"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880CB0" w:rsidRDefault="00AD3606" w:rsidP="00AD3606">
            <w:pPr>
              <w:tabs>
                <w:tab w:val="left" w:pos="851"/>
              </w:tabs>
              <w:spacing w:before="0" w:line="240" w:lineRule="atLeast"/>
              <w:jc w:val="right"/>
              <w:rPr>
                <w:b/>
              </w:rPr>
            </w:pPr>
            <w:r w:rsidRPr="00880CB0">
              <w:rPr>
                <w:b/>
              </w:rPr>
              <w:t>Original: English</w:t>
            </w:r>
          </w:p>
        </w:tc>
      </w:tr>
      <w:tr w:rsidR="00472BAD" w:rsidRPr="00880CB0" w14:paraId="3C9C7706" w14:textId="77777777" w:rsidTr="00AD3606">
        <w:trPr>
          <w:cantSplit/>
          <w:trHeight w:val="23"/>
        </w:trPr>
        <w:tc>
          <w:tcPr>
            <w:tcW w:w="3969" w:type="dxa"/>
          </w:tcPr>
          <w:p w14:paraId="20349897" w14:textId="77777777" w:rsidR="00472BAD" w:rsidRPr="00880CB0" w:rsidRDefault="00472BAD" w:rsidP="00AD3606">
            <w:pPr>
              <w:tabs>
                <w:tab w:val="left" w:pos="851"/>
              </w:tabs>
              <w:spacing w:line="240" w:lineRule="atLeast"/>
              <w:rPr>
                <w:b/>
              </w:rPr>
            </w:pPr>
          </w:p>
        </w:tc>
        <w:tc>
          <w:tcPr>
            <w:tcW w:w="5245" w:type="dxa"/>
          </w:tcPr>
          <w:p w14:paraId="1CCE97A6" w14:textId="77777777" w:rsidR="00472BAD" w:rsidRPr="00880CB0" w:rsidRDefault="00472BAD" w:rsidP="00AD3606">
            <w:pPr>
              <w:tabs>
                <w:tab w:val="left" w:pos="851"/>
              </w:tabs>
              <w:spacing w:before="0" w:line="240" w:lineRule="atLeast"/>
              <w:jc w:val="right"/>
              <w:rPr>
                <w:b/>
              </w:rPr>
            </w:pPr>
          </w:p>
        </w:tc>
      </w:tr>
      <w:tr w:rsidR="00AD3606" w:rsidRPr="00880CB0" w14:paraId="5BEAAFE0" w14:textId="77777777" w:rsidTr="00AD3606">
        <w:trPr>
          <w:cantSplit/>
        </w:trPr>
        <w:tc>
          <w:tcPr>
            <w:tcW w:w="9214" w:type="dxa"/>
            <w:gridSpan w:val="2"/>
            <w:tcMar>
              <w:left w:w="0" w:type="dxa"/>
            </w:tcMar>
          </w:tcPr>
          <w:p w14:paraId="598EF21A" w14:textId="69B501A5" w:rsidR="00AD3606" w:rsidRPr="00880CB0" w:rsidRDefault="002721B8" w:rsidP="00AD3606">
            <w:pPr>
              <w:pStyle w:val="Source"/>
              <w:framePr w:hSpace="0" w:wrap="auto" w:vAnchor="margin" w:hAnchor="text" w:yAlign="inline"/>
            </w:pPr>
            <w:bookmarkStart w:id="4" w:name="dsource" w:colFirst="0" w:colLast="0"/>
            <w:bookmarkEnd w:id="3"/>
            <w:r w:rsidRPr="00880CB0">
              <w:t>Report by the Secretary-General</w:t>
            </w:r>
          </w:p>
        </w:tc>
      </w:tr>
      <w:tr w:rsidR="00AD3606" w:rsidRPr="00880CB0" w14:paraId="62B9C291" w14:textId="77777777" w:rsidTr="00AD3606">
        <w:trPr>
          <w:cantSplit/>
        </w:trPr>
        <w:tc>
          <w:tcPr>
            <w:tcW w:w="9214" w:type="dxa"/>
            <w:gridSpan w:val="2"/>
            <w:tcMar>
              <w:left w:w="0" w:type="dxa"/>
            </w:tcMar>
          </w:tcPr>
          <w:p w14:paraId="556A1BCF" w14:textId="6C223D7A" w:rsidR="00AD3606" w:rsidRPr="00880CB0" w:rsidRDefault="005A5C0E" w:rsidP="00DF0189">
            <w:pPr>
              <w:pStyle w:val="Subtitle"/>
              <w:framePr w:hSpace="0" w:wrap="auto" w:hAnchor="text" w:xAlign="left" w:yAlign="inline"/>
            </w:pPr>
            <w:bookmarkStart w:id="5" w:name="dtitle1" w:colFirst="0" w:colLast="0"/>
            <w:bookmarkEnd w:id="4"/>
            <w:r w:rsidRPr="00880CB0">
              <w:t>ACCELERATING THE IMPLEMENTATION OF THE ITU STRATEGIC PLAN 2024-2027</w:t>
            </w:r>
          </w:p>
        </w:tc>
      </w:tr>
      <w:tr w:rsidR="00AD3606" w:rsidRPr="00880CB0"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16010412" w:rsidR="00AD3606" w:rsidRPr="00880CB0" w:rsidRDefault="00F16BAB" w:rsidP="00F16BAB">
            <w:pPr>
              <w:spacing w:before="160"/>
              <w:rPr>
                <w:b/>
                <w:bCs/>
                <w:sz w:val="26"/>
                <w:szCs w:val="26"/>
              </w:rPr>
            </w:pPr>
            <w:r w:rsidRPr="00880CB0">
              <w:rPr>
                <w:b/>
                <w:bCs/>
                <w:sz w:val="26"/>
                <w:szCs w:val="26"/>
              </w:rPr>
              <w:t>Purpose</w:t>
            </w:r>
          </w:p>
          <w:p w14:paraId="01EEEAC5" w14:textId="7E81091F" w:rsidR="00AD3606" w:rsidRPr="00880CB0" w:rsidRDefault="00E629C1" w:rsidP="00F16BAB">
            <w:r w:rsidRPr="00880CB0">
              <w:t xml:space="preserve">This </w:t>
            </w:r>
            <w:r w:rsidR="00056097" w:rsidRPr="00880CB0">
              <w:t>document</w:t>
            </w:r>
            <w:r w:rsidRPr="00880CB0">
              <w:t xml:space="preserve"> </w:t>
            </w:r>
            <w:r w:rsidR="00056097" w:rsidRPr="00880CB0">
              <w:t xml:space="preserve">presents the </w:t>
            </w:r>
            <w:r w:rsidR="00486D27" w:rsidRPr="00880CB0">
              <w:t>s</w:t>
            </w:r>
            <w:r w:rsidR="005A5C0E" w:rsidRPr="00880CB0">
              <w:t>ecretariat</w:t>
            </w:r>
            <w:r w:rsidR="003E3E75" w:rsidRPr="00880CB0">
              <w:t>’s plan to move from vision to action in</w:t>
            </w:r>
            <w:r w:rsidR="005A5C0E" w:rsidRPr="00880CB0">
              <w:t xml:space="preserve"> accelerat</w:t>
            </w:r>
            <w:r w:rsidR="003E3E75" w:rsidRPr="00880CB0">
              <w:t>ing</w:t>
            </w:r>
            <w:r w:rsidR="005A5C0E" w:rsidRPr="00880CB0">
              <w:t xml:space="preserve"> the implementation of the</w:t>
            </w:r>
            <w:r w:rsidR="00056097" w:rsidRPr="00880CB0">
              <w:t xml:space="preserve"> ITU </w:t>
            </w:r>
            <w:r w:rsidR="002650AD" w:rsidRPr="00880CB0">
              <w:t>s</w:t>
            </w:r>
            <w:r w:rsidR="00056097" w:rsidRPr="00880CB0">
              <w:t xml:space="preserve">trategic </w:t>
            </w:r>
            <w:r w:rsidR="002650AD" w:rsidRPr="00880CB0">
              <w:t>p</w:t>
            </w:r>
            <w:r w:rsidR="00056097" w:rsidRPr="00880CB0">
              <w:t xml:space="preserve">lan </w:t>
            </w:r>
            <w:r w:rsidR="00412A67" w:rsidRPr="00880CB0">
              <w:t xml:space="preserve">for </w:t>
            </w:r>
            <w:r w:rsidR="00056097" w:rsidRPr="00880CB0">
              <w:t>2024–2027.</w:t>
            </w:r>
          </w:p>
          <w:p w14:paraId="45B1495A" w14:textId="77777777" w:rsidR="00AD3606" w:rsidRPr="00880CB0" w:rsidRDefault="00AD3606" w:rsidP="00F16BAB">
            <w:pPr>
              <w:spacing w:before="160"/>
              <w:rPr>
                <w:b/>
                <w:bCs/>
                <w:sz w:val="26"/>
                <w:szCs w:val="26"/>
              </w:rPr>
            </w:pPr>
            <w:r w:rsidRPr="00880CB0">
              <w:rPr>
                <w:b/>
                <w:bCs/>
                <w:sz w:val="26"/>
                <w:szCs w:val="26"/>
              </w:rPr>
              <w:t>Action required</w:t>
            </w:r>
            <w:r w:rsidR="00F16BAB" w:rsidRPr="00880CB0">
              <w:rPr>
                <w:b/>
                <w:bCs/>
                <w:sz w:val="26"/>
                <w:szCs w:val="26"/>
              </w:rPr>
              <w:t xml:space="preserve"> by the </w:t>
            </w:r>
            <w:proofErr w:type="gramStart"/>
            <w:r w:rsidR="00F16BAB" w:rsidRPr="00880CB0">
              <w:rPr>
                <w:b/>
                <w:bCs/>
                <w:sz w:val="26"/>
                <w:szCs w:val="26"/>
              </w:rPr>
              <w:t>Council</w:t>
            </w:r>
            <w:proofErr w:type="gramEnd"/>
          </w:p>
          <w:p w14:paraId="3D57EDF8" w14:textId="7E2D1D18" w:rsidR="00AD3606" w:rsidRPr="00880CB0" w:rsidRDefault="00E629C1" w:rsidP="00AD3606">
            <w:r w:rsidRPr="00880CB0">
              <w:t xml:space="preserve">The Council is invited </w:t>
            </w:r>
            <w:r w:rsidRPr="005410A4">
              <w:t>to</w:t>
            </w:r>
            <w:r w:rsidRPr="00880CB0">
              <w:rPr>
                <w:b/>
                <w:bCs/>
              </w:rPr>
              <w:t xml:space="preserve"> </w:t>
            </w:r>
            <w:r w:rsidR="00AE6DDA" w:rsidRPr="00880CB0">
              <w:rPr>
                <w:b/>
                <w:bCs/>
              </w:rPr>
              <w:t xml:space="preserve">take </w:t>
            </w:r>
            <w:r w:rsidRPr="00880CB0">
              <w:rPr>
                <w:b/>
                <w:bCs/>
              </w:rPr>
              <w:t>note</w:t>
            </w:r>
            <w:r w:rsidRPr="00880CB0">
              <w:t xml:space="preserve"> </w:t>
            </w:r>
            <w:r w:rsidR="00AE6DDA" w:rsidRPr="00880CB0">
              <w:t xml:space="preserve">of </w:t>
            </w:r>
            <w:r w:rsidRPr="00880CB0">
              <w:t>this report.</w:t>
            </w:r>
          </w:p>
          <w:p w14:paraId="71511FA1" w14:textId="1F544385" w:rsidR="00F16BAB" w:rsidRPr="00880CB0" w:rsidRDefault="00F16BAB" w:rsidP="00F16BAB">
            <w:pPr>
              <w:spacing w:before="160"/>
              <w:rPr>
                <w:b/>
                <w:bCs/>
                <w:sz w:val="26"/>
                <w:szCs w:val="26"/>
              </w:rPr>
            </w:pPr>
            <w:r w:rsidRPr="00880CB0">
              <w:rPr>
                <w:b/>
                <w:bCs/>
                <w:sz w:val="26"/>
                <w:szCs w:val="26"/>
              </w:rPr>
              <w:t>Relevant link</w:t>
            </w:r>
            <w:r w:rsidR="00A54171" w:rsidRPr="00880CB0">
              <w:rPr>
                <w:b/>
                <w:bCs/>
                <w:sz w:val="26"/>
                <w:szCs w:val="26"/>
              </w:rPr>
              <w:t>(s)</w:t>
            </w:r>
            <w:r w:rsidRPr="00880CB0">
              <w:rPr>
                <w:b/>
                <w:bCs/>
                <w:sz w:val="26"/>
                <w:szCs w:val="26"/>
              </w:rPr>
              <w:t xml:space="preserve"> with the Strategic Plan</w:t>
            </w:r>
          </w:p>
          <w:p w14:paraId="376AEF18" w14:textId="4F8A912F" w:rsidR="00056097" w:rsidRPr="00880CB0" w:rsidRDefault="00056097" w:rsidP="00056097">
            <w:pPr>
              <w:jc w:val="both"/>
            </w:pPr>
            <w:r w:rsidRPr="00880CB0">
              <w:t xml:space="preserve">The </w:t>
            </w:r>
            <w:r w:rsidR="005A5C0E" w:rsidRPr="00880CB0">
              <w:t xml:space="preserve">recommendations </w:t>
            </w:r>
            <w:r w:rsidRPr="00880CB0">
              <w:t xml:space="preserve">are based on the ITU </w:t>
            </w:r>
            <w:r w:rsidR="00412A67" w:rsidRPr="00880CB0">
              <w:t>s</w:t>
            </w:r>
            <w:r w:rsidRPr="00880CB0">
              <w:t xml:space="preserve">trategic </w:t>
            </w:r>
            <w:r w:rsidR="00412A67" w:rsidRPr="00880CB0">
              <w:t>p</w:t>
            </w:r>
            <w:r w:rsidRPr="00880CB0">
              <w:t xml:space="preserve">lan </w:t>
            </w:r>
            <w:r w:rsidR="00412A67" w:rsidRPr="00880CB0">
              <w:t xml:space="preserve">for </w:t>
            </w:r>
            <w:r w:rsidRPr="00880CB0">
              <w:t>2024</w:t>
            </w:r>
            <w:r w:rsidR="00486D27" w:rsidRPr="00880CB0">
              <w:t>–</w:t>
            </w:r>
            <w:r w:rsidRPr="00880CB0">
              <w:t xml:space="preserve">2027 with a view to </w:t>
            </w:r>
            <w:r w:rsidR="005A5C0E" w:rsidRPr="00880CB0">
              <w:t xml:space="preserve">accelerate and fully implement </w:t>
            </w:r>
            <w:r w:rsidRPr="00880CB0">
              <w:t>the two strategic goals of the Union: advancing universal connectivity and sustainable digital transformation.</w:t>
            </w:r>
          </w:p>
          <w:p w14:paraId="78C18AC7" w14:textId="2709D901" w:rsidR="00B360BD" w:rsidRPr="00880CB0" w:rsidRDefault="00F16BAB" w:rsidP="00F16BAB">
            <w:pPr>
              <w:spacing w:before="160"/>
              <w:rPr>
                <w:b/>
                <w:bCs/>
                <w:sz w:val="26"/>
                <w:szCs w:val="26"/>
              </w:rPr>
            </w:pPr>
            <w:r w:rsidRPr="00880CB0">
              <w:rPr>
                <w:b/>
                <w:bCs/>
                <w:sz w:val="26"/>
                <w:szCs w:val="26"/>
              </w:rPr>
              <w:t>Financial implications</w:t>
            </w:r>
          </w:p>
          <w:p w14:paraId="74189BBD" w14:textId="29D4EAFB" w:rsidR="00F16BAB" w:rsidRPr="00880CB0" w:rsidRDefault="00056097" w:rsidP="00F16BAB">
            <w:pPr>
              <w:spacing w:before="160"/>
              <w:rPr>
                <w:b/>
                <w:bCs/>
                <w:sz w:val="26"/>
                <w:szCs w:val="26"/>
              </w:rPr>
            </w:pPr>
            <w:r w:rsidRPr="00880CB0">
              <w:rPr>
                <w:szCs w:val="24"/>
              </w:rPr>
              <w:t xml:space="preserve">Activities </w:t>
            </w:r>
            <w:r w:rsidR="00C542F7" w:rsidRPr="00880CB0">
              <w:rPr>
                <w:szCs w:val="24"/>
              </w:rPr>
              <w:t>mentioned</w:t>
            </w:r>
            <w:r w:rsidRPr="00880CB0">
              <w:rPr>
                <w:szCs w:val="24"/>
              </w:rPr>
              <w:t xml:space="preserve"> in this document are allocated within the ITU </w:t>
            </w:r>
            <w:r w:rsidR="0040617B" w:rsidRPr="00880CB0">
              <w:rPr>
                <w:szCs w:val="24"/>
              </w:rPr>
              <w:t>b</w:t>
            </w:r>
            <w:r w:rsidRPr="00880CB0">
              <w:rPr>
                <w:szCs w:val="24"/>
              </w:rPr>
              <w:t>udget.</w:t>
            </w:r>
          </w:p>
          <w:p w14:paraId="6F1B8B4E" w14:textId="77777777" w:rsidR="00AD3606" w:rsidRPr="00880CB0" w:rsidRDefault="00AD3606" w:rsidP="00F16BAB">
            <w:pPr>
              <w:spacing w:before="160"/>
              <w:rPr>
                <w:caps/>
                <w:sz w:val="22"/>
              </w:rPr>
            </w:pPr>
            <w:r w:rsidRPr="00880CB0">
              <w:rPr>
                <w:sz w:val="22"/>
              </w:rPr>
              <w:t>__________________</w:t>
            </w:r>
          </w:p>
          <w:p w14:paraId="0EBC340A" w14:textId="77777777" w:rsidR="00AD3606" w:rsidRPr="00880CB0" w:rsidRDefault="00AD3606" w:rsidP="00F16BAB">
            <w:pPr>
              <w:spacing w:before="160"/>
              <w:rPr>
                <w:b/>
                <w:bCs/>
                <w:sz w:val="26"/>
                <w:szCs w:val="26"/>
              </w:rPr>
            </w:pPr>
            <w:r w:rsidRPr="00880CB0">
              <w:rPr>
                <w:b/>
                <w:bCs/>
                <w:sz w:val="26"/>
                <w:szCs w:val="26"/>
              </w:rPr>
              <w:t>References</w:t>
            </w:r>
          </w:p>
          <w:p w14:paraId="65250B1E" w14:textId="4AA308C3" w:rsidR="00AD3606" w:rsidRPr="00880CB0" w:rsidRDefault="005B314E" w:rsidP="00F16BAB">
            <w:pPr>
              <w:spacing w:after="160"/>
              <w:rPr>
                <w:sz w:val="22"/>
                <w:szCs w:val="22"/>
              </w:rPr>
            </w:pPr>
            <w:hyperlink r:id="rId11" w:tgtFrame="_blank" w:history="1">
              <w:r w:rsidR="0056612C" w:rsidRPr="00880CB0">
                <w:rPr>
                  <w:rStyle w:val="normaltextrun"/>
                  <w:rFonts w:cs="Calibri"/>
                  <w:i/>
                  <w:iCs/>
                  <w:color w:val="0563C1"/>
                  <w:u w:val="single"/>
                  <w:shd w:val="clear" w:color="auto" w:fill="FFFFFF"/>
                </w:rPr>
                <w:t>Resolution 71</w:t>
              </w:r>
            </w:hyperlink>
            <w:r w:rsidR="0056612C" w:rsidRPr="00880CB0">
              <w:rPr>
                <w:rStyle w:val="normaltextrun"/>
                <w:rFonts w:cs="Calibri"/>
                <w:i/>
                <w:iCs/>
                <w:color w:val="000000"/>
                <w:shd w:val="clear" w:color="auto" w:fill="FFFFFF"/>
              </w:rPr>
              <w:t xml:space="preserve"> (Rev. Bucharest, 2022) of the Plenipotentiary Conference</w:t>
            </w:r>
            <w:r w:rsidR="009A0750" w:rsidRPr="00880CB0">
              <w:rPr>
                <w:rStyle w:val="eop"/>
              </w:rPr>
              <w:t xml:space="preserve">; Council </w:t>
            </w:r>
            <w:r w:rsidR="009A0750" w:rsidRPr="00880CB0">
              <w:rPr>
                <w:sz w:val="22"/>
                <w:szCs w:val="22"/>
              </w:rPr>
              <w:t xml:space="preserve">documents </w:t>
            </w:r>
            <w:hyperlink r:id="rId12" w:history="1">
              <w:r w:rsidR="009A0750" w:rsidRPr="00880CB0">
                <w:rPr>
                  <w:rStyle w:val="Hyperlink"/>
                  <w:sz w:val="22"/>
                  <w:szCs w:val="22"/>
                </w:rPr>
                <w:t>C23/52</w:t>
              </w:r>
            </w:hyperlink>
            <w:r w:rsidR="009A0750" w:rsidRPr="00880CB0">
              <w:rPr>
                <w:sz w:val="22"/>
                <w:szCs w:val="22"/>
              </w:rPr>
              <w:t xml:space="preserve">, </w:t>
            </w:r>
            <w:hyperlink r:id="rId13" w:history="1">
              <w:r w:rsidR="009A0750" w:rsidRPr="00880CB0">
                <w:rPr>
                  <w:rStyle w:val="Hyperlink"/>
                  <w:sz w:val="22"/>
                  <w:szCs w:val="22"/>
                </w:rPr>
                <w:t>C23/62</w:t>
              </w:r>
            </w:hyperlink>
            <w:r w:rsidR="009A0750" w:rsidRPr="00880CB0">
              <w:rPr>
                <w:sz w:val="22"/>
                <w:szCs w:val="22"/>
              </w:rPr>
              <w:t>.</w:t>
            </w:r>
          </w:p>
        </w:tc>
      </w:tr>
      <w:bookmarkEnd w:id="5"/>
    </w:tbl>
    <w:p w14:paraId="7FE52F59" w14:textId="77777777" w:rsidR="0090147A" w:rsidRPr="00880CB0"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880CB0">
        <w:br w:type="page"/>
      </w:r>
    </w:p>
    <w:p w14:paraId="3198FFAE" w14:textId="709DE567" w:rsidR="004E0A9D" w:rsidRPr="00880CB0" w:rsidRDefault="004E0A9D" w:rsidP="002721B8">
      <w:pPr>
        <w:pStyle w:val="Heading1"/>
        <w:spacing w:before="240" w:after="120"/>
      </w:pPr>
      <w:bookmarkStart w:id="6" w:name="_Hlk136506519"/>
      <w:r w:rsidRPr="00880CB0">
        <w:lastRenderedPageBreak/>
        <w:t>Background</w:t>
      </w:r>
    </w:p>
    <w:p w14:paraId="6C1F4B94" w14:textId="0AD30391" w:rsidR="004E0A9D" w:rsidRPr="00880CB0" w:rsidRDefault="00DE0C4E" w:rsidP="002721B8">
      <w:pPr>
        <w:pStyle w:val="ListParagraph"/>
        <w:numPr>
          <w:ilvl w:val="0"/>
          <w:numId w:val="4"/>
        </w:numPr>
        <w:spacing w:after="120"/>
        <w:ind w:left="0" w:firstLine="0"/>
        <w:contextualSpacing w:val="0"/>
        <w:jc w:val="both"/>
      </w:pPr>
      <w:r w:rsidRPr="00880CB0">
        <w:t>Almost 40 years ago</w:t>
      </w:r>
      <w:r w:rsidR="004E0A9D" w:rsidRPr="00880CB0">
        <w:t xml:space="preserve">, the ground-breaking </w:t>
      </w:r>
      <w:r w:rsidRPr="00880CB0">
        <w:t xml:space="preserve">1984 </w:t>
      </w:r>
      <w:r w:rsidR="004E0A9D" w:rsidRPr="00880CB0">
        <w:t xml:space="preserve">Maitland Report, </w:t>
      </w:r>
      <w:r w:rsidR="009239DD" w:rsidRPr="00880CB0">
        <w:t>“</w:t>
      </w:r>
      <w:r w:rsidR="004E0A9D" w:rsidRPr="005410A4">
        <w:t>The Missing Link</w:t>
      </w:r>
      <w:r w:rsidR="009239DD" w:rsidRPr="005410A4">
        <w:t>”</w:t>
      </w:r>
      <w:r w:rsidR="004E0A9D" w:rsidRPr="00880CB0">
        <w:t xml:space="preserve">, evaluated the benefits of telecommunications for the first time. It said that it </w:t>
      </w:r>
      <w:r w:rsidR="004E0A9D" w:rsidRPr="00880CB0">
        <w:rPr>
          <w:rFonts w:cs="AvenirNext LT Pro Light"/>
          <w:color w:val="000000"/>
          <w:szCs w:val="24"/>
        </w:rPr>
        <w:t>“cannot be right that in the latter part of the twentieth century a minority of the human race should enjoy the benefits of the new technology while a majority live in comparative isolation”.</w:t>
      </w:r>
    </w:p>
    <w:p w14:paraId="07A35ECF" w14:textId="1E8FE89B" w:rsidR="004E0A9D" w:rsidRPr="00880CB0" w:rsidRDefault="004E0A9D" w:rsidP="046E5916">
      <w:pPr>
        <w:pStyle w:val="ListParagraph"/>
        <w:numPr>
          <w:ilvl w:val="0"/>
          <w:numId w:val="4"/>
        </w:numPr>
        <w:spacing w:after="120"/>
        <w:ind w:left="0" w:firstLine="0"/>
        <w:jc w:val="both"/>
      </w:pPr>
      <w:r w:rsidRPr="00880CB0">
        <w:t>In the 1980s, people could work without a phone. Today, for two</w:t>
      </w:r>
      <w:r w:rsidR="005E23E0" w:rsidRPr="00880CB0">
        <w:t>-</w:t>
      </w:r>
      <w:r w:rsidRPr="00880CB0">
        <w:t xml:space="preserve">thirds of the world’s population, </w:t>
      </w:r>
      <w:r w:rsidR="32525D82" w:rsidRPr="00880CB0">
        <w:t xml:space="preserve">it is </w:t>
      </w:r>
      <w:r w:rsidRPr="00880CB0">
        <w:t xml:space="preserve">just not </w:t>
      </w:r>
      <w:r w:rsidR="69CD6A23" w:rsidRPr="00880CB0">
        <w:t>imaginable</w:t>
      </w:r>
      <w:r w:rsidR="2A53FB32" w:rsidRPr="00880CB0">
        <w:t xml:space="preserve"> not to have access to the digital world</w:t>
      </w:r>
      <w:r w:rsidRPr="00880CB0">
        <w:t xml:space="preserve">. With some countries already in the Fifth Industrial Revolution, human-robot interaction will demand an entirely different way of working. </w:t>
      </w:r>
    </w:p>
    <w:p w14:paraId="2178F05C" w14:textId="2098D7E7" w:rsidR="004E0A9D" w:rsidRPr="00880CB0" w:rsidRDefault="0F3DD923" w:rsidP="046E5916">
      <w:pPr>
        <w:pStyle w:val="ListParagraph"/>
        <w:numPr>
          <w:ilvl w:val="0"/>
          <w:numId w:val="4"/>
        </w:numPr>
        <w:spacing w:after="120"/>
        <w:ind w:left="0" w:firstLine="0"/>
        <w:jc w:val="both"/>
      </w:pPr>
      <w:r w:rsidRPr="00880CB0">
        <w:t xml:space="preserve">However, </w:t>
      </w:r>
      <w:r w:rsidR="6903B550" w:rsidRPr="00880CB0">
        <w:t>persisten</w:t>
      </w:r>
      <w:r w:rsidR="15EF6871" w:rsidRPr="00880CB0">
        <w:t>t</w:t>
      </w:r>
      <w:r w:rsidR="6903B550" w:rsidRPr="00880CB0">
        <w:t xml:space="preserve"> </w:t>
      </w:r>
      <w:r w:rsidR="004E0A9D" w:rsidRPr="00880CB0">
        <w:t xml:space="preserve">digital divides mean billions of people need to be </w:t>
      </w:r>
      <w:r w:rsidR="0E80448B" w:rsidRPr="00880CB0">
        <w:t xml:space="preserve">empowered </w:t>
      </w:r>
      <w:r w:rsidR="004E0A9D" w:rsidRPr="00880CB0">
        <w:t xml:space="preserve">to use the Internet. Connectivity is needed more than ever to close these </w:t>
      </w:r>
      <w:r w:rsidR="000266E5" w:rsidRPr="00880CB0">
        <w:t>divides before</w:t>
      </w:r>
      <w:r w:rsidR="004E0A9D" w:rsidRPr="00880CB0">
        <w:t xml:space="preserve"> they become irreversible. </w:t>
      </w:r>
    </w:p>
    <w:p w14:paraId="37A9C600" w14:textId="44C685B1" w:rsidR="004E0A9D" w:rsidRPr="00880CB0" w:rsidRDefault="004E0A9D" w:rsidP="046E5916">
      <w:pPr>
        <w:pStyle w:val="ListParagraph"/>
        <w:numPr>
          <w:ilvl w:val="0"/>
          <w:numId w:val="4"/>
        </w:numPr>
        <w:spacing w:after="120"/>
        <w:ind w:left="0" w:firstLine="0"/>
        <w:jc w:val="both"/>
      </w:pPr>
      <w:r w:rsidRPr="00880CB0">
        <w:t xml:space="preserve">If this goes unchecked, then in all probability </w:t>
      </w:r>
      <w:r w:rsidR="563839DC" w:rsidRPr="00880CB0">
        <w:t xml:space="preserve">a big part of </w:t>
      </w:r>
      <w:r w:rsidRPr="00880CB0">
        <w:t xml:space="preserve">the next generation of workers will be at risk if they do not have access today to develop the skills for tomorrow. </w:t>
      </w:r>
    </w:p>
    <w:p w14:paraId="071DB9E8" w14:textId="7E487256" w:rsidR="004E0A9D" w:rsidRPr="00880CB0" w:rsidRDefault="004E0A9D" w:rsidP="002721B8">
      <w:pPr>
        <w:pStyle w:val="ListParagraph"/>
        <w:numPr>
          <w:ilvl w:val="0"/>
          <w:numId w:val="4"/>
        </w:numPr>
        <w:spacing w:after="120"/>
        <w:ind w:left="0" w:firstLine="0"/>
        <w:contextualSpacing w:val="0"/>
        <w:jc w:val="both"/>
      </w:pPr>
      <w:r w:rsidRPr="00880CB0">
        <w:t xml:space="preserve">Against this backdrop, the ITU Plenipotentiary Conference </w:t>
      </w:r>
      <w:r w:rsidR="00486D27" w:rsidRPr="00880CB0">
        <w:t xml:space="preserve">(Bucharest, </w:t>
      </w:r>
      <w:r w:rsidRPr="00880CB0">
        <w:t>2022</w:t>
      </w:r>
      <w:r w:rsidR="00486D27" w:rsidRPr="00880CB0">
        <w:t>)</w:t>
      </w:r>
      <w:r w:rsidRPr="00880CB0">
        <w:t xml:space="preserve"> </w:t>
      </w:r>
      <w:r w:rsidR="00C45D3B" w:rsidRPr="00880CB0">
        <w:t xml:space="preserve">(PP-22) </w:t>
      </w:r>
      <w:r w:rsidRPr="00880CB0">
        <w:t>adopted an ambitious plan</w:t>
      </w:r>
      <w:r w:rsidR="00212F47" w:rsidRPr="00880CB0">
        <w:t xml:space="preserve"> (</w:t>
      </w:r>
      <w:hyperlink r:id="rId14" w:tgtFrame="_blank" w:history="1">
        <w:r w:rsidR="00212F47" w:rsidRPr="00880CB0">
          <w:rPr>
            <w:rStyle w:val="normaltextrun"/>
            <w:rFonts w:cs="Calibri"/>
            <w:color w:val="0563C1"/>
            <w:u w:val="single"/>
            <w:shd w:val="clear" w:color="auto" w:fill="FFFFFF"/>
          </w:rPr>
          <w:t>Resolution 71</w:t>
        </w:r>
      </w:hyperlink>
      <w:r w:rsidR="00212F47" w:rsidRPr="00880CB0">
        <w:t>)</w:t>
      </w:r>
      <w:r w:rsidRPr="00880CB0">
        <w:t xml:space="preserve"> with two big, bold strategic goals</w:t>
      </w:r>
      <w:r w:rsidR="0056612C" w:rsidRPr="00880CB0">
        <w:t xml:space="preserve"> </w:t>
      </w:r>
      <w:r w:rsidRPr="00880CB0">
        <w:t xml:space="preserve">to be achieved over the next four years: universal connectivity and sustainable digital transformation. </w:t>
      </w:r>
    </w:p>
    <w:p w14:paraId="1A71ACD6" w14:textId="4A62ABD4" w:rsidR="004E0A9D" w:rsidRPr="00880CB0" w:rsidRDefault="004E0A9D" w:rsidP="002721B8">
      <w:pPr>
        <w:pStyle w:val="ListParagraph"/>
        <w:numPr>
          <w:ilvl w:val="0"/>
          <w:numId w:val="4"/>
        </w:numPr>
        <w:spacing w:after="120"/>
        <w:ind w:left="0" w:firstLine="0"/>
        <w:contextualSpacing w:val="0"/>
        <w:jc w:val="both"/>
      </w:pPr>
      <w:r w:rsidRPr="00880CB0">
        <w:t xml:space="preserve">With 2.7 billion people offline in 2022, and the race to achieve the </w:t>
      </w:r>
      <w:r w:rsidR="00212F47" w:rsidRPr="00880CB0">
        <w:t xml:space="preserve">Sustainable Development Goals </w:t>
      </w:r>
      <w:r w:rsidR="00536B8D" w:rsidRPr="00880CB0">
        <w:t>(</w:t>
      </w:r>
      <w:r w:rsidRPr="00880CB0">
        <w:t>SDGs</w:t>
      </w:r>
      <w:r w:rsidR="00536B8D" w:rsidRPr="00880CB0">
        <w:t>)</w:t>
      </w:r>
      <w:r w:rsidRPr="00880CB0">
        <w:t xml:space="preserve"> and </w:t>
      </w:r>
      <w:r w:rsidR="002E6165" w:rsidRPr="00880CB0">
        <w:t xml:space="preserve">implement </w:t>
      </w:r>
      <w:r w:rsidRPr="00880CB0">
        <w:t xml:space="preserve">the 2030 Agenda, ITU must drive dialogue and action to make sure that technologies act as a catalyst and do not widen the digital divides even further. </w:t>
      </w:r>
    </w:p>
    <w:p w14:paraId="16004006" w14:textId="1FDD81E5" w:rsidR="004E0A9D" w:rsidRPr="00880CB0" w:rsidRDefault="004E0A9D" w:rsidP="002721B8">
      <w:pPr>
        <w:pStyle w:val="ListParagraph"/>
        <w:numPr>
          <w:ilvl w:val="0"/>
          <w:numId w:val="4"/>
        </w:numPr>
        <w:spacing w:after="120"/>
        <w:ind w:left="0" w:firstLine="0"/>
        <w:contextualSpacing w:val="0"/>
        <w:jc w:val="both"/>
      </w:pPr>
      <w:r w:rsidRPr="00880CB0">
        <w:t xml:space="preserve">ITU has an integral role to play and deliver what the Secretary-General </w:t>
      </w:r>
      <w:r w:rsidR="00B33B61" w:rsidRPr="00880CB0">
        <w:t xml:space="preserve">of the United Nations </w:t>
      </w:r>
      <w:r w:rsidRPr="00880CB0">
        <w:t xml:space="preserve">and </w:t>
      </w:r>
      <w:r w:rsidR="007D4BE8" w:rsidRPr="00880CB0">
        <w:t xml:space="preserve">the </w:t>
      </w:r>
      <w:r w:rsidR="00B33B61" w:rsidRPr="00880CB0">
        <w:t>United Nations s</w:t>
      </w:r>
      <w:r w:rsidRPr="00880CB0">
        <w:t xml:space="preserve">ystem expect from us – to lead the world into the digital future. </w:t>
      </w:r>
    </w:p>
    <w:p w14:paraId="22A4D516" w14:textId="77777777" w:rsidR="004E0A9D" w:rsidRPr="00880CB0" w:rsidRDefault="004E0A9D" w:rsidP="002721B8">
      <w:pPr>
        <w:pStyle w:val="ListParagraph"/>
        <w:numPr>
          <w:ilvl w:val="0"/>
          <w:numId w:val="4"/>
        </w:numPr>
        <w:spacing w:after="120"/>
        <w:ind w:left="0" w:firstLine="0"/>
        <w:contextualSpacing w:val="0"/>
        <w:jc w:val="both"/>
      </w:pPr>
      <w:r w:rsidRPr="00880CB0">
        <w:t xml:space="preserve">While digital is a key enabler to rescue the SDGs, connectivity is the foundation and bedrock of digital. As such, ITU must continue to drive universal and meaningful connectivity so that digital can fulfil its promise. </w:t>
      </w:r>
    </w:p>
    <w:p w14:paraId="288F7B98" w14:textId="31CD4D0E" w:rsidR="004E0A9D" w:rsidRPr="00880CB0" w:rsidRDefault="004E0A9D" w:rsidP="002721B8">
      <w:pPr>
        <w:pStyle w:val="ListParagraph"/>
        <w:numPr>
          <w:ilvl w:val="0"/>
          <w:numId w:val="4"/>
        </w:numPr>
        <w:spacing w:after="120"/>
        <w:ind w:left="0" w:firstLine="0"/>
        <w:contextualSpacing w:val="0"/>
        <w:jc w:val="both"/>
      </w:pPr>
      <w:r w:rsidRPr="00880CB0">
        <w:t xml:space="preserve">To do this, ITU </w:t>
      </w:r>
      <w:proofErr w:type="gramStart"/>
      <w:r w:rsidRPr="00880CB0">
        <w:t>has to</w:t>
      </w:r>
      <w:proofErr w:type="gramEnd"/>
      <w:r w:rsidRPr="00880CB0">
        <w:t xml:space="preserve"> practice what </w:t>
      </w:r>
      <w:r w:rsidR="0072387E" w:rsidRPr="00880CB0">
        <w:t>it</w:t>
      </w:r>
      <w:r w:rsidRPr="00880CB0">
        <w:t xml:space="preserve"> preach</w:t>
      </w:r>
      <w:r w:rsidR="0072387E" w:rsidRPr="00880CB0">
        <w:t>es</w:t>
      </w:r>
      <w:r w:rsidRPr="00880CB0">
        <w:t xml:space="preserve"> by transforming </w:t>
      </w:r>
      <w:r w:rsidR="0072387E" w:rsidRPr="00880CB0">
        <w:t xml:space="preserve">the </w:t>
      </w:r>
      <w:r w:rsidRPr="00880CB0">
        <w:t>organi</w:t>
      </w:r>
      <w:r w:rsidR="009A0750" w:rsidRPr="00880CB0">
        <w:t>z</w:t>
      </w:r>
      <w:r w:rsidRPr="00880CB0">
        <w:t xml:space="preserve">ation to be proactive and lead. </w:t>
      </w:r>
      <w:r w:rsidR="0072387E" w:rsidRPr="00880CB0">
        <w:t>The organi</w:t>
      </w:r>
      <w:r w:rsidR="009A0750" w:rsidRPr="00880CB0">
        <w:t>z</w:t>
      </w:r>
      <w:r w:rsidR="0072387E" w:rsidRPr="00880CB0">
        <w:t>ation n</w:t>
      </w:r>
      <w:r w:rsidRPr="00880CB0">
        <w:t>eed</w:t>
      </w:r>
      <w:r w:rsidR="0072387E" w:rsidRPr="00880CB0">
        <w:t>s</w:t>
      </w:r>
      <w:r w:rsidRPr="00880CB0">
        <w:t xml:space="preserve"> to be fit</w:t>
      </w:r>
      <w:r w:rsidR="00444DC3" w:rsidRPr="00880CB0">
        <w:t xml:space="preserve"> </w:t>
      </w:r>
      <w:r w:rsidRPr="00880CB0">
        <w:t xml:space="preserve">for purpose. More importantly, </w:t>
      </w:r>
      <w:r w:rsidR="0072387E" w:rsidRPr="00880CB0">
        <w:t xml:space="preserve">it </w:t>
      </w:r>
      <w:r w:rsidRPr="00880CB0">
        <w:t>need</w:t>
      </w:r>
      <w:r w:rsidR="0072387E" w:rsidRPr="00880CB0">
        <w:t>s</w:t>
      </w:r>
      <w:r w:rsidRPr="00880CB0">
        <w:t xml:space="preserve"> to be fit</w:t>
      </w:r>
      <w:r w:rsidR="00C45D3B" w:rsidRPr="00880CB0">
        <w:t xml:space="preserve"> </w:t>
      </w:r>
      <w:r w:rsidRPr="00880CB0">
        <w:t>for</w:t>
      </w:r>
      <w:r w:rsidR="00C45D3B" w:rsidRPr="00880CB0">
        <w:t xml:space="preserve"> the </w:t>
      </w:r>
      <w:r w:rsidRPr="00880CB0">
        <w:t>future.</w:t>
      </w:r>
    </w:p>
    <w:p w14:paraId="23853E74" w14:textId="005761BF" w:rsidR="004E0A9D" w:rsidRPr="00880CB0" w:rsidRDefault="004E0A9D" w:rsidP="002721B8">
      <w:pPr>
        <w:pStyle w:val="Heading1"/>
        <w:spacing w:before="240" w:after="120"/>
      </w:pPr>
      <w:r w:rsidRPr="00880CB0">
        <w:t xml:space="preserve">Visioning </w:t>
      </w:r>
      <w:r w:rsidR="0077054D" w:rsidRPr="00880CB0">
        <w:t>p</w:t>
      </w:r>
      <w:r w:rsidRPr="00880CB0">
        <w:t>rocess</w:t>
      </w:r>
    </w:p>
    <w:p w14:paraId="49B99F83" w14:textId="2DB59F63" w:rsidR="004E0A9D" w:rsidRPr="00880CB0" w:rsidRDefault="004E0A9D" w:rsidP="002721B8">
      <w:pPr>
        <w:pStyle w:val="ListParagraph"/>
        <w:numPr>
          <w:ilvl w:val="0"/>
          <w:numId w:val="4"/>
        </w:numPr>
        <w:spacing w:after="120"/>
        <w:ind w:left="0" w:firstLine="0"/>
        <w:contextualSpacing w:val="0"/>
        <w:jc w:val="both"/>
      </w:pPr>
      <w:r w:rsidRPr="00880CB0">
        <w:t xml:space="preserve">Immediately after PP-22, the new leadership team took swift action by embarking on an ITU-wide visioning process. Using the </w:t>
      </w:r>
      <w:r w:rsidR="00DF517C" w:rsidRPr="00880CB0">
        <w:t>s</w:t>
      </w:r>
      <w:r w:rsidRPr="00880CB0">
        <w:t xml:space="preserve">trategic </w:t>
      </w:r>
      <w:r w:rsidR="00DF517C" w:rsidRPr="00880CB0">
        <w:t>p</w:t>
      </w:r>
      <w:r w:rsidRPr="00880CB0">
        <w:t xml:space="preserve">lan and </w:t>
      </w:r>
      <w:r w:rsidR="00DF517C" w:rsidRPr="00880CB0">
        <w:t>g</w:t>
      </w:r>
      <w:r w:rsidRPr="00880CB0">
        <w:t xml:space="preserve">oals as </w:t>
      </w:r>
      <w:r w:rsidR="0072387E" w:rsidRPr="00880CB0">
        <w:t>its</w:t>
      </w:r>
      <w:r w:rsidRPr="00880CB0">
        <w:t xml:space="preserve"> compass, the </w:t>
      </w:r>
      <w:r w:rsidR="00DF517C" w:rsidRPr="00880CB0">
        <w:t>v</w:t>
      </w:r>
      <w:r w:rsidRPr="00880CB0">
        <w:t xml:space="preserve">isioning </w:t>
      </w:r>
      <w:r w:rsidR="00DF517C" w:rsidRPr="00880CB0">
        <w:t>e</w:t>
      </w:r>
      <w:r w:rsidRPr="00880CB0">
        <w:t xml:space="preserve">xercise focused on three questions: </w:t>
      </w:r>
    </w:p>
    <w:p w14:paraId="71294758" w14:textId="3F191F3C" w:rsidR="004E0A9D" w:rsidRPr="00880CB0" w:rsidRDefault="004E0A9D" w:rsidP="004E0A9D">
      <w:pPr>
        <w:pStyle w:val="ListParagraph"/>
        <w:numPr>
          <w:ilvl w:val="1"/>
          <w:numId w:val="4"/>
        </w:numPr>
        <w:tabs>
          <w:tab w:val="clear" w:pos="1134"/>
          <w:tab w:val="left" w:pos="851"/>
        </w:tabs>
        <w:spacing w:before="0"/>
        <w:ind w:left="851" w:hanging="284"/>
        <w:contextualSpacing w:val="0"/>
        <w:jc w:val="both"/>
      </w:pPr>
      <w:r w:rsidRPr="00880CB0">
        <w:t>In the context of the framework provided by the SDGs and ITU’s own Connect 2030 Agenda, where do we want to be by 2030?</w:t>
      </w:r>
    </w:p>
    <w:p w14:paraId="57A2E43E" w14:textId="77777777" w:rsidR="004E0A9D" w:rsidRPr="00880CB0" w:rsidRDefault="004E0A9D" w:rsidP="004E0A9D">
      <w:pPr>
        <w:pStyle w:val="ListParagraph"/>
        <w:numPr>
          <w:ilvl w:val="1"/>
          <w:numId w:val="4"/>
        </w:numPr>
        <w:tabs>
          <w:tab w:val="clear" w:pos="1134"/>
          <w:tab w:val="left" w:pos="851"/>
        </w:tabs>
        <w:spacing w:before="0"/>
        <w:ind w:left="851" w:hanging="284"/>
        <w:contextualSpacing w:val="0"/>
        <w:jc w:val="both"/>
      </w:pPr>
      <w:r w:rsidRPr="00880CB0">
        <w:t>Where are we today?</w:t>
      </w:r>
    </w:p>
    <w:p w14:paraId="1F1B004F" w14:textId="64B80082" w:rsidR="004E0A9D" w:rsidRPr="00880CB0" w:rsidRDefault="004E0A9D" w:rsidP="004E0A9D">
      <w:pPr>
        <w:pStyle w:val="ListParagraph"/>
        <w:numPr>
          <w:ilvl w:val="1"/>
          <w:numId w:val="4"/>
        </w:numPr>
        <w:tabs>
          <w:tab w:val="clear" w:pos="1134"/>
          <w:tab w:val="left" w:pos="851"/>
        </w:tabs>
        <w:spacing w:before="0"/>
        <w:ind w:left="851" w:hanging="284"/>
        <w:contextualSpacing w:val="0"/>
        <w:jc w:val="both"/>
      </w:pPr>
      <w:r w:rsidRPr="00880CB0">
        <w:t>What do we need to get there?</w:t>
      </w:r>
    </w:p>
    <w:p w14:paraId="72E90F4D" w14:textId="4FC9D5BA" w:rsidR="004E0A9D" w:rsidRPr="00880CB0" w:rsidRDefault="004E0A9D" w:rsidP="002721B8">
      <w:pPr>
        <w:pStyle w:val="ListParagraph"/>
        <w:numPr>
          <w:ilvl w:val="0"/>
          <w:numId w:val="4"/>
        </w:numPr>
        <w:tabs>
          <w:tab w:val="clear" w:pos="1134"/>
        </w:tabs>
        <w:spacing w:after="120"/>
        <w:ind w:left="0" w:firstLine="0"/>
        <w:contextualSpacing w:val="0"/>
        <w:jc w:val="both"/>
      </w:pPr>
      <w:r w:rsidRPr="00880CB0">
        <w:t xml:space="preserve">To enhance </w:t>
      </w:r>
      <w:r w:rsidR="0072387E" w:rsidRPr="00880CB0">
        <w:t>its</w:t>
      </w:r>
      <w:r w:rsidRPr="00880CB0">
        <w:t xml:space="preserve"> internal capacity to deliver on these ambitious goals, ITU engaged with a wide range of specialists and staff at all levels from </w:t>
      </w:r>
      <w:r w:rsidR="00724546" w:rsidRPr="00880CB0">
        <w:t xml:space="preserve">the three </w:t>
      </w:r>
      <w:r w:rsidRPr="00880CB0">
        <w:t xml:space="preserve">Bureaux, beginning with 40 but eventually scaling to 65 staff members contributing to the co-creation of </w:t>
      </w:r>
      <w:r w:rsidR="0072387E" w:rsidRPr="00880CB0">
        <w:t>the</w:t>
      </w:r>
      <w:r w:rsidRPr="00880CB0">
        <w:t xml:space="preserve"> way forward. </w:t>
      </w:r>
    </w:p>
    <w:p w14:paraId="0FFFAAE4" w14:textId="14AA2D2F" w:rsidR="004E0A9D" w:rsidRPr="00880CB0" w:rsidRDefault="004E0A9D" w:rsidP="002721B8">
      <w:pPr>
        <w:pStyle w:val="ListParagraph"/>
        <w:numPr>
          <w:ilvl w:val="0"/>
          <w:numId w:val="4"/>
        </w:numPr>
        <w:tabs>
          <w:tab w:val="clear" w:pos="1134"/>
        </w:tabs>
        <w:spacing w:after="120"/>
        <w:ind w:left="0" w:firstLine="0"/>
        <w:contextualSpacing w:val="0"/>
        <w:jc w:val="both"/>
      </w:pPr>
      <w:r w:rsidRPr="00880CB0">
        <w:lastRenderedPageBreak/>
        <w:t xml:space="preserve">In parallel, </w:t>
      </w:r>
      <w:r w:rsidR="00E258C3" w:rsidRPr="00880CB0">
        <w:t xml:space="preserve">the </w:t>
      </w:r>
      <w:r w:rsidRPr="00880CB0">
        <w:t>Secretary</w:t>
      </w:r>
      <w:r w:rsidR="0072387E" w:rsidRPr="00880CB0">
        <w:t>-</w:t>
      </w:r>
      <w:r w:rsidRPr="00880CB0">
        <w:t xml:space="preserve">General reached out to more than 40 external stakeholders at the executive level, globally. They included Member States, the private sector, UN agencies and intergovernmental organizations, civil society, academia, and a few notable individuals. </w:t>
      </w:r>
    </w:p>
    <w:p w14:paraId="5E4BA300" w14:textId="10306F31" w:rsidR="004E0A9D" w:rsidRPr="00880CB0" w:rsidRDefault="004E0A9D" w:rsidP="002721B8">
      <w:pPr>
        <w:numPr>
          <w:ilvl w:val="0"/>
          <w:numId w:val="4"/>
        </w:numPr>
        <w:tabs>
          <w:tab w:val="clear" w:pos="1134"/>
          <w:tab w:val="left" w:pos="0"/>
        </w:tabs>
        <w:spacing w:after="120"/>
        <w:ind w:left="0" w:firstLine="0"/>
        <w:jc w:val="both"/>
      </w:pPr>
      <w:r w:rsidRPr="00880CB0">
        <w:t xml:space="preserve">The </w:t>
      </w:r>
      <w:r w:rsidR="00486D27" w:rsidRPr="00880CB0">
        <w:t>e</w:t>
      </w:r>
      <w:r w:rsidRPr="00880CB0">
        <w:t>xercise was open, robust, consultative, and self-critical,</w:t>
      </w:r>
      <w:r w:rsidRPr="00880CB0">
        <w:rPr>
          <w:b/>
          <w:bCs/>
        </w:rPr>
        <w:t xml:space="preserve"> </w:t>
      </w:r>
      <w:r w:rsidRPr="00880CB0">
        <w:t>which was needed to build the vision for the future ITU. Discussions focused on three pillars:</w:t>
      </w:r>
    </w:p>
    <w:p w14:paraId="16B91D5B" w14:textId="77777777" w:rsidR="004E0A9D" w:rsidRPr="00880CB0" w:rsidRDefault="004E0A9D" w:rsidP="004E0A9D">
      <w:pPr>
        <w:numPr>
          <w:ilvl w:val="1"/>
          <w:numId w:val="4"/>
        </w:numPr>
        <w:spacing w:before="0"/>
        <w:ind w:left="993" w:hanging="426"/>
        <w:jc w:val="both"/>
      </w:pPr>
      <w:r w:rsidRPr="00880CB0">
        <w:rPr>
          <w:b/>
          <w:bCs/>
          <w:i/>
          <w:iCs/>
        </w:rPr>
        <w:t>Pillar 1: Thought leadership</w:t>
      </w:r>
      <w:r w:rsidRPr="00880CB0">
        <w:t xml:space="preserve"> – positioning ITU as a global thought leader in the digital ecosystem.</w:t>
      </w:r>
    </w:p>
    <w:p w14:paraId="56A7E42E" w14:textId="248EFEF7" w:rsidR="004E0A9D" w:rsidRPr="00880CB0" w:rsidRDefault="004E0A9D" w:rsidP="004E0A9D">
      <w:pPr>
        <w:numPr>
          <w:ilvl w:val="1"/>
          <w:numId w:val="4"/>
        </w:numPr>
        <w:spacing w:before="0"/>
        <w:ind w:left="993" w:hanging="426"/>
        <w:jc w:val="both"/>
      </w:pPr>
      <w:r w:rsidRPr="00880CB0">
        <w:rPr>
          <w:b/>
          <w:bCs/>
          <w:i/>
          <w:iCs/>
        </w:rPr>
        <w:t>Pillar 2: Strategic partnership and membership engagement</w:t>
      </w:r>
      <w:r w:rsidRPr="00880CB0">
        <w:t xml:space="preserve"> –</w:t>
      </w:r>
      <w:r w:rsidRPr="00880CB0">
        <w:rPr>
          <w:rFonts w:asciiTheme="minorHAnsi" w:hAnsiTheme="minorHAnsi" w:cstheme="minorHAnsi"/>
        </w:rPr>
        <w:t xml:space="preserve">securing and growing the engagement of our Member States, Sector Members, Associates and Academia, </w:t>
      </w:r>
      <w:proofErr w:type="gramStart"/>
      <w:r w:rsidRPr="00880CB0">
        <w:rPr>
          <w:rFonts w:asciiTheme="minorHAnsi" w:hAnsiTheme="minorHAnsi" w:cstheme="minorHAnsi"/>
        </w:rPr>
        <w:t>establishing</w:t>
      </w:r>
      <w:proofErr w:type="gramEnd"/>
      <w:r w:rsidRPr="00880CB0">
        <w:rPr>
          <w:rFonts w:asciiTheme="minorHAnsi" w:hAnsiTheme="minorHAnsi" w:cstheme="minorHAnsi"/>
        </w:rPr>
        <w:t xml:space="preserve"> and developing strategic partnerships, and mobilizing significant financial resources. </w:t>
      </w:r>
    </w:p>
    <w:p w14:paraId="01E9946D" w14:textId="5BB6EE67" w:rsidR="004E0A9D" w:rsidRPr="00880CB0" w:rsidRDefault="004E0A9D" w:rsidP="004E0A9D">
      <w:pPr>
        <w:numPr>
          <w:ilvl w:val="1"/>
          <w:numId w:val="4"/>
        </w:numPr>
        <w:spacing w:before="0"/>
        <w:ind w:left="993" w:hanging="426"/>
        <w:jc w:val="both"/>
      </w:pPr>
      <w:r w:rsidRPr="00880CB0">
        <w:rPr>
          <w:b/>
          <w:bCs/>
          <w:i/>
          <w:iCs/>
        </w:rPr>
        <w:t>Pillar 3: Organizational excellence</w:t>
      </w:r>
      <w:r w:rsidRPr="00880CB0">
        <w:t xml:space="preserve"> - </w:t>
      </w:r>
      <w:r w:rsidRPr="00880CB0">
        <w:rPr>
          <w:rFonts w:asciiTheme="minorHAnsi" w:hAnsiTheme="minorHAnsi" w:cstheme="minorHAnsi"/>
        </w:rPr>
        <w:t xml:space="preserve">achieving organizational excellence across ITU, so that this organization is recognized </w:t>
      </w:r>
      <w:r w:rsidR="00BB7165" w:rsidRPr="00880CB0">
        <w:rPr>
          <w:rFonts w:asciiTheme="minorHAnsi" w:hAnsiTheme="minorHAnsi" w:cstheme="minorHAnsi"/>
        </w:rPr>
        <w:t xml:space="preserve">for </w:t>
      </w:r>
      <w:r w:rsidRPr="00880CB0">
        <w:rPr>
          <w:rFonts w:asciiTheme="minorHAnsi" w:hAnsiTheme="minorHAnsi" w:cstheme="minorHAnsi"/>
        </w:rPr>
        <w:t xml:space="preserve">its technical expertise, efficiency, and the quality and relevance of the wide range of services that is delivered to </w:t>
      </w:r>
      <w:r w:rsidR="0072387E" w:rsidRPr="00880CB0">
        <w:rPr>
          <w:rFonts w:asciiTheme="minorHAnsi" w:hAnsiTheme="minorHAnsi" w:cstheme="minorHAnsi"/>
        </w:rPr>
        <w:t>its</w:t>
      </w:r>
      <w:r w:rsidRPr="00880CB0">
        <w:rPr>
          <w:rFonts w:asciiTheme="minorHAnsi" w:hAnsiTheme="minorHAnsi" w:cstheme="minorHAnsi"/>
        </w:rPr>
        <w:t xml:space="preserve"> </w:t>
      </w:r>
      <w:r w:rsidR="00BB7165" w:rsidRPr="00880CB0">
        <w:rPr>
          <w:rFonts w:asciiTheme="minorHAnsi" w:hAnsiTheme="minorHAnsi" w:cstheme="minorHAnsi"/>
        </w:rPr>
        <w:t>m</w:t>
      </w:r>
      <w:r w:rsidRPr="00880CB0">
        <w:rPr>
          <w:rFonts w:asciiTheme="minorHAnsi" w:hAnsiTheme="minorHAnsi" w:cstheme="minorHAnsi"/>
        </w:rPr>
        <w:t>embership.</w:t>
      </w:r>
    </w:p>
    <w:p w14:paraId="247E0DDA" w14:textId="00BDC32A" w:rsidR="004E0A9D" w:rsidRPr="00880CB0" w:rsidRDefault="004E0A9D" w:rsidP="046E5916">
      <w:pPr>
        <w:pStyle w:val="ListParagraph"/>
        <w:numPr>
          <w:ilvl w:val="0"/>
          <w:numId w:val="4"/>
        </w:numPr>
        <w:tabs>
          <w:tab w:val="clear" w:pos="1134"/>
        </w:tabs>
        <w:spacing w:after="120"/>
        <w:ind w:left="0" w:firstLine="0"/>
        <w:jc w:val="both"/>
      </w:pPr>
      <w:r w:rsidRPr="00880CB0">
        <w:t xml:space="preserve">Staff were </w:t>
      </w:r>
      <w:r w:rsidR="0CD29C70" w:rsidRPr="00880CB0">
        <w:t xml:space="preserve">also </w:t>
      </w:r>
      <w:r w:rsidRPr="00880CB0">
        <w:t>informed and engaged through ITU-wide townhalls, meetings with youth, interns, and the regional offices. Everyone was encouraged to give feedback and the doors were left open for them to share thoughts and comments through the Visioning e</w:t>
      </w:r>
      <w:r w:rsidR="00BD387E" w:rsidRPr="00880CB0">
        <w:t>-</w:t>
      </w:r>
      <w:r w:rsidRPr="00880CB0">
        <w:t xml:space="preserve">mail. </w:t>
      </w:r>
    </w:p>
    <w:p w14:paraId="23460F35" w14:textId="5EB7DFF5"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The external consultation continued through briefings with </w:t>
      </w:r>
      <w:r w:rsidR="00BD387E" w:rsidRPr="00880CB0">
        <w:t>a</w:t>
      </w:r>
      <w:r w:rsidRPr="00880CB0">
        <w:t xml:space="preserve">mbassadors and </w:t>
      </w:r>
      <w:r w:rsidR="00FE0157" w:rsidRPr="00880CB0">
        <w:t xml:space="preserve">other members of </w:t>
      </w:r>
      <w:r w:rsidRPr="00880CB0">
        <w:t xml:space="preserve">the diplomatic community, the industry, ministerial meetings, and other groups. </w:t>
      </w:r>
    </w:p>
    <w:p w14:paraId="4A1C6EA2" w14:textId="5411FEE5" w:rsidR="004E0A9D" w:rsidRPr="00880CB0" w:rsidRDefault="004E0A9D" w:rsidP="046E5916">
      <w:pPr>
        <w:pStyle w:val="ListParagraph"/>
        <w:numPr>
          <w:ilvl w:val="0"/>
          <w:numId w:val="4"/>
        </w:numPr>
        <w:tabs>
          <w:tab w:val="clear" w:pos="1134"/>
        </w:tabs>
        <w:spacing w:after="120"/>
        <w:ind w:left="0" w:firstLine="0"/>
        <w:jc w:val="both"/>
      </w:pPr>
      <w:r w:rsidRPr="00880CB0">
        <w:t xml:space="preserve">In February, the new </w:t>
      </w:r>
      <w:r w:rsidR="00FE0157" w:rsidRPr="00880CB0">
        <w:t>l</w:t>
      </w:r>
      <w:r w:rsidRPr="00880CB0">
        <w:t xml:space="preserve">eadership team led the ITU </w:t>
      </w:r>
      <w:r w:rsidR="00FE0157" w:rsidRPr="00880CB0">
        <w:t>s</w:t>
      </w:r>
      <w:r w:rsidRPr="00880CB0">
        <w:t xml:space="preserve">enior </w:t>
      </w:r>
      <w:r w:rsidR="00FE0157" w:rsidRPr="00880CB0">
        <w:t>m</w:t>
      </w:r>
      <w:r w:rsidRPr="00880CB0">
        <w:t xml:space="preserve">anagement into a retreat to refine the findings from the first phase of the </w:t>
      </w:r>
      <w:r w:rsidR="00094E2E" w:rsidRPr="00880CB0">
        <w:t>v</w:t>
      </w:r>
      <w:r w:rsidRPr="00880CB0">
        <w:t xml:space="preserve">isioning </w:t>
      </w:r>
      <w:r w:rsidR="00094E2E" w:rsidRPr="00880CB0">
        <w:t>e</w:t>
      </w:r>
      <w:r w:rsidRPr="00880CB0">
        <w:t xml:space="preserve">xercise. </w:t>
      </w:r>
      <w:r w:rsidR="0072387E" w:rsidRPr="00880CB0">
        <w:t xml:space="preserve">The retreat was an opportunity to </w:t>
      </w:r>
      <w:r w:rsidR="786E09AE" w:rsidRPr="00880CB0">
        <w:t xml:space="preserve">further develop </w:t>
      </w:r>
      <w:r w:rsidRPr="00880CB0">
        <w:t xml:space="preserve">ITU’s value proposition and </w:t>
      </w:r>
      <w:r w:rsidR="00861D60" w:rsidRPr="00880CB0">
        <w:t xml:space="preserve">determine </w:t>
      </w:r>
      <w:r w:rsidRPr="00880CB0">
        <w:t xml:space="preserve">how </w:t>
      </w:r>
      <w:r w:rsidR="0072387E" w:rsidRPr="00880CB0">
        <w:t xml:space="preserve">ITU </w:t>
      </w:r>
      <w:r w:rsidRPr="00880CB0">
        <w:t>best fit</w:t>
      </w:r>
      <w:r w:rsidR="0072387E" w:rsidRPr="00880CB0">
        <w:t>s</w:t>
      </w:r>
      <w:r w:rsidRPr="00880CB0">
        <w:t xml:space="preserve"> into this rapidly changing, technology-driven world. The management identified priority areas for ITU to become a leading digital agency. </w:t>
      </w:r>
    </w:p>
    <w:p w14:paraId="702B59AE" w14:textId="52DE34DF" w:rsidR="004E0A9D" w:rsidRPr="00880CB0" w:rsidRDefault="004E0A9D" w:rsidP="002721B8">
      <w:pPr>
        <w:pStyle w:val="Heading1"/>
        <w:spacing w:before="240" w:after="120"/>
      </w:pPr>
      <w:r w:rsidRPr="00880CB0">
        <w:t>Results</w:t>
      </w:r>
    </w:p>
    <w:p w14:paraId="37B6D73B" w14:textId="1D283E0A" w:rsidR="004E0A9D" w:rsidRPr="00880CB0" w:rsidRDefault="005A5C0E" w:rsidP="046E5916">
      <w:pPr>
        <w:pStyle w:val="ListParagraph"/>
        <w:numPr>
          <w:ilvl w:val="0"/>
          <w:numId w:val="4"/>
        </w:numPr>
        <w:tabs>
          <w:tab w:val="clear" w:pos="1134"/>
        </w:tabs>
        <w:spacing w:after="120"/>
        <w:ind w:left="0" w:firstLine="0"/>
        <w:jc w:val="both"/>
      </w:pPr>
      <w:r w:rsidRPr="00880CB0">
        <w:t>I</w:t>
      </w:r>
      <w:r w:rsidR="004E0A9D" w:rsidRPr="00880CB0">
        <w:t xml:space="preserve">t was unanimous that </w:t>
      </w:r>
      <w:r w:rsidR="0072387E" w:rsidRPr="00880CB0">
        <w:t>ITU’s</w:t>
      </w:r>
      <w:r w:rsidR="004E0A9D" w:rsidRPr="00880CB0">
        <w:t xml:space="preserve"> focus should be on achiev</w:t>
      </w:r>
      <w:r w:rsidR="30AC587C" w:rsidRPr="00880CB0">
        <w:t>ing</w:t>
      </w:r>
      <w:r w:rsidR="004E0A9D" w:rsidRPr="00880CB0">
        <w:t xml:space="preserve"> financial stability</w:t>
      </w:r>
      <w:r w:rsidR="276A3E5F" w:rsidRPr="00880CB0">
        <w:t xml:space="preserve"> and</w:t>
      </w:r>
      <w:r w:rsidR="004E0A9D" w:rsidRPr="00880CB0">
        <w:t xml:space="preserve"> </w:t>
      </w:r>
      <w:r w:rsidR="3E36EACB" w:rsidRPr="00880CB0">
        <w:t xml:space="preserve">organizational excellence, </w:t>
      </w:r>
      <w:r w:rsidR="004E0A9D" w:rsidRPr="00880CB0">
        <w:t>building trust externally, increasing our engagement with youth and strengthening ITU’s role in the digital future through foresight analysis and thought leadership on transformational technologies that have the potential for global impact.</w:t>
      </w:r>
    </w:p>
    <w:p w14:paraId="4D23FB23" w14:textId="2F0ADD04"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More importantly, the </w:t>
      </w:r>
      <w:r w:rsidR="00846DFA" w:rsidRPr="00880CB0">
        <w:t>“</w:t>
      </w:r>
      <w:r w:rsidRPr="005410A4">
        <w:t>One</w:t>
      </w:r>
      <w:r w:rsidR="00846DFA" w:rsidRPr="00880CB0">
        <w:t> </w:t>
      </w:r>
      <w:r w:rsidRPr="005410A4">
        <w:t>ITU</w:t>
      </w:r>
      <w:r w:rsidR="00846DFA" w:rsidRPr="00880CB0">
        <w:t>”</w:t>
      </w:r>
      <w:r w:rsidRPr="00880CB0">
        <w:t xml:space="preserve"> approach</w:t>
      </w:r>
      <w:r w:rsidR="0072387E" w:rsidRPr="00880CB0">
        <w:t xml:space="preserve"> must be applied</w:t>
      </w:r>
      <w:r w:rsidRPr="00880CB0">
        <w:t xml:space="preserve"> in all aspects of </w:t>
      </w:r>
      <w:r w:rsidR="0072387E" w:rsidRPr="00880CB0">
        <w:t xml:space="preserve">the </w:t>
      </w:r>
      <w:r w:rsidRPr="00880CB0">
        <w:t xml:space="preserve">work. For delivery in the field, voluntary mobility should be encouraged to increase capacity and ensure dissemination of knowledge in field offices. In the longer term, recruitment strategies and policies should be redefined so that all P-staff are </w:t>
      </w:r>
      <w:proofErr w:type="spellStart"/>
      <w:r w:rsidRPr="00880CB0">
        <w:t>redeployable</w:t>
      </w:r>
      <w:proofErr w:type="spellEnd"/>
      <w:r w:rsidRPr="00880CB0">
        <w:t xml:space="preserve"> to any ITU </w:t>
      </w:r>
      <w:r w:rsidR="00486D27" w:rsidRPr="00880CB0">
        <w:t>d</w:t>
      </w:r>
      <w:r w:rsidRPr="00880CB0">
        <w:t>uty station based on the needs of the organization.</w:t>
      </w:r>
    </w:p>
    <w:p w14:paraId="089FCF92" w14:textId="3E25A997"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All these findings from the </w:t>
      </w:r>
      <w:r w:rsidR="00517761" w:rsidRPr="00880CB0">
        <w:t>v</w:t>
      </w:r>
      <w:r w:rsidRPr="00880CB0">
        <w:t xml:space="preserve">isioning </w:t>
      </w:r>
      <w:r w:rsidR="00517761" w:rsidRPr="00880CB0">
        <w:t>e</w:t>
      </w:r>
      <w:r w:rsidRPr="00880CB0">
        <w:t xml:space="preserve">xercise, </w:t>
      </w:r>
      <w:r w:rsidR="00517761" w:rsidRPr="00880CB0">
        <w:t>s</w:t>
      </w:r>
      <w:r w:rsidRPr="00880CB0">
        <w:t xml:space="preserve">enior </w:t>
      </w:r>
      <w:r w:rsidR="00517761" w:rsidRPr="00880CB0">
        <w:t>m</w:t>
      </w:r>
      <w:r w:rsidRPr="00880CB0">
        <w:t xml:space="preserve">anagement </w:t>
      </w:r>
      <w:r w:rsidR="00517761" w:rsidRPr="00880CB0">
        <w:t>r</w:t>
      </w:r>
      <w:r w:rsidRPr="00880CB0">
        <w:t xml:space="preserve">etreat and consultation point to </w:t>
      </w:r>
      <w:r w:rsidRPr="00880CB0">
        <w:rPr>
          <w:b/>
          <w:bCs/>
        </w:rPr>
        <w:t>the need for</w:t>
      </w:r>
      <w:r w:rsidRPr="00880CB0">
        <w:t xml:space="preserve"> </w:t>
      </w:r>
      <w:r w:rsidRPr="00880CB0">
        <w:rPr>
          <w:b/>
          <w:bCs/>
        </w:rPr>
        <w:t>ITU to better fit for the challenges of today and the future</w:t>
      </w:r>
      <w:r w:rsidRPr="00880CB0">
        <w:t xml:space="preserve">. </w:t>
      </w:r>
    </w:p>
    <w:p w14:paraId="49D5718F" w14:textId="1FA39B67"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ITU needs to be ahead of the curve. Business as usual is not an option moving forward. How </w:t>
      </w:r>
      <w:r w:rsidR="0072387E" w:rsidRPr="00880CB0">
        <w:t xml:space="preserve">the </w:t>
      </w:r>
      <w:r w:rsidR="009A0750" w:rsidRPr="00880CB0">
        <w:t>organization</w:t>
      </w:r>
      <w:r w:rsidR="0072387E" w:rsidRPr="00880CB0">
        <w:t xml:space="preserve"> </w:t>
      </w:r>
      <w:r w:rsidRPr="00880CB0">
        <w:t>think</w:t>
      </w:r>
      <w:r w:rsidR="0072387E" w:rsidRPr="00880CB0">
        <w:t>s</w:t>
      </w:r>
      <w:r w:rsidRPr="00880CB0">
        <w:t>, plan</w:t>
      </w:r>
      <w:r w:rsidR="0072387E" w:rsidRPr="00880CB0">
        <w:t>s</w:t>
      </w:r>
      <w:r w:rsidRPr="00880CB0">
        <w:t>, execute</w:t>
      </w:r>
      <w:r w:rsidR="0072387E" w:rsidRPr="00880CB0">
        <w:t>s</w:t>
      </w:r>
      <w:r w:rsidRPr="00880CB0">
        <w:t xml:space="preserve"> and lead</w:t>
      </w:r>
      <w:r w:rsidR="0072387E" w:rsidRPr="00880CB0">
        <w:t>s</w:t>
      </w:r>
      <w:r w:rsidRPr="00880CB0">
        <w:t xml:space="preserve"> need a paradigm shift to be the ITU that leads the world into the digital future. </w:t>
      </w:r>
    </w:p>
    <w:p w14:paraId="67A4ACA4" w14:textId="2A28E2FC" w:rsidR="004E0A9D" w:rsidRPr="00880CB0" w:rsidRDefault="0072387E" w:rsidP="002721B8">
      <w:pPr>
        <w:pStyle w:val="ListParagraph"/>
        <w:numPr>
          <w:ilvl w:val="0"/>
          <w:numId w:val="4"/>
        </w:numPr>
        <w:tabs>
          <w:tab w:val="clear" w:pos="1134"/>
          <w:tab w:val="left" w:pos="0"/>
        </w:tabs>
        <w:spacing w:after="120"/>
        <w:ind w:left="0" w:firstLine="0"/>
        <w:contextualSpacing w:val="0"/>
        <w:jc w:val="both"/>
      </w:pPr>
      <w:r w:rsidRPr="00880CB0">
        <w:t>The</w:t>
      </w:r>
      <w:r w:rsidR="00786BB5" w:rsidRPr="00880CB0">
        <w:t>re</w:t>
      </w:r>
      <w:r w:rsidRPr="00880CB0">
        <w:t xml:space="preserve"> </w:t>
      </w:r>
      <w:r w:rsidR="00786BB5" w:rsidRPr="00880CB0">
        <w:t xml:space="preserve">is a </w:t>
      </w:r>
      <w:r w:rsidR="004E0A9D" w:rsidRPr="00880CB0">
        <w:t xml:space="preserve">plan based on the three pillars of the </w:t>
      </w:r>
      <w:r w:rsidR="0095555B" w:rsidRPr="00880CB0">
        <w:t>v</w:t>
      </w:r>
      <w:r w:rsidR="004E0A9D" w:rsidRPr="00880CB0">
        <w:t xml:space="preserve">isioning </w:t>
      </w:r>
      <w:r w:rsidR="0095555B" w:rsidRPr="00880CB0">
        <w:t>e</w:t>
      </w:r>
      <w:r w:rsidR="004E0A9D" w:rsidRPr="00880CB0">
        <w:t xml:space="preserve">xercise and aligned with the </w:t>
      </w:r>
      <w:r w:rsidR="0095555B" w:rsidRPr="00880CB0">
        <w:t>s</w:t>
      </w:r>
      <w:r w:rsidR="004E0A9D" w:rsidRPr="00880CB0">
        <w:t xml:space="preserve">trategic </w:t>
      </w:r>
      <w:r w:rsidR="0095555B" w:rsidRPr="00880CB0">
        <w:t>p</w:t>
      </w:r>
      <w:r w:rsidR="004E0A9D" w:rsidRPr="00880CB0">
        <w:t xml:space="preserve">lan </w:t>
      </w:r>
      <w:r w:rsidR="0095555B" w:rsidRPr="00880CB0">
        <w:t xml:space="preserve">for </w:t>
      </w:r>
      <w:r w:rsidR="004E0A9D" w:rsidRPr="00880CB0">
        <w:t>2024</w:t>
      </w:r>
      <w:r w:rsidR="00486D27" w:rsidRPr="00880CB0">
        <w:t>–</w:t>
      </w:r>
      <w:r w:rsidR="004E0A9D" w:rsidRPr="00880CB0">
        <w:t>2027 and the guidance received from PP-22.</w:t>
      </w:r>
    </w:p>
    <w:p w14:paraId="509A17F8" w14:textId="12E426AE"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lastRenderedPageBreak/>
        <w:t xml:space="preserve">The work has been categorized into </w:t>
      </w:r>
      <w:r w:rsidR="0095555B" w:rsidRPr="00880CB0">
        <w:t>i</w:t>
      </w:r>
      <w:r w:rsidRPr="00880CB0">
        <w:t xml:space="preserve">nternal and </w:t>
      </w:r>
      <w:r w:rsidR="0095555B" w:rsidRPr="00880CB0">
        <w:t>e</w:t>
      </w:r>
      <w:r w:rsidRPr="00880CB0">
        <w:t xml:space="preserve">xternal for the short and medium-term (2023-2024). </w:t>
      </w:r>
    </w:p>
    <w:p w14:paraId="11117E33" w14:textId="77777777" w:rsidR="004E0A9D" w:rsidRPr="00880CB0" w:rsidRDefault="004E0A9D" w:rsidP="002721B8">
      <w:pPr>
        <w:pStyle w:val="Heading1"/>
        <w:spacing w:before="240" w:after="120"/>
      </w:pPr>
      <w:r w:rsidRPr="00880CB0">
        <w:t>Next steps</w:t>
      </w:r>
    </w:p>
    <w:p w14:paraId="1E7140BD" w14:textId="460AFA2D" w:rsidR="004E0A9D" w:rsidRPr="00880CB0" w:rsidRDefault="004E0A9D" w:rsidP="002721B8">
      <w:pPr>
        <w:pStyle w:val="ListParagraph"/>
        <w:numPr>
          <w:ilvl w:val="0"/>
          <w:numId w:val="4"/>
        </w:numPr>
        <w:tabs>
          <w:tab w:val="clear" w:pos="567"/>
          <w:tab w:val="clear" w:pos="1134"/>
          <w:tab w:val="clear" w:pos="1701"/>
          <w:tab w:val="clear" w:pos="2268"/>
          <w:tab w:val="clear" w:pos="2835"/>
          <w:tab w:val="left" w:pos="0"/>
        </w:tabs>
        <w:overflowPunct/>
        <w:autoSpaceDE/>
        <w:autoSpaceDN/>
        <w:adjustRightInd/>
        <w:spacing w:after="120"/>
        <w:ind w:left="0" w:firstLine="0"/>
        <w:contextualSpacing w:val="0"/>
        <w:jc w:val="both"/>
        <w:textAlignment w:val="auto"/>
      </w:pPr>
      <w:r w:rsidRPr="00880CB0">
        <w:rPr>
          <w:b/>
          <w:bCs/>
        </w:rPr>
        <w:t>Internal efforts</w:t>
      </w:r>
      <w:r w:rsidRPr="00880CB0">
        <w:t xml:space="preserve"> will focus on the third pillar, </w:t>
      </w:r>
      <w:r w:rsidRPr="00880CB0">
        <w:rPr>
          <w:b/>
          <w:bCs/>
        </w:rPr>
        <w:t>organizational excellence</w:t>
      </w:r>
      <w:r w:rsidRPr="00880CB0">
        <w:t xml:space="preserve">. The case for change on internal transformation presented to </w:t>
      </w:r>
      <w:r w:rsidR="00297153" w:rsidRPr="00880CB0">
        <w:t xml:space="preserve">the ITU </w:t>
      </w:r>
      <w:r w:rsidRPr="00880CB0">
        <w:t xml:space="preserve">Council outlines a </w:t>
      </w:r>
      <w:r w:rsidR="00C769FC" w:rsidRPr="005410A4">
        <w:t>t</w:t>
      </w:r>
      <w:r w:rsidRPr="005410A4">
        <w:t xml:space="preserve">ransformation </w:t>
      </w:r>
      <w:r w:rsidR="00C769FC" w:rsidRPr="005410A4">
        <w:t>r</w:t>
      </w:r>
      <w:r w:rsidRPr="005410A4">
        <w:t xml:space="preserve">oadmap to achieve </w:t>
      </w:r>
      <w:r w:rsidR="00C769FC" w:rsidRPr="005410A4">
        <w:t>o</w:t>
      </w:r>
      <w:r w:rsidRPr="005410A4">
        <w:t xml:space="preserve">rganizational </w:t>
      </w:r>
      <w:r w:rsidR="00C769FC" w:rsidRPr="005410A4">
        <w:t>e</w:t>
      </w:r>
      <w:r w:rsidRPr="005410A4">
        <w:t>xcellence</w:t>
      </w:r>
      <w:r w:rsidRPr="00880CB0">
        <w:t xml:space="preserve"> </w:t>
      </w:r>
      <w:r w:rsidR="0056612C" w:rsidRPr="00880CB0">
        <w:t>(</w:t>
      </w:r>
      <w:hyperlink r:id="rId15" w:history="1">
        <w:r w:rsidR="0056612C" w:rsidRPr="00880CB0">
          <w:rPr>
            <w:rStyle w:val="Hyperlink"/>
          </w:rPr>
          <w:t>C23/52</w:t>
        </w:r>
      </w:hyperlink>
      <w:r w:rsidR="0056612C" w:rsidRPr="00880CB0">
        <w:t xml:space="preserve">) </w:t>
      </w:r>
      <w:r w:rsidRPr="00880CB0">
        <w:t xml:space="preserve">and will prioritise: </w:t>
      </w:r>
    </w:p>
    <w:p w14:paraId="79CD5AF6" w14:textId="1ABD3228" w:rsidR="004E0A9D" w:rsidRPr="00880CB0" w:rsidRDefault="006F2EBB" w:rsidP="004E0A9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80CB0">
        <w:t>p</w:t>
      </w:r>
      <w:r w:rsidR="004E0A9D" w:rsidRPr="00880CB0">
        <w:t xml:space="preserve">eople and </w:t>
      </w:r>
      <w:proofErr w:type="gramStart"/>
      <w:r w:rsidR="004E0A9D" w:rsidRPr="00880CB0">
        <w:t>culture;</w:t>
      </w:r>
      <w:proofErr w:type="gramEnd"/>
    </w:p>
    <w:p w14:paraId="56279A6F" w14:textId="34A9E3DA" w:rsidR="004E0A9D" w:rsidRPr="00880CB0" w:rsidRDefault="006F2EBB" w:rsidP="004E0A9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80CB0">
        <w:t>f</w:t>
      </w:r>
      <w:r w:rsidR="004E0A9D" w:rsidRPr="00880CB0">
        <w:t xml:space="preserve">inancial management and </w:t>
      </w:r>
      <w:proofErr w:type="gramStart"/>
      <w:r w:rsidR="004E0A9D" w:rsidRPr="00880CB0">
        <w:t>planning;</w:t>
      </w:r>
      <w:proofErr w:type="gramEnd"/>
    </w:p>
    <w:p w14:paraId="485C72F5" w14:textId="27F490D9" w:rsidR="004E0A9D" w:rsidRPr="00880CB0" w:rsidRDefault="006F2EBB" w:rsidP="004E0A9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80CB0">
        <w:t>s</w:t>
      </w:r>
      <w:r w:rsidR="004E0A9D" w:rsidRPr="00880CB0">
        <w:t xml:space="preserve">ystems, </w:t>
      </w:r>
      <w:proofErr w:type="gramStart"/>
      <w:r w:rsidR="000266E5" w:rsidRPr="00880CB0">
        <w:t>processes</w:t>
      </w:r>
      <w:proofErr w:type="gramEnd"/>
      <w:r w:rsidR="004E0A9D" w:rsidRPr="00880CB0">
        <w:t xml:space="preserve"> and tools; and</w:t>
      </w:r>
    </w:p>
    <w:p w14:paraId="1DB30AA8" w14:textId="633F51C3" w:rsidR="004E0A9D" w:rsidRPr="00880CB0" w:rsidRDefault="006F2EBB" w:rsidP="004E0A9D">
      <w:pPr>
        <w:pStyle w:val="ListParagraph"/>
        <w:numPr>
          <w:ilvl w:val="0"/>
          <w:numId w:val="3"/>
        </w:numPr>
        <w:tabs>
          <w:tab w:val="clear" w:pos="567"/>
          <w:tab w:val="clear" w:pos="1134"/>
          <w:tab w:val="clear" w:pos="1701"/>
          <w:tab w:val="clear" w:pos="2268"/>
          <w:tab w:val="clear" w:pos="2835"/>
        </w:tabs>
        <w:overflowPunct/>
        <w:autoSpaceDE/>
        <w:autoSpaceDN/>
        <w:adjustRightInd/>
        <w:spacing w:before="0"/>
        <w:jc w:val="both"/>
        <w:textAlignment w:val="auto"/>
      </w:pPr>
      <w:r w:rsidRPr="00880CB0">
        <w:t>o</w:t>
      </w:r>
      <w:r w:rsidR="004E0A9D" w:rsidRPr="00880CB0">
        <w:t xml:space="preserve">versight, internal </w:t>
      </w:r>
      <w:proofErr w:type="gramStart"/>
      <w:r w:rsidR="004E0A9D" w:rsidRPr="00880CB0">
        <w:t>controls</w:t>
      </w:r>
      <w:proofErr w:type="gramEnd"/>
      <w:r w:rsidR="004E0A9D" w:rsidRPr="00880CB0">
        <w:t xml:space="preserve"> and governance.</w:t>
      </w:r>
    </w:p>
    <w:p w14:paraId="0DBE3F67" w14:textId="74DE549D"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A stronger focus on the capacity of staff to deliver has also started with the </w:t>
      </w:r>
      <w:r w:rsidR="00C75CFB" w:rsidRPr="00880CB0">
        <w:t xml:space="preserve">introduction of </w:t>
      </w:r>
      <w:r w:rsidRPr="005410A4">
        <w:t>Learning Labs</w:t>
      </w:r>
      <w:r w:rsidRPr="00880CB0">
        <w:t xml:space="preserve"> (experiential training and continuing education for staff) and </w:t>
      </w:r>
      <w:r w:rsidR="00DE59C9" w:rsidRPr="00880CB0">
        <w:t xml:space="preserve">the </w:t>
      </w:r>
      <w:r w:rsidRPr="005410A4">
        <w:t>Changemakers Programme</w:t>
      </w:r>
      <w:r w:rsidRPr="00880CB0">
        <w:t xml:space="preserve"> (using the findings of the </w:t>
      </w:r>
      <w:r w:rsidR="005205E8" w:rsidRPr="00880CB0">
        <w:t>v</w:t>
      </w:r>
      <w:r w:rsidRPr="00880CB0">
        <w:t xml:space="preserve">isioning </w:t>
      </w:r>
      <w:r w:rsidR="005205E8" w:rsidRPr="00880CB0">
        <w:t>e</w:t>
      </w:r>
      <w:r w:rsidRPr="00880CB0">
        <w:t xml:space="preserve">xercise as case studies). </w:t>
      </w:r>
    </w:p>
    <w:p w14:paraId="5FF183E6" w14:textId="4767E6EA" w:rsidR="004E0A9D" w:rsidRPr="00880CB0" w:rsidRDefault="68A273DB" w:rsidP="046E5916">
      <w:pPr>
        <w:pStyle w:val="ListParagraph"/>
        <w:numPr>
          <w:ilvl w:val="0"/>
          <w:numId w:val="4"/>
        </w:numPr>
        <w:tabs>
          <w:tab w:val="clear" w:pos="1134"/>
        </w:tabs>
        <w:spacing w:after="120"/>
        <w:ind w:left="0" w:firstLine="0"/>
        <w:jc w:val="both"/>
      </w:pPr>
      <w:r w:rsidRPr="00880CB0">
        <w:t xml:space="preserve">By </w:t>
      </w:r>
      <w:r w:rsidR="004E0A9D" w:rsidRPr="00880CB0">
        <w:t>the end of this journey, the ITU of 2027 should be working in a better way</w:t>
      </w:r>
      <w:r w:rsidR="0072387E" w:rsidRPr="00880CB0">
        <w:t xml:space="preserve"> to be </w:t>
      </w:r>
      <w:r w:rsidR="004E0A9D" w:rsidRPr="00880CB0">
        <w:t xml:space="preserve">in the right position to deliver higher value on the first two pillars. Everything being done internally is about delivering thought leadership and better value to members and partners as </w:t>
      </w:r>
      <w:r w:rsidR="00846DFA" w:rsidRPr="00880CB0">
        <w:t>“</w:t>
      </w:r>
      <w:r w:rsidR="004E0A9D" w:rsidRPr="005410A4">
        <w:t>One</w:t>
      </w:r>
      <w:r w:rsidR="00846DFA" w:rsidRPr="005410A4">
        <w:t xml:space="preserve"> </w:t>
      </w:r>
      <w:r w:rsidR="004E0A9D" w:rsidRPr="005410A4">
        <w:t>ITU</w:t>
      </w:r>
      <w:r w:rsidR="00846DFA" w:rsidRPr="005410A4">
        <w:t>”</w:t>
      </w:r>
      <w:r w:rsidR="004E0A9D" w:rsidRPr="00880CB0">
        <w:t xml:space="preserve">. </w:t>
      </w:r>
    </w:p>
    <w:p w14:paraId="626F67EE" w14:textId="77777777"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rPr>
          <w:b/>
          <w:bCs/>
        </w:rPr>
        <w:t xml:space="preserve">External efforts </w:t>
      </w:r>
      <w:r w:rsidRPr="00880CB0">
        <w:t xml:space="preserve">focus on the first two pillars: thought leadership, and strategic partnership and membership engagement. </w:t>
      </w:r>
    </w:p>
    <w:p w14:paraId="10EA2D9D" w14:textId="61B8C224"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Pillar 1 has kicked-off with an emerging trends observatory with four prongs – </w:t>
      </w:r>
      <w:r w:rsidRPr="00880CB0">
        <w:rPr>
          <w:i/>
          <w:iCs/>
        </w:rPr>
        <w:t>Future Vision</w:t>
      </w:r>
      <w:r w:rsidRPr="00880CB0">
        <w:t xml:space="preserve"> (emerging trends), </w:t>
      </w:r>
      <w:r w:rsidRPr="00880CB0">
        <w:rPr>
          <w:i/>
          <w:iCs/>
        </w:rPr>
        <w:t>Demystifying Digital</w:t>
      </w:r>
      <w:r w:rsidRPr="00880CB0">
        <w:t xml:space="preserve"> (engaging with the diplomatic community on topics such as AI, metaverse, ITU 101, etc.), </w:t>
      </w:r>
      <w:r w:rsidRPr="00880CB0">
        <w:rPr>
          <w:i/>
          <w:iCs/>
        </w:rPr>
        <w:t>Learning Labs</w:t>
      </w:r>
      <w:r w:rsidRPr="00880CB0">
        <w:t xml:space="preserve"> and a </w:t>
      </w:r>
      <w:r w:rsidRPr="00880CB0">
        <w:rPr>
          <w:i/>
          <w:iCs/>
        </w:rPr>
        <w:t>Friends of ITU Academic Network</w:t>
      </w:r>
      <w:r w:rsidRPr="00880CB0">
        <w:t xml:space="preserve"> (to </w:t>
      </w:r>
      <w:r w:rsidR="00D44D1A" w:rsidRPr="00880CB0">
        <w:t xml:space="preserve">provide </w:t>
      </w:r>
      <w:r w:rsidRPr="00880CB0">
        <w:t xml:space="preserve">support with white papers, research sprints, thought pieces, etc.). </w:t>
      </w:r>
    </w:p>
    <w:p w14:paraId="16B991BB" w14:textId="17E12949"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Meanwhile, the briefings continue with the </w:t>
      </w:r>
      <w:r w:rsidR="00D44E84" w:rsidRPr="00880CB0">
        <w:t>a</w:t>
      </w:r>
      <w:r w:rsidRPr="00880CB0">
        <w:t xml:space="preserve">mbassadors and </w:t>
      </w:r>
      <w:r w:rsidR="00D44E84" w:rsidRPr="00880CB0">
        <w:t xml:space="preserve">other members of the </w:t>
      </w:r>
      <w:r w:rsidRPr="00880CB0">
        <w:t>diplomatic community and meetings are being organized with the industry (</w:t>
      </w:r>
      <w:proofErr w:type="gramStart"/>
      <w:r w:rsidRPr="00880CB0">
        <w:t>e.g.</w:t>
      </w:r>
      <w:proofErr w:type="gramEnd"/>
      <w:r w:rsidRPr="00880CB0">
        <w:t xml:space="preserve"> during Mobile World Congress 2023, on the </w:t>
      </w:r>
      <w:proofErr w:type="spellStart"/>
      <w:r w:rsidRPr="00880CB0">
        <w:t>sideline</w:t>
      </w:r>
      <w:r w:rsidR="001721E3" w:rsidRPr="00880CB0">
        <w:t>s</w:t>
      </w:r>
      <w:proofErr w:type="spellEnd"/>
      <w:r w:rsidRPr="00880CB0">
        <w:t xml:space="preserve"> of the Conference Preparatory Meeting</w:t>
      </w:r>
      <w:r w:rsidR="00E75BAE" w:rsidRPr="00880CB0">
        <w:t xml:space="preserve"> for the 2023 World Radiocommunication Conference</w:t>
      </w:r>
      <w:r w:rsidRPr="00880CB0">
        <w:t xml:space="preserve">, etc.) on areas identified as priorities. </w:t>
      </w:r>
    </w:p>
    <w:p w14:paraId="0A88398C" w14:textId="77777777"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Flagship initiatives and events that will springboard ITU into a more strategic position will continue, such as AI for Good, Partner2Connect, SDG Digital Day, GSR, WSIS Forum, Girls in ICT Day and Digital Day at COP28. </w:t>
      </w:r>
    </w:p>
    <w:p w14:paraId="5624F58A" w14:textId="5234F3E1"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On strategic partnership and membership engagement, actions since PP</w:t>
      </w:r>
      <w:r w:rsidR="00D65D8E" w:rsidRPr="00880CB0">
        <w:t>-22</w:t>
      </w:r>
      <w:r w:rsidRPr="00880CB0">
        <w:t xml:space="preserve"> have been based on Decision 5 to develop an ITU-wide resource mobilization strategy to address the need for additional funding to meet organizational priorities</w:t>
      </w:r>
      <w:r w:rsidR="0056612C" w:rsidRPr="00880CB0">
        <w:t xml:space="preserve"> (</w:t>
      </w:r>
      <w:hyperlink r:id="rId16" w:history="1">
        <w:r w:rsidR="0056612C" w:rsidRPr="00880CB0">
          <w:rPr>
            <w:rStyle w:val="Hyperlink"/>
          </w:rPr>
          <w:t>C23/62</w:t>
        </w:r>
      </w:hyperlink>
      <w:r w:rsidR="0056612C" w:rsidRPr="00880CB0">
        <w:t>)</w:t>
      </w:r>
      <w:r w:rsidRPr="00880CB0">
        <w:t xml:space="preserve">. Based on the outcomes from the </w:t>
      </w:r>
      <w:r w:rsidR="00206701" w:rsidRPr="00880CB0">
        <w:t>v</w:t>
      </w:r>
      <w:r w:rsidRPr="00880CB0">
        <w:t xml:space="preserve">isioning </w:t>
      </w:r>
      <w:r w:rsidR="00206701" w:rsidRPr="00880CB0">
        <w:t>e</w:t>
      </w:r>
      <w:r w:rsidRPr="00880CB0">
        <w:t xml:space="preserve">xercise, and further discussions at the </w:t>
      </w:r>
      <w:r w:rsidR="00206701" w:rsidRPr="00880CB0">
        <w:t>s</w:t>
      </w:r>
      <w:r w:rsidRPr="00880CB0">
        <w:t xml:space="preserve">enior </w:t>
      </w:r>
      <w:r w:rsidR="00206701" w:rsidRPr="00880CB0">
        <w:t>m</w:t>
      </w:r>
      <w:r w:rsidRPr="00880CB0">
        <w:t xml:space="preserve">anagement </w:t>
      </w:r>
      <w:r w:rsidR="00206701" w:rsidRPr="00880CB0">
        <w:t>r</w:t>
      </w:r>
      <w:r w:rsidRPr="00880CB0">
        <w:t xml:space="preserve">etreat in February, </w:t>
      </w:r>
      <w:r w:rsidR="002C57EB" w:rsidRPr="00880CB0">
        <w:t xml:space="preserve">ITU </w:t>
      </w:r>
      <w:r w:rsidRPr="00880CB0">
        <w:t xml:space="preserve">engaged Boston Consulting Group (BCG), who on a </w:t>
      </w:r>
      <w:r w:rsidR="000266E5" w:rsidRPr="00880CB0">
        <w:rPr>
          <w:i/>
          <w:iCs/>
        </w:rPr>
        <w:t>pro bono</w:t>
      </w:r>
      <w:r w:rsidRPr="00880CB0">
        <w:t xml:space="preserve"> basis has laid the foundation for the development of </w:t>
      </w:r>
      <w:r w:rsidR="002C57EB" w:rsidRPr="00880CB0">
        <w:t>ITU</w:t>
      </w:r>
      <w:r w:rsidR="00786BB5" w:rsidRPr="00880CB0">
        <w:t>’s</w:t>
      </w:r>
      <w:r w:rsidR="002C57EB" w:rsidRPr="00880CB0">
        <w:t xml:space="preserve"> </w:t>
      </w:r>
      <w:r w:rsidRPr="00880CB0">
        <w:t>partnership and resource mobilization strategy.</w:t>
      </w:r>
    </w:p>
    <w:p w14:paraId="29A28F5C" w14:textId="612983CE" w:rsidR="004E0A9D" w:rsidRPr="00880CB0" w:rsidRDefault="004E0A9D" w:rsidP="002721B8">
      <w:pPr>
        <w:pStyle w:val="ListParagraph"/>
        <w:numPr>
          <w:ilvl w:val="0"/>
          <w:numId w:val="4"/>
        </w:numPr>
        <w:tabs>
          <w:tab w:val="clear" w:pos="1134"/>
          <w:tab w:val="left" w:pos="0"/>
        </w:tabs>
        <w:spacing w:after="120"/>
        <w:ind w:left="0" w:firstLine="0"/>
        <w:contextualSpacing w:val="0"/>
        <w:jc w:val="both"/>
      </w:pPr>
      <w:r w:rsidRPr="00880CB0">
        <w:t xml:space="preserve">The BCG work </w:t>
      </w:r>
      <w:r w:rsidR="003171CE" w:rsidRPr="00880CB0">
        <w:t xml:space="preserve">included </w:t>
      </w:r>
      <w:r w:rsidRPr="00880CB0">
        <w:t>interview</w:t>
      </w:r>
      <w:r w:rsidR="003171CE" w:rsidRPr="00880CB0">
        <w:t>s</w:t>
      </w:r>
      <w:r w:rsidRPr="00880CB0">
        <w:t xml:space="preserve"> </w:t>
      </w:r>
      <w:r w:rsidR="003171CE" w:rsidRPr="00880CB0">
        <w:t xml:space="preserve">with </w:t>
      </w:r>
      <w:r w:rsidRPr="00880CB0">
        <w:t>44 external stakeholders</w:t>
      </w:r>
      <w:r w:rsidR="003171CE" w:rsidRPr="00880CB0">
        <w:t>,</w:t>
      </w:r>
      <w:r w:rsidRPr="00880CB0">
        <w:t xml:space="preserve"> including Member States and Sector Members, and over 30 internal ITU colleagues, and has provided:</w:t>
      </w:r>
    </w:p>
    <w:p w14:paraId="4BBE4A70" w14:textId="7C85DCE2" w:rsidR="004E0A9D" w:rsidRPr="00880CB0" w:rsidRDefault="004E0A9D" w:rsidP="002721B8">
      <w:pPr>
        <w:pStyle w:val="ListParagraph"/>
        <w:numPr>
          <w:ilvl w:val="1"/>
          <w:numId w:val="4"/>
        </w:numPr>
        <w:tabs>
          <w:tab w:val="clear" w:pos="1134"/>
          <w:tab w:val="left" w:pos="0"/>
        </w:tabs>
        <w:spacing w:after="120"/>
        <w:ind w:left="1134" w:hanging="425"/>
        <w:contextualSpacing w:val="0"/>
        <w:jc w:val="both"/>
      </w:pPr>
      <w:r w:rsidRPr="00880CB0">
        <w:t xml:space="preserve">a baseline assessment of </w:t>
      </w:r>
      <w:r w:rsidR="00786BB5" w:rsidRPr="00880CB0">
        <w:t xml:space="preserve">ITU’s </w:t>
      </w:r>
      <w:r w:rsidRPr="00880CB0">
        <w:t xml:space="preserve">current funding situation and how </w:t>
      </w:r>
      <w:r w:rsidR="00EE0FDD" w:rsidRPr="00880CB0">
        <w:t xml:space="preserve">it </w:t>
      </w:r>
      <w:r w:rsidRPr="00880CB0">
        <w:t>compare</w:t>
      </w:r>
      <w:r w:rsidR="00EE0FDD" w:rsidRPr="00880CB0">
        <w:t>s</w:t>
      </w:r>
      <w:r w:rsidRPr="00880CB0">
        <w:t xml:space="preserve"> </w:t>
      </w:r>
      <w:r w:rsidR="00EE0FDD" w:rsidRPr="00880CB0">
        <w:t xml:space="preserve">with </w:t>
      </w:r>
      <w:r w:rsidR="002C57EB" w:rsidRPr="00880CB0">
        <w:t xml:space="preserve">other </w:t>
      </w:r>
      <w:r w:rsidRPr="00880CB0">
        <w:t xml:space="preserve">UN </w:t>
      </w:r>
      <w:proofErr w:type="gramStart"/>
      <w:r w:rsidRPr="00880CB0">
        <w:t>agenc</w:t>
      </w:r>
      <w:r w:rsidR="002C57EB" w:rsidRPr="00880CB0">
        <w:t>ies</w:t>
      </w:r>
      <w:r w:rsidR="00786BB5" w:rsidRPr="00880CB0">
        <w:t>;</w:t>
      </w:r>
      <w:proofErr w:type="gramEnd"/>
    </w:p>
    <w:p w14:paraId="5E3A765D" w14:textId="6FB48F61" w:rsidR="004E0A9D" w:rsidRPr="00880CB0" w:rsidRDefault="004E0A9D" w:rsidP="002721B8">
      <w:pPr>
        <w:pStyle w:val="ListParagraph"/>
        <w:numPr>
          <w:ilvl w:val="1"/>
          <w:numId w:val="4"/>
        </w:numPr>
        <w:tabs>
          <w:tab w:val="clear" w:pos="1134"/>
          <w:tab w:val="left" w:pos="0"/>
        </w:tabs>
        <w:spacing w:after="120"/>
        <w:ind w:left="1134" w:hanging="425"/>
        <w:contextualSpacing w:val="0"/>
        <w:jc w:val="both"/>
      </w:pPr>
      <w:r w:rsidRPr="00880CB0">
        <w:lastRenderedPageBreak/>
        <w:t>an assessment of ITU</w:t>
      </w:r>
      <w:r w:rsidR="002C57EB" w:rsidRPr="00880CB0">
        <w:t>’s</w:t>
      </w:r>
      <w:r w:rsidRPr="00880CB0">
        <w:t xml:space="preserve"> strengths on which </w:t>
      </w:r>
      <w:r w:rsidR="002C57EB" w:rsidRPr="00880CB0">
        <w:t xml:space="preserve">it </w:t>
      </w:r>
      <w:r w:rsidRPr="00880CB0">
        <w:t xml:space="preserve">should build </w:t>
      </w:r>
      <w:r w:rsidR="002C57EB" w:rsidRPr="00880CB0">
        <w:t>its</w:t>
      </w:r>
      <w:r w:rsidRPr="00880CB0">
        <w:t xml:space="preserve"> partnership and resource mobilization strategy</w:t>
      </w:r>
      <w:r w:rsidR="00786BB5" w:rsidRPr="00880CB0">
        <w:t>; and</w:t>
      </w:r>
    </w:p>
    <w:p w14:paraId="03DBB929" w14:textId="6AE74BA7" w:rsidR="004E0A9D" w:rsidRPr="00880CB0" w:rsidRDefault="004E0A9D" w:rsidP="002721B8">
      <w:pPr>
        <w:pStyle w:val="ListParagraph"/>
        <w:numPr>
          <w:ilvl w:val="1"/>
          <w:numId w:val="4"/>
        </w:numPr>
        <w:tabs>
          <w:tab w:val="clear" w:pos="1134"/>
          <w:tab w:val="left" w:pos="0"/>
        </w:tabs>
        <w:spacing w:after="120"/>
        <w:ind w:left="1134" w:hanging="425"/>
        <w:contextualSpacing w:val="0"/>
        <w:jc w:val="both"/>
      </w:pPr>
      <w:r w:rsidRPr="00880CB0">
        <w:t>potential key resource mobilization levers that each have the potential to increase ITU</w:t>
      </w:r>
      <w:r w:rsidR="002F367B" w:rsidRPr="00880CB0">
        <w:t>’</w:t>
      </w:r>
      <w:r w:rsidRPr="00880CB0">
        <w:t xml:space="preserve">s funding streams, together with a list of next step concrete actions. </w:t>
      </w:r>
    </w:p>
    <w:p w14:paraId="562C9AFC" w14:textId="2D0027EF" w:rsidR="00786BB5" w:rsidRPr="00880CB0" w:rsidRDefault="002C57EB" w:rsidP="002721B8">
      <w:pPr>
        <w:pStyle w:val="ListParagraph"/>
        <w:numPr>
          <w:ilvl w:val="0"/>
          <w:numId w:val="4"/>
        </w:numPr>
        <w:tabs>
          <w:tab w:val="clear" w:pos="1134"/>
          <w:tab w:val="left" w:pos="0"/>
        </w:tabs>
        <w:spacing w:after="120"/>
        <w:ind w:left="0" w:firstLine="0"/>
        <w:contextualSpacing w:val="0"/>
        <w:jc w:val="both"/>
        <w:rPr>
          <w:rFonts w:asciiTheme="minorHAnsi" w:hAnsiTheme="minorHAnsi" w:cstheme="minorHAnsi"/>
        </w:rPr>
      </w:pPr>
      <w:r w:rsidRPr="00880CB0">
        <w:t>A</w:t>
      </w:r>
      <w:r w:rsidR="004E0A9D" w:rsidRPr="00880CB0">
        <w:t xml:space="preserve"> </w:t>
      </w:r>
      <w:r w:rsidR="004E0A9D" w:rsidRPr="005410A4">
        <w:t>One</w:t>
      </w:r>
      <w:r w:rsidR="000457F5" w:rsidRPr="00880CB0">
        <w:t> </w:t>
      </w:r>
      <w:r w:rsidR="004E0A9D" w:rsidRPr="005410A4">
        <w:t>ITU</w:t>
      </w:r>
      <w:r w:rsidR="004E0A9D" w:rsidRPr="00880CB0">
        <w:t xml:space="preserve"> Resource Mobilization Task</w:t>
      </w:r>
      <w:r w:rsidR="00BF2D9D" w:rsidRPr="00880CB0">
        <w:t xml:space="preserve"> F</w:t>
      </w:r>
      <w:r w:rsidR="004E0A9D" w:rsidRPr="00880CB0">
        <w:t>orce</w:t>
      </w:r>
      <w:r w:rsidRPr="00880CB0">
        <w:t xml:space="preserve"> has been launched </w:t>
      </w:r>
      <w:r w:rsidR="004E0A9D" w:rsidRPr="00880CB0">
        <w:t>to assess the best way forward to prioritize and implement these recommendations</w:t>
      </w:r>
      <w:r w:rsidR="009A0750" w:rsidRPr="00880CB0">
        <w:t xml:space="preserve"> (see document </w:t>
      </w:r>
      <w:hyperlink r:id="rId17" w:history="1">
        <w:r w:rsidR="009A0750" w:rsidRPr="00880CB0">
          <w:rPr>
            <w:rStyle w:val="Hyperlink"/>
          </w:rPr>
          <w:t>C23/62</w:t>
        </w:r>
      </w:hyperlink>
      <w:r w:rsidR="009A0750" w:rsidRPr="00880CB0">
        <w:t>)</w:t>
      </w:r>
      <w:r w:rsidRPr="00880CB0">
        <w:t xml:space="preserve">. </w:t>
      </w:r>
      <w:r w:rsidR="00786BB5" w:rsidRPr="00880CB0">
        <w:rPr>
          <w:rFonts w:asciiTheme="minorHAnsi" w:hAnsiTheme="minorHAnsi" w:cstheme="minorHAnsi"/>
        </w:rPr>
        <w:t>With very limited resources at hand, ITU must be very mindful about how they are used and focus on what is relevant for 2030 as well as what matters most to the organi</w:t>
      </w:r>
      <w:r w:rsidR="009A0750" w:rsidRPr="00880CB0">
        <w:rPr>
          <w:rFonts w:asciiTheme="minorHAnsi" w:hAnsiTheme="minorHAnsi" w:cstheme="minorHAnsi"/>
        </w:rPr>
        <w:t>z</w:t>
      </w:r>
      <w:r w:rsidR="00786BB5" w:rsidRPr="00880CB0">
        <w:rPr>
          <w:rFonts w:asciiTheme="minorHAnsi" w:hAnsiTheme="minorHAnsi" w:cstheme="minorHAnsi"/>
        </w:rPr>
        <w:t>ation for it to be an organi</w:t>
      </w:r>
      <w:r w:rsidR="009A0750" w:rsidRPr="00880CB0">
        <w:rPr>
          <w:rFonts w:asciiTheme="minorHAnsi" w:hAnsiTheme="minorHAnsi" w:cstheme="minorHAnsi"/>
        </w:rPr>
        <w:t>z</w:t>
      </w:r>
      <w:r w:rsidR="00786BB5" w:rsidRPr="00880CB0">
        <w:rPr>
          <w:rFonts w:asciiTheme="minorHAnsi" w:hAnsiTheme="minorHAnsi" w:cstheme="minorHAnsi"/>
        </w:rPr>
        <w:t>ation fit for the future, which helps bring humanity and technology together.</w:t>
      </w:r>
    </w:p>
    <w:p w14:paraId="1B900B04" w14:textId="4C056F2F" w:rsidR="004E0A9D" w:rsidRPr="00880CB0" w:rsidRDefault="004E0A9D" w:rsidP="002721B8">
      <w:pPr>
        <w:tabs>
          <w:tab w:val="clear" w:pos="1134"/>
          <w:tab w:val="left" w:pos="0"/>
        </w:tabs>
        <w:spacing w:before="840"/>
        <w:jc w:val="center"/>
      </w:pPr>
      <w:r w:rsidRPr="00880CB0">
        <w:t>___________</w:t>
      </w:r>
      <w:r w:rsidR="002721B8" w:rsidRPr="00880CB0">
        <w:t>___________</w:t>
      </w:r>
      <w:bookmarkEnd w:id="6"/>
    </w:p>
    <w:sectPr w:rsidR="004E0A9D" w:rsidRPr="00880CB0" w:rsidSect="00AD3606">
      <w:footerReference w:type="default" r:id="rId18"/>
      <w:headerReference w:type="first" r:id="rId19"/>
      <w:footerReference w:type="first" r:id="rId2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299D" w14:textId="77777777" w:rsidR="0098538A" w:rsidRDefault="0098538A">
      <w:r>
        <w:separator/>
      </w:r>
    </w:p>
  </w:endnote>
  <w:endnote w:type="continuationSeparator" w:id="0">
    <w:p w14:paraId="036F63B4" w14:textId="77777777" w:rsidR="0098538A" w:rsidRDefault="0098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Next LT Pro Light">
    <w:altName w:val="Calibri"/>
    <w:panose1 w:val="00000000000000000000"/>
    <w:charset w:val="00"/>
    <w:family w:val="swiss"/>
    <w:notTrueType/>
    <w:pitch w:val="variable"/>
    <w:sig w:usb0="A00000AF" w:usb1="5000204B" w:usb2="00000000" w:usb3="00000000" w:csb0="00000093"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03AD0CA7" w:rsidR="00EE49E8" w:rsidRDefault="00EE49E8" w:rsidP="00EE49E8">
          <w:pPr>
            <w:pStyle w:val="Header"/>
            <w:jc w:val="left"/>
            <w:rPr>
              <w:noProof/>
            </w:rPr>
          </w:pPr>
          <w:r>
            <w:rPr>
              <w:noProof/>
            </w:rPr>
            <w:t xml:space="preserve">DPS </w:t>
          </w:r>
          <w:r w:rsidR="002721B8">
            <w:rPr>
              <w:noProof/>
            </w:rPr>
            <w:t>521070</w:t>
          </w:r>
        </w:p>
      </w:tc>
      <w:tc>
        <w:tcPr>
          <w:tcW w:w="8261" w:type="dxa"/>
        </w:tcPr>
        <w:p w14:paraId="35709C74" w14:textId="53889011"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721B8">
            <w:rPr>
              <w:bCs/>
            </w:rPr>
            <w:t>36</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5B314E"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6E2572F8"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2721B8">
            <w:rPr>
              <w:bCs/>
            </w:rPr>
            <w:t>36</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9198" w14:textId="77777777" w:rsidR="0098538A" w:rsidRDefault="0098538A">
      <w:r>
        <w:t>____________________</w:t>
      </w:r>
    </w:p>
  </w:footnote>
  <w:footnote w:type="continuationSeparator" w:id="0">
    <w:p w14:paraId="0B67301F" w14:textId="77777777" w:rsidR="0098538A" w:rsidRDefault="00985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Graphic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56723"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AA7931"/>
    <w:multiLevelType w:val="hybridMultilevel"/>
    <w:tmpl w:val="617EB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682A5E"/>
    <w:multiLevelType w:val="hybridMultilevel"/>
    <w:tmpl w:val="90CEC61C"/>
    <w:lvl w:ilvl="0" w:tplc="1BE69BEE">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315005"/>
    <w:multiLevelType w:val="hybridMultilevel"/>
    <w:tmpl w:val="3AF0637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74816267">
    <w:abstractNumId w:val="0"/>
  </w:num>
  <w:num w:numId="2" w16cid:durableId="1056591864">
    <w:abstractNumId w:val="3"/>
  </w:num>
  <w:num w:numId="3" w16cid:durableId="254900482">
    <w:abstractNumId w:val="1"/>
  </w:num>
  <w:num w:numId="4" w16cid:durableId="41813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trackRevisions/>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20F00"/>
    <w:rsid w:val="000210D4"/>
    <w:rsid w:val="00022ECC"/>
    <w:rsid w:val="000266E5"/>
    <w:rsid w:val="000457F5"/>
    <w:rsid w:val="00056097"/>
    <w:rsid w:val="00063016"/>
    <w:rsid w:val="00066795"/>
    <w:rsid w:val="00076AF6"/>
    <w:rsid w:val="00082DC6"/>
    <w:rsid w:val="00085CF2"/>
    <w:rsid w:val="00094E2E"/>
    <w:rsid w:val="000B1705"/>
    <w:rsid w:val="000B2CE8"/>
    <w:rsid w:val="000D75B2"/>
    <w:rsid w:val="000F632B"/>
    <w:rsid w:val="001121F5"/>
    <w:rsid w:val="00137CFE"/>
    <w:rsid w:val="001400DC"/>
    <w:rsid w:val="00140CE1"/>
    <w:rsid w:val="00160383"/>
    <w:rsid w:val="00170261"/>
    <w:rsid w:val="001721E3"/>
    <w:rsid w:val="0017539C"/>
    <w:rsid w:val="00175AC2"/>
    <w:rsid w:val="0017609F"/>
    <w:rsid w:val="00195FC8"/>
    <w:rsid w:val="001A7D1D"/>
    <w:rsid w:val="001B51DD"/>
    <w:rsid w:val="001C628E"/>
    <w:rsid w:val="001D3498"/>
    <w:rsid w:val="001E0F7B"/>
    <w:rsid w:val="001E2A27"/>
    <w:rsid w:val="001E4E2B"/>
    <w:rsid w:val="00202005"/>
    <w:rsid w:val="00206701"/>
    <w:rsid w:val="002119FD"/>
    <w:rsid w:val="00212F47"/>
    <w:rsid w:val="002130E0"/>
    <w:rsid w:val="00224337"/>
    <w:rsid w:val="00226DDE"/>
    <w:rsid w:val="0024794C"/>
    <w:rsid w:val="00264425"/>
    <w:rsid w:val="00264CB2"/>
    <w:rsid w:val="002650AD"/>
    <w:rsid w:val="00265875"/>
    <w:rsid w:val="002721B8"/>
    <w:rsid w:val="0027303B"/>
    <w:rsid w:val="0028109B"/>
    <w:rsid w:val="00295A66"/>
    <w:rsid w:val="00297153"/>
    <w:rsid w:val="002A2188"/>
    <w:rsid w:val="002B1F58"/>
    <w:rsid w:val="002C1C7A"/>
    <w:rsid w:val="002C54E2"/>
    <w:rsid w:val="002C57EB"/>
    <w:rsid w:val="002D423C"/>
    <w:rsid w:val="002E131D"/>
    <w:rsid w:val="002E6165"/>
    <w:rsid w:val="002F367B"/>
    <w:rsid w:val="0030160F"/>
    <w:rsid w:val="003171CE"/>
    <w:rsid w:val="00320223"/>
    <w:rsid w:val="00322D0D"/>
    <w:rsid w:val="0035086C"/>
    <w:rsid w:val="00361465"/>
    <w:rsid w:val="003877F5"/>
    <w:rsid w:val="003942D4"/>
    <w:rsid w:val="003958A8"/>
    <w:rsid w:val="003C2533"/>
    <w:rsid w:val="003D5A7F"/>
    <w:rsid w:val="003E3E75"/>
    <w:rsid w:val="0040435A"/>
    <w:rsid w:val="0040617B"/>
    <w:rsid w:val="00412A67"/>
    <w:rsid w:val="00416A24"/>
    <w:rsid w:val="00431D9E"/>
    <w:rsid w:val="00433CE8"/>
    <w:rsid w:val="00434A5C"/>
    <w:rsid w:val="00444DC3"/>
    <w:rsid w:val="0044594E"/>
    <w:rsid w:val="004544D9"/>
    <w:rsid w:val="00472BAD"/>
    <w:rsid w:val="004826D3"/>
    <w:rsid w:val="00484009"/>
    <w:rsid w:val="00486D27"/>
    <w:rsid w:val="00490E72"/>
    <w:rsid w:val="00491157"/>
    <w:rsid w:val="004921C8"/>
    <w:rsid w:val="00495B0B"/>
    <w:rsid w:val="004A1B8B"/>
    <w:rsid w:val="004D1851"/>
    <w:rsid w:val="004D599D"/>
    <w:rsid w:val="004E0A9D"/>
    <w:rsid w:val="004E2EA5"/>
    <w:rsid w:val="004E3AEB"/>
    <w:rsid w:val="0050223C"/>
    <w:rsid w:val="00517761"/>
    <w:rsid w:val="005205E8"/>
    <w:rsid w:val="005243FF"/>
    <w:rsid w:val="00536B8D"/>
    <w:rsid w:val="005410A4"/>
    <w:rsid w:val="005641B8"/>
    <w:rsid w:val="00564FBC"/>
    <w:rsid w:val="0056612C"/>
    <w:rsid w:val="00571D9D"/>
    <w:rsid w:val="005758B6"/>
    <w:rsid w:val="005800BC"/>
    <w:rsid w:val="00582442"/>
    <w:rsid w:val="005A5C0E"/>
    <w:rsid w:val="005B314E"/>
    <w:rsid w:val="005E23E0"/>
    <w:rsid w:val="005F3269"/>
    <w:rsid w:val="00623AE3"/>
    <w:rsid w:val="00632A9E"/>
    <w:rsid w:val="00634CE9"/>
    <w:rsid w:val="00644C29"/>
    <w:rsid w:val="0064737F"/>
    <w:rsid w:val="006535F1"/>
    <w:rsid w:val="0065557D"/>
    <w:rsid w:val="00660D50"/>
    <w:rsid w:val="00662984"/>
    <w:rsid w:val="006716BB"/>
    <w:rsid w:val="00676302"/>
    <w:rsid w:val="006A05B0"/>
    <w:rsid w:val="006A3598"/>
    <w:rsid w:val="006B0E3E"/>
    <w:rsid w:val="006B1859"/>
    <w:rsid w:val="006B6680"/>
    <w:rsid w:val="006B6DCC"/>
    <w:rsid w:val="006F2EBB"/>
    <w:rsid w:val="00702DEF"/>
    <w:rsid w:val="00706861"/>
    <w:rsid w:val="0072387E"/>
    <w:rsid w:val="00724546"/>
    <w:rsid w:val="0075051B"/>
    <w:rsid w:val="0077054D"/>
    <w:rsid w:val="00786BB5"/>
    <w:rsid w:val="00793188"/>
    <w:rsid w:val="00794D34"/>
    <w:rsid w:val="007A01B5"/>
    <w:rsid w:val="007B554A"/>
    <w:rsid w:val="007D4BE8"/>
    <w:rsid w:val="007E4BCD"/>
    <w:rsid w:val="00813E5E"/>
    <w:rsid w:val="0083581B"/>
    <w:rsid w:val="00846DFA"/>
    <w:rsid w:val="00861D60"/>
    <w:rsid w:val="00863874"/>
    <w:rsid w:val="00864AFF"/>
    <w:rsid w:val="00865045"/>
    <w:rsid w:val="00865925"/>
    <w:rsid w:val="00880CB0"/>
    <w:rsid w:val="008B0546"/>
    <w:rsid w:val="008B4A6A"/>
    <w:rsid w:val="008C7E27"/>
    <w:rsid w:val="008F7448"/>
    <w:rsid w:val="0090147A"/>
    <w:rsid w:val="00910AFD"/>
    <w:rsid w:val="009173EF"/>
    <w:rsid w:val="009239DD"/>
    <w:rsid w:val="00932906"/>
    <w:rsid w:val="0095555B"/>
    <w:rsid w:val="00961B0B"/>
    <w:rsid w:val="009849BB"/>
    <w:rsid w:val="0098538A"/>
    <w:rsid w:val="009A0750"/>
    <w:rsid w:val="009B38C3"/>
    <w:rsid w:val="009E17BD"/>
    <w:rsid w:val="009E485A"/>
    <w:rsid w:val="00A04CEC"/>
    <w:rsid w:val="00A06D64"/>
    <w:rsid w:val="00A27F92"/>
    <w:rsid w:val="00A32257"/>
    <w:rsid w:val="00A3379C"/>
    <w:rsid w:val="00A36D20"/>
    <w:rsid w:val="00A44716"/>
    <w:rsid w:val="00A4724C"/>
    <w:rsid w:val="00A514A4"/>
    <w:rsid w:val="00A54171"/>
    <w:rsid w:val="00A55622"/>
    <w:rsid w:val="00A83502"/>
    <w:rsid w:val="00AB16FD"/>
    <w:rsid w:val="00AB2D16"/>
    <w:rsid w:val="00AD15B3"/>
    <w:rsid w:val="00AD3606"/>
    <w:rsid w:val="00AD4A3D"/>
    <w:rsid w:val="00AE6DDA"/>
    <w:rsid w:val="00AF6498"/>
    <w:rsid w:val="00AF6E49"/>
    <w:rsid w:val="00B04A67"/>
    <w:rsid w:val="00B0583C"/>
    <w:rsid w:val="00B31BCD"/>
    <w:rsid w:val="00B33B61"/>
    <w:rsid w:val="00B360BD"/>
    <w:rsid w:val="00B40A81"/>
    <w:rsid w:val="00B44910"/>
    <w:rsid w:val="00B72267"/>
    <w:rsid w:val="00B72607"/>
    <w:rsid w:val="00B72FB2"/>
    <w:rsid w:val="00B76EB6"/>
    <w:rsid w:val="00B7737B"/>
    <w:rsid w:val="00B8077B"/>
    <w:rsid w:val="00B824C8"/>
    <w:rsid w:val="00B84B9D"/>
    <w:rsid w:val="00BB25BA"/>
    <w:rsid w:val="00BB7165"/>
    <w:rsid w:val="00BC251A"/>
    <w:rsid w:val="00BD032B"/>
    <w:rsid w:val="00BD387E"/>
    <w:rsid w:val="00BE2640"/>
    <w:rsid w:val="00BE3763"/>
    <w:rsid w:val="00BE61B5"/>
    <w:rsid w:val="00BF2D9D"/>
    <w:rsid w:val="00C01189"/>
    <w:rsid w:val="00C15B80"/>
    <w:rsid w:val="00C25521"/>
    <w:rsid w:val="00C374DE"/>
    <w:rsid w:val="00C45D3B"/>
    <w:rsid w:val="00C47AD4"/>
    <w:rsid w:val="00C52D81"/>
    <w:rsid w:val="00C542F7"/>
    <w:rsid w:val="00C55198"/>
    <w:rsid w:val="00C75CFB"/>
    <w:rsid w:val="00C769FC"/>
    <w:rsid w:val="00CA6393"/>
    <w:rsid w:val="00CB18FF"/>
    <w:rsid w:val="00CD0C08"/>
    <w:rsid w:val="00CE03FB"/>
    <w:rsid w:val="00CE433C"/>
    <w:rsid w:val="00CF0161"/>
    <w:rsid w:val="00CF33F3"/>
    <w:rsid w:val="00CF5D7B"/>
    <w:rsid w:val="00D06183"/>
    <w:rsid w:val="00D22C42"/>
    <w:rsid w:val="00D34312"/>
    <w:rsid w:val="00D44D1A"/>
    <w:rsid w:val="00D44E84"/>
    <w:rsid w:val="00D65041"/>
    <w:rsid w:val="00D65D8E"/>
    <w:rsid w:val="00DB1936"/>
    <w:rsid w:val="00DB384B"/>
    <w:rsid w:val="00DE0C4E"/>
    <w:rsid w:val="00DE59C9"/>
    <w:rsid w:val="00DF0189"/>
    <w:rsid w:val="00DF1E70"/>
    <w:rsid w:val="00DF517C"/>
    <w:rsid w:val="00E06FD5"/>
    <w:rsid w:val="00E072F2"/>
    <w:rsid w:val="00E10E80"/>
    <w:rsid w:val="00E124F0"/>
    <w:rsid w:val="00E258C3"/>
    <w:rsid w:val="00E3055E"/>
    <w:rsid w:val="00E60F04"/>
    <w:rsid w:val="00E629C1"/>
    <w:rsid w:val="00E65B24"/>
    <w:rsid w:val="00E75BAE"/>
    <w:rsid w:val="00E768C9"/>
    <w:rsid w:val="00E854E4"/>
    <w:rsid w:val="00E86DBF"/>
    <w:rsid w:val="00EB0D6F"/>
    <w:rsid w:val="00EB2232"/>
    <w:rsid w:val="00EC3FE4"/>
    <w:rsid w:val="00EC5337"/>
    <w:rsid w:val="00ED5918"/>
    <w:rsid w:val="00EE0FDD"/>
    <w:rsid w:val="00EE3405"/>
    <w:rsid w:val="00EE49E8"/>
    <w:rsid w:val="00F0413E"/>
    <w:rsid w:val="00F16BAB"/>
    <w:rsid w:val="00F2150A"/>
    <w:rsid w:val="00F231D8"/>
    <w:rsid w:val="00F26030"/>
    <w:rsid w:val="00F44C00"/>
    <w:rsid w:val="00F46C5F"/>
    <w:rsid w:val="00F632C0"/>
    <w:rsid w:val="00F6777A"/>
    <w:rsid w:val="00F94A63"/>
    <w:rsid w:val="00FA1C28"/>
    <w:rsid w:val="00FB1279"/>
    <w:rsid w:val="00FB6B76"/>
    <w:rsid w:val="00FB7596"/>
    <w:rsid w:val="00FC7323"/>
    <w:rsid w:val="00FE0157"/>
    <w:rsid w:val="00FE4077"/>
    <w:rsid w:val="00FE77D2"/>
    <w:rsid w:val="046E5916"/>
    <w:rsid w:val="0CD29C70"/>
    <w:rsid w:val="0E80448B"/>
    <w:rsid w:val="0F3DD923"/>
    <w:rsid w:val="15EF6871"/>
    <w:rsid w:val="1A4262AA"/>
    <w:rsid w:val="20987BD1"/>
    <w:rsid w:val="276A3E5F"/>
    <w:rsid w:val="2A53FB32"/>
    <w:rsid w:val="30AC587C"/>
    <w:rsid w:val="32525D82"/>
    <w:rsid w:val="3E1FC12E"/>
    <w:rsid w:val="3E36EACB"/>
    <w:rsid w:val="49CB85C3"/>
    <w:rsid w:val="4CE9FE28"/>
    <w:rsid w:val="563839DC"/>
    <w:rsid w:val="65CCB1BE"/>
    <w:rsid w:val="68A273DB"/>
    <w:rsid w:val="6903B550"/>
    <w:rsid w:val="691D6F2F"/>
    <w:rsid w:val="69CD6A23"/>
    <w:rsid w:val="786E09AE"/>
    <w:rsid w:val="7FAAC2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E629C1"/>
    <w:rPr>
      <w:color w:val="605E5C"/>
      <w:shd w:val="clear" w:color="auto" w:fill="E1DFDD"/>
    </w:rPr>
  </w:style>
  <w:style w:type="paragraph" w:styleId="ListParagraph">
    <w:name w:val="List Paragraph"/>
    <w:basedOn w:val="Normal"/>
    <w:uiPriority w:val="34"/>
    <w:qFormat/>
    <w:rsid w:val="00E629C1"/>
    <w:pPr>
      <w:ind w:left="720"/>
      <w:contextualSpacing/>
    </w:pPr>
  </w:style>
  <w:style w:type="paragraph" w:styleId="Revision">
    <w:name w:val="Revision"/>
    <w:hidden/>
    <w:uiPriority w:val="99"/>
    <w:semiHidden/>
    <w:rsid w:val="00B8077B"/>
    <w:rPr>
      <w:rFonts w:ascii="Calibri" w:hAnsi="Calibri"/>
      <w:sz w:val="24"/>
      <w:lang w:val="en-GB" w:eastAsia="en-US"/>
    </w:rPr>
  </w:style>
  <w:style w:type="character" w:styleId="CommentReference">
    <w:name w:val="annotation reference"/>
    <w:basedOn w:val="DefaultParagraphFont"/>
    <w:semiHidden/>
    <w:unhideWhenUsed/>
    <w:rsid w:val="00056097"/>
    <w:rPr>
      <w:sz w:val="16"/>
      <w:szCs w:val="16"/>
    </w:rPr>
  </w:style>
  <w:style w:type="paragraph" w:styleId="CommentText">
    <w:name w:val="annotation text"/>
    <w:basedOn w:val="Normal"/>
    <w:link w:val="CommentTextChar"/>
    <w:unhideWhenUsed/>
    <w:rsid w:val="00056097"/>
    <w:rPr>
      <w:sz w:val="20"/>
    </w:rPr>
  </w:style>
  <w:style w:type="character" w:customStyle="1" w:styleId="CommentTextChar">
    <w:name w:val="Comment Text Char"/>
    <w:basedOn w:val="DefaultParagraphFont"/>
    <w:link w:val="CommentText"/>
    <w:rsid w:val="00056097"/>
    <w:rPr>
      <w:rFonts w:ascii="Calibri" w:hAnsi="Calibri"/>
      <w:lang w:val="en-GB" w:eastAsia="en-US"/>
    </w:rPr>
  </w:style>
  <w:style w:type="paragraph" w:styleId="CommentSubject">
    <w:name w:val="annotation subject"/>
    <w:basedOn w:val="CommentText"/>
    <w:next w:val="CommentText"/>
    <w:link w:val="CommentSubjectChar"/>
    <w:semiHidden/>
    <w:unhideWhenUsed/>
    <w:rsid w:val="00056097"/>
    <w:rPr>
      <w:b/>
      <w:bCs/>
    </w:rPr>
  </w:style>
  <w:style w:type="character" w:customStyle="1" w:styleId="CommentSubjectChar">
    <w:name w:val="Comment Subject Char"/>
    <w:basedOn w:val="CommentTextChar"/>
    <w:link w:val="CommentSubject"/>
    <w:semiHidden/>
    <w:rsid w:val="00056097"/>
    <w:rPr>
      <w:rFonts w:ascii="Calibri" w:hAnsi="Calibri"/>
      <w:b/>
      <w:bCs/>
      <w:lang w:val="en-GB" w:eastAsia="en-US"/>
    </w:rPr>
  </w:style>
  <w:style w:type="character" w:customStyle="1" w:styleId="normaltextrun">
    <w:name w:val="normaltextrun"/>
    <w:basedOn w:val="DefaultParagraphFont"/>
    <w:rsid w:val="0056612C"/>
  </w:style>
  <w:style w:type="character" w:customStyle="1" w:styleId="eop">
    <w:name w:val="eop"/>
    <w:basedOn w:val="DefaultParagraphFont"/>
    <w:rsid w:val="0056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3-CL-C-0062/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md/S23-CL-C-0052/en" TargetMode="External"/><Relationship Id="rId17" Type="http://schemas.openxmlformats.org/officeDocument/2006/relationships/hyperlink" Target="https://www.itu.int/md/S23-CL-C-0062/en" TargetMode="External"/><Relationship Id="rId2" Type="http://schemas.openxmlformats.org/officeDocument/2006/relationships/customXml" Target="../customXml/item2.xml"/><Relationship Id="rId16" Type="http://schemas.openxmlformats.org/officeDocument/2006/relationships/hyperlink" Target="https://www.itu.int/md/S23-CL-C-0062/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Documents/basic-texts-2023/RES-071-E.pdf" TargetMode="External"/><Relationship Id="rId5" Type="http://schemas.openxmlformats.org/officeDocument/2006/relationships/numbering" Target="numbering.xml"/><Relationship Id="rId15" Type="http://schemas.openxmlformats.org/officeDocument/2006/relationships/hyperlink" Target="https://www.itu.int/md/S23-CL-C-0052/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2023/RES-071-E.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9" ma:contentTypeDescription="Create a new document." ma:contentTypeScope="" ma:versionID="aa74cca8dcf4162bbd54b998607b6b2a">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ac1c7297f3adaf2a381b6db05b44866f"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9e730e-50ca-4fdd-8a7a-b4f5b57bd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2.xml><?xml version="1.0" encoding="utf-8"?>
<ds:datastoreItem xmlns:ds="http://schemas.openxmlformats.org/officeDocument/2006/customXml" ds:itemID="{5492DF1A-081F-4321-97F5-894B455AAF07}">
  <ds:schemaRefs>
    <ds:schemaRef ds:uri="http://schemas.microsoft.com/sharepoint/v3/contenttype/forms"/>
  </ds:schemaRefs>
</ds:datastoreItem>
</file>

<file path=customXml/itemProps3.xml><?xml version="1.0" encoding="utf-8"?>
<ds:datastoreItem xmlns:ds="http://schemas.openxmlformats.org/officeDocument/2006/customXml" ds:itemID="{73E54662-D568-4D54-9D98-5643F30B7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4C501-7B5B-4825-A1A8-F29DA5FF35AF}">
  <ds:schemaRefs>
    <ds:schemaRef ds:uri="http://schemas.microsoft.com/office/2006/metadata/properties"/>
    <ds:schemaRef ds:uri="http://schemas.microsoft.com/office/infopath/2007/PartnerControls"/>
    <ds:schemaRef ds:uri="5a9e730e-50ca-4fdd-8a7a-b4f5b57bd209"/>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1663</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TASKS AND FUNCTIONS OF THE DEPUTY SECRETARY-GENERAL</vt:lpstr>
    </vt:vector>
  </TitlesOfParts>
  <Manager>General Secretariat - Pool</Manager>
  <Company>International Telecommunication Union (ITU)</Company>
  <LinksUpToDate>false</LinksUpToDate>
  <CharactersWithSpaces>11086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TASKS AND FUNCTIONS OF THE DEPUTY SECRETARY-GENERAL</dc:title>
  <dc:subject>Council 2023</dc:subject>
  <dc:creator>Pluchon, Beatrice</dc:creator>
  <cp:keywords>C2023, C23, Council-23</cp:keywords>
  <dc:description/>
  <cp:lastModifiedBy>Xue, Kun</cp:lastModifiedBy>
  <cp:revision>3</cp:revision>
  <cp:lastPrinted>2000-07-18T13:30:00Z</cp:lastPrinted>
  <dcterms:created xsi:type="dcterms:W3CDTF">2023-06-12T17:03:00Z</dcterms:created>
  <dcterms:modified xsi:type="dcterms:W3CDTF">2023-06-12T17:21:00Z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