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E34EB" w:rsidRPr="00E24D59" w14:paraId="6DDAFBF7" w14:textId="77777777" w:rsidTr="00E31DCE">
        <w:trPr>
          <w:cantSplit/>
          <w:trHeight w:val="23"/>
        </w:trPr>
        <w:tc>
          <w:tcPr>
            <w:tcW w:w="3969" w:type="dxa"/>
            <w:vMerge w:val="restart"/>
            <w:tcMar>
              <w:left w:w="0" w:type="dxa"/>
            </w:tcMar>
          </w:tcPr>
          <w:p w14:paraId="43D740A3" w14:textId="77777777" w:rsidR="005E34EB" w:rsidRPr="00E24D59" w:rsidRDefault="005E34EB" w:rsidP="00CB2FA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Pr>
                <w:b/>
              </w:rPr>
              <w:t>PL 1</w:t>
            </w:r>
          </w:p>
        </w:tc>
        <w:tc>
          <w:tcPr>
            <w:tcW w:w="5245" w:type="dxa"/>
          </w:tcPr>
          <w:p w14:paraId="33D78375" w14:textId="4E3E726A" w:rsidR="005E34EB" w:rsidRPr="00E24D59" w:rsidRDefault="005E34EB"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Pr>
                <w:b/>
                <w:lang w:val="fr-CH"/>
              </w:rPr>
              <w:t>C23/3</w:t>
            </w:r>
            <w:r w:rsidR="003E5A71">
              <w:rPr>
                <w:b/>
                <w:lang w:val="fr-CH"/>
              </w:rPr>
              <w:t>6</w:t>
            </w:r>
            <w:r w:rsidRPr="00E24D59">
              <w:rPr>
                <w:b/>
                <w:lang w:val="fr-CH"/>
              </w:rPr>
              <w:t>-C</w:t>
            </w:r>
          </w:p>
        </w:tc>
      </w:tr>
      <w:tr w:rsidR="005E34EB" w:rsidRPr="00813E5E" w14:paraId="253AB14A" w14:textId="77777777" w:rsidTr="00E31DCE">
        <w:trPr>
          <w:cantSplit/>
        </w:trPr>
        <w:tc>
          <w:tcPr>
            <w:tcW w:w="3969" w:type="dxa"/>
            <w:vMerge/>
          </w:tcPr>
          <w:p w14:paraId="0501121E" w14:textId="77777777" w:rsidR="005E34EB" w:rsidRPr="00E24D59" w:rsidRDefault="005E34EB" w:rsidP="00E31DCE">
            <w:pPr>
              <w:tabs>
                <w:tab w:val="left" w:pos="851"/>
              </w:tabs>
              <w:spacing w:line="240" w:lineRule="atLeast"/>
              <w:rPr>
                <w:b/>
                <w:lang w:val="fr-CH"/>
              </w:rPr>
            </w:pPr>
            <w:bookmarkStart w:id="3" w:name="ddate" w:colFirst="1" w:colLast="1"/>
            <w:bookmarkEnd w:id="0"/>
            <w:bookmarkEnd w:id="1"/>
          </w:p>
        </w:tc>
        <w:tc>
          <w:tcPr>
            <w:tcW w:w="5245" w:type="dxa"/>
          </w:tcPr>
          <w:p w14:paraId="1520C538" w14:textId="77777777" w:rsidR="005E34EB" w:rsidRPr="00E85629" w:rsidRDefault="005E34EB" w:rsidP="00E31DCE">
            <w:pPr>
              <w:tabs>
                <w:tab w:val="left" w:pos="851"/>
              </w:tabs>
              <w:spacing w:before="0"/>
              <w:jc w:val="right"/>
              <w:rPr>
                <w:b/>
                <w:lang w:eastAsia="zh-CN"/>
              </w:rPr>
            </w:pPr>
            <w:r>
              <w:rPr>
                <w:b/>
              </w:rPr>
              <w:t>2023</w:t>
            </w:r>
            <w:r>
              <w:rPr>
                <w:rFonts w:hint="eastAsia"/>
                <w:b/>
                <w:lang w:eastAsia="zh-CN"/>
              </w:rPr>
              <w:t>年</w:t>
            </w:r>
            <w:r>
              <w:rPr>
                <w:b/>
                <w:lang w:eastAsia="zh-CN"/>
              </w:rPr>
              <w:t>6</w:t>
            </w:r>
            <w:r>
              <w:rPr>
                <w:rFonts w:hint="eastAsia"/>
                <w:b/>
                <w:lang w:eastAsia="zh-CN"/>
              </w:rPr>
              <w:t>月</w:t>
            </w:r>
            <w:r>
              <w:rPr>
                <w:rFonts w:hint="eastAsia"/>
                <w:b/>
                <w:lang w:eastAsia="zh-CN"/>
              </w:rPr>
              <w:t>12</w:t>
            </w:r>
            <w:r>
              <w:rPr>
                <w:rFonts w:hint="eastAsia"/>
                <w:b/>
                <w:lang w:eastAsia="zh-CN"/>
              </w:rPr>
              <w:t>日</w:t>
            </w:r>
          </w:p>
        </w:tc>
      </w:tr>
      <w:tr w:rsidR="005E34EB" w:rsidRPr="00813E5E" w14:paraId="55FBFE9D" w14:textId="77777777" w:rsidTr="00E31DCE">
        <w:trPr>
          <w:cantSplit/>
          <w:trHeight w:val="23"/>
        </w:trPr>
        <w:tc>
          <w:tcPr>
            <w:tcW w:w="3969" w:type="dxa"/>
            <w:vMerge/>
          </w:tcPr>
          <w:p w14:paraId="57B02359" w14:textId="77777777" w:rsidR="005E34EB" w:rsidRPr="00813E5E" w:rsidRDefault="005E34EB" w:rsidP="00E31DCE">
            <w:pPr>
              <w:tabs>
                <w:tab w:val="left" w:pos="851"/>
              </w:tabs>
              <w:spacing w:line="240" w:lineRule="atLeast"/>
              <w:rPr>
                <w:b/>
              </w:rPr>
            </w:pPr>
            <w:bookmarkStart w:id="4" w:name="dorlang" w:colFirst="1" w:colLast="1"/>
            <w:bookmarkEnd w:id="3"/>
          </w:p>
        </w:tc>
        <w:tc>
          <w:tcPr>
            <w:tcW w:w="5245" w:type="dxa"/>
          </w:tcPr>
          <w:p w14:paraId="1B48E167" w14:textId="77777777" w:rsidR="005E34EB" w:rsidRPr="00E85629" w:rsidRDefault="005E34EB"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5E34EB" w:rsidRPr="00813E5E" w14:paraId="58FAF635" w14:textId="77777777" w:rsidTr="00E31DCE">
        <w:trPr>
          <w:cantSplit/>
          <w:trHeight w:val="23"/>
        </w:trPr>
        <w:tc>
          <w:tcPr>
            <w:tcW w:w="3969" w:type="dxa"/>
          </w:tcPr>
          <w:p w14:paraId="3F63B0D7" w14:textId="77777777" w:rsidR="005E34EB" w:rsidRPr="00813E5E" w:rsidRDefault="005E34EB" w:rsidP="00E31DCE">
            <w:pPr>
              <w:tabs>
                <w:tab w:val="left" w:pos="851"/>
              </w:tabs>
              <w:spacing w:line="240" w:lineRule="atLeast"/>
              <w:rPr>
                <w:b/>
              </w:rPr>
            </w:pPr>
          </w:p>
        </w:tc>
        <w:tc>
          <w:tcPr>
            <w:tcW w:w="5245" w:type="dxa"/>
          </w:tcPr>
          <w:p w14:paraId="6E83FFD8" w14:textId="77777777" w:rsidR="005E34EB" w:rsidRDefault="005E34EB" w:rsidP="00E31DCE">
            <w:pPr>
              <w:tabs>
                <w:tab w:val="left" w:pos="851"/>
              </w:tabs>
              <w:spacing w:before="0" w:line="240" w:lineRule="atLeast"/>
              <w:jc w:val="right"/>
              <w:rPr>
                <w:b/>
              </w:rPr>
            </w:pPr>
          </w:p>
        </w:tc>
      </w:tr>
      <w:tr w:rsidR="005E34EB" w:rsidRPr="00813E5E" w14:paraId="36694F64" w14:textId="77777777" w:rsidTr="00E31DCE">
        <w:trPr>
          <w:cantSplit/>
        </w:trPr>
        <w:tc>
          <w:tcPr>
            <w:tcW w:w="9214" w:type="dxa"/>
            <w:gridSpan w:val="2"/>
            <w:tcMar>
              <w:left w:w="0" w:type="dxa"/>
            </w:tcMar>
          </w:tcPr>
          <w:p w14:paraId="2EC42918" w14:textId="77777777" w:rsidR="005E34EB" w:rsidRPr="00E24D59" w:rsidRDefault="005E34EB"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5E34EB" w:rsidRPr="00813E5E" w14:paraId="7EE4C911" w14:textId="77777777" w:rsidTr="00E31DCE">
        <w:trPr>
          <w:cantSplit/>
        </w:trPr>
        <w:tc>
          <w:tcPr>
            <w:tcW w:w="9214" w:type="dxa"/>
            <w:gridSpan w:val="2"/>
            <w:tcMar>
              <w:left w:w="0" w:type="dxa"/>
            </w:tcMar>
          </w:tcPr>
          <w:p w14:paraId="011788B9" w14:textId="26AEB78A" w:rsidR="005E34EB" w:rsidRPr="00E24D59" w:rsidRDefault="005E34EB" w:rsidP="00475EAF">
            <w:pPr>
              <w:pStyle w:val="Subtitle"/>
              <w:framePr w:hSpace="0" w:wrap="auto" w:hAnchor="text" w:xAlign="left" w:yAlign="inline"/>
              <w:rPr>
                <w:rFonts w:ascii="SimSun" w:eastAsia="SimSun" w:hAnsi="SimSun"/>
                <w:lang w:eastAsia="zh-CN"/>
              </w:rPr>
            </w:pPr>
            <w:bookmarkStart w:id="6" w:name="lt_pId010"/>
            <w:bookmarkStart w:id="7" w:name="dtitle1" w:colFirst="0" w:colLast="0"/>
            <w:bookmarkEnd w:id="5"/>
            <w:r>
              <w:rPr>
                <w:rFonts w:ascii="SimSun" w:eastAsia="SimSun" w:hAnsi="SimSun" w:cs="SimSun" w:hint="eastAsia"/>
                <w:lang w:eastAsia="zh-CN"/>
              </w:rPr>
              <w:t>加速实施</w:t>
            </w:r>
            <w:r w:rsidRPr="005E34EB">
              <w:rPr>
                <w:rFonts w:ascii="SimSun" w:eastAsia="SimSun" w:hAnsi="SimSun" w:cs="SimSun" w:hint="eastAsia"/>
                <w:lang w:eastAsia="zh-CN"/>
              </w:rPr>
              <w:t>国际电联</w:t>
            </w:r>
            <w:r w:rsidRPr="00D04E3F">
              <w:rPr>
                <w:lang w:eastAsia="zh-CN"/>
              </w:rPr>
              <w:t>2024-2027</w:t>
            </w:r>
            <w:r w:rsidRPr="005E34EB">
              <w:rPr>
                <w:rFonts w:ascii="SimSun" w:eastAsia="SimSun" w:hAnsi="SimSun" w:cs="SimSun" w:hint="eastAsia"/>
                <w:lang w:eastAsia="zh-CN"/>
              </w:rPr>
              <w:t>年《战略规划》</w:t>
            </w:r>
            <w:bookmarkEnd w:id="6"/>
          </w:p>
        </w:tc>
      </w:tr>
      <w:tr w:rsidR="005E34EB" w:rsidRPr="00813E5E" w14:paraId="29923704" w14:textId="77777777" w:rsidTr="00E31DCE">
        <w:trPr>
          <w:cantSplit/>
        </w:trPr>
        <w:tc>
          <w:tcPr>
            <w:tcW w:w="9214" w:type="dxa"/>
            <w:gridSpan w:val="2"/>
            <w:tcBorders>
              <w:top w:val="single" w:sz="4" w:space="0" w:color="auto"/>
              <w:bottom w:val="single" w:sz="4" w:space="0" w:color="auto"/>
            </w:tcBorders>
            <w:tcMar>
              <w:left w:w="0" w:type="dxa"/>
            </w:tcMar>
          </w:tcPr>
          <w:p w14:paraId="2A02834B" w14:textId="77777777" w:rsidR="005E34EB" w:rsidRPr="00E24D59" w:rsidRDefault="005E34E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D73ABD6" w14:textId="46AEF0A4" w:rsidR="00B83A0C" w:rsidRDefault="00B83A0C" w:rsidP="008D4C2E">
            <w:pPr>
              <w:ind w:firstLineChars="200" w:firstLine="480"/>
              <w:rPr>
                <w:lang w:eastAsia="zh-CN"/>
              </w:rPr>
            </w:pPr>
            <w:bookmarkStart w:id="8" w:name="lt_pId012"/>
            <w:r w:rsidRPr="00B83A0C">
              <w:rPr>
                <w:rFonts w:hint="eastAsia"/>
                <w:lang w:eastAsia="zh-CN"/>
              </w:rPr>
              <w:t>本文件介绍了秘书处为加速实施国际电联</w:t>
            </w:r>
            <w:r w:rsidRPr="00B83A0C">
              <w:rPr>
                <w:rFonts w:hint="eastAsia"/>
                <w:lang w:eastAsia="zh-CN"/>
              </w:rPr>
              <w:t>2024-2027</w:t>
            </w:r>
            <w:r w:rsidRPr="00B83A0C">
              <w:rPr>
                <w:rFonts w:hint="eastAsia"/>
                <w:lang w:eastAsia="zh-CN"/>
              </w:rPr>
              <w:t>年</w:t>
            </w:r>
            <w:r>
              <w:rPr>
                <w:rFonts w:hint="eastAsia"/>
                <w:lang w:eastAsia="zh-CN"/>
              </w:rPr>
              <w:t>《</w:t>
            </w:r>
            <w:r w:rsidRPr="00B83A0C">
              <w:rPr>
                <w:rFonts w:hint="eastAsia"/>
                <w:lang w:eastAsia="zh-CN"/>
              </w:rPr>
              <w:t>战略</w:t>
            </w:r>
            <w:r>
              <w:rPr>
                <w:rFonts w:hint="eastAsia"/>
                <w:lang w:eastAsia="zh-CN"/>
              </w:rPr>
              <w:t>规划》，</w:t>
            </w:r>
            <w:r w:rsidRPr="00B83A0C">
              <w:rPr>
                <w:rFonts w:hint="eastAsia"/>
                <w:lang w:eastAsia="zh-CN"/>
              </w:rPr>
              <w:t>将愿景转化为行动的计划。</w:t>
            </w:r>
            <w:bookmarkEnd w:id="8"/>
          </w:p>
          <w:p w14:paraId="6158116D" w14:textId="77777777" w:rsidR="005E34EB" w:rsidRPr="00E24D59" w:rsidRDefault="005E34E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0AA16BF3" w14:textId="77777777" w:rsidR="005E34EB" w:rsidRPr="00103240" w:rsidRDefault="005E34EB" w:rsidP="00BB39BC">
            <w:pPr>
              <w:overflowPunct/>
              <w:autoSpaceDE/>
              <w:autoSpaceDN/>
              <w:adjustRightInd/>
              <w:spacing w:after="120"/>
              <w:ind w:firstLineChars="200" w:firstLine="480"/>
              <w:jc w:val="both"/>
              <w:textAlignment w:val="auto"/>
              <w:rPr>
                <w:szCs w:val="24"/>
                <w:lang w:eastAsia="zh-CN"/>
              </w:rPr>
            </w:pPr>
            <w:bookmarkStart w:id="9" w:name="lt_pId016"/>
            <w:r>
              <w:rPr>
                <w:rStyle w:val="normaltextrun"/>
                <w:rFonts w:cs="Calibri" w:hint="eastAsia"/>
                <w:szCs w:val="24"/>
                <w:lang w:eastAsia="zh-CN"/>
              </w:rPr>
              <w:t>请理事会将本报告</w:t>
            </w:r>
            <w:r w:rsidRPr="00E10F25">
              <w:rPr>
                <w:rStyle w:val="normaltextrun"/>
                <w:rFonts w:cs="Calibri" w:hint="eastAsia"/>
                <w:b/>
                <w:bCs/>
                <w:szCs w:val="24"/>
                <w:lang w:eastAsia="zh-CN"/>
              </w:rPr>
              <w:t>记录在案</w:t>
            </w:r>
            <w:r>
              <w:rPr>
                <w:rStyle w:val="normaltextrun"/>
                <w:rFonts w:cs="Calibri" w:hint="eastAsia"/>
                <w:szCs w:val="24"/>
                <w:lang w:eastAsia="zh-CN"/>
              </w:rPr>
              <w:t>。</w:t>
            </w:r>
            <w:bookmarkEnd w:id="9"/>
          </w:p>
          <w:p w14:paraId="6DB70B96" w14:textId="330809D0" w:rsidR="005E34EB" w:rsidRPr="00E24D59" w:rsidRDefault="00B83A0C"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5E34EB"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2244702E" w14:textId="0735FECB" w:rsidR="005E34EB" w:rsidRPr="000D04FD" w:rsidRDefault="00B83A0C" w:rsidP="000D04FD">
            <w:pPr>
              <w:overflowPunct/>
              <w:autoSpaceDE/>
              <w:autoSpaceDN/>
              <w:adjustRightInd/>
              <w:spacing w:after="120"/>
              <w:ind w:firstLineChars="200" w:firstLine="480"/>
              <w:jc w:val="both"/>
              <w:textAlignment w:val="auto"/>
              <w:rPr>
                <w:rStyle w:val="normaltextrun"/>
                <w:rFonts w:cs="Calibri"/>
                <w:szCs w:val="24"/>
                <w:lang w:eastAsia="zh-CN"/>
              </w:rPr>
            </w:pPr>
            <w:r w:rsidRPr="00B83A0C">
              <w:rPr>
                <w:rFonts w:hint="eastAsia"/>
                <w:lang w:eastAsia="zh-CN"/>
              </w:rPr>
              <w:t>建议以国际电联</w:t>
            </w:r>
            <w:r w:rsidRPr="00B83A0C">
              <w:rPr>
                <w:rFonts w:hint="eastAsia"/>
                <w:lang w:eastAsia="zh-CN"/>
              </w:rPr>
              <w:t>2024-2027</w:t>
            </w:r>
            <w:r w:rsidRPr="00B83A0C">
              <w:rPr>
                <w:rFonts w:hint="eastAsia"/>
                <w:lang w:eastAsia="zh-CN"/>
              </w:rPr>
              <w:t>年</w:t>
            </w:r>
            <w:r>
              <w:rPr>
                <w:rFonts w:hint="eastAsia"/>
                <w:lang w:eastAsia="zh-CN"/>
              </w:rPr>
              <w:t>《</w:t>
            </w:r>
            <w:r w:rsidRPr="00B83A0C">
              <w:rPr>
                <w:rFonts w:hint="eastAsia"/>
                <w:lang w:eastAsia="zh-CN"/>
              </w:rPr>
              <w:t>战略</w:t>
            </w:r>
            <w:r>
              <w:rPr>
                <w:rFonts w:hint="eastAsia"/>
                <w:lang w:eastAsia="zh-CN"/>
              </w:rPr>
              <w:t>规划》</w:t>
            </w:r>
            <w:r w:rsidRPr="00B83A0C">
              <w:rPr>
                <w:rFonts w:hint="eastAsia"/>
                <w:lang w:eastAsia="zh-CN"/>
              </w:rPr>
              <w:t>为基础，旨在加速并全面实现国际电联的两大战略目标：推进普遍互联互通和可持续数字化转型。</w:t>
            </w:r>
          </w:p>
          <w:p w14:paraId="369063C3" w14:textId="77777777" w:rsidR="005E34EB" w:rsidRDefault="005E34E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C4FFB84" w14:textId="1EA5FF68" w:rsidR="005E34EB" w:rsidRPr="000D04FD" w:rsidRDefault="00B83A0C" w:rsidP="00BB39BC">
            <w:pPr>
              <w:pStyle w:val="Subtitle"/>
              <w:framePr w:hSpace="0" w:wrap="auto" w:hAnchor="text" w:xAlign="left" w:yAlign="inline"/>
              <w:ind w:firstLineChars="200" w:firstLine="480"/>
              <w:rPr>
                <w:rFonts w:eastAsia="SimSun"/>
                <w:sz w:val="24"/>
                <w:szCs w:val="24"/>
                <w:lang w:eastAsia="zh-CN"/>
              </w:rPr>
            </w:pPr>
            <w:r w:rsidRPr="00B83A0C">
              <w:rPr>
                <w:rFonts w:eastAsia="SimSun" w:cs="Microsoft YaHei" w:hint="eastAsia"/>
                <w:sz w:val="24"/>
                <w:szCs w:val="24"/>
                <w:lang w:eastAsia="zh-CN"/>
              </w:rPr>
              <w:t>本文件中提及的活动在国际电联预算</w:t>
            </w:r>
            <w:r>
              <w:rPr>
                <w:rFonts w:eastAsia="SimSun" w:cs="Microsoft YaHei" w:hint="eastAsia"/>
                <w:sz w:val="24"/>
                <w:szCs w:val="24"/>
                <w:lang w:eastAsia="zh-CN"/>
              </w:rPr>
              <w:t>范围</w:t>
            </w:r>
            <w:r w:rsidRPr="00B83A0C">
              <w:rPr>
                <w:rFonts w:eastAsia="SimSun" w:cs="Microsoft YaHei" w:hint="eastAsia"/>
                <w:sz w:val="24"/>
                <w:szCs w:val="24"/>
                <w:lang w:eastAsia="zh-CN"/>
              </w:rPr>
              <w:t>内分配。</w:t>
            </w:r>
          </w:p>
          <w:p w14:paraId="0370E254" w14:textId="77777777" w:rsidR="005E34EB" w:rsidRPr="00E24D59" w:rsidRDefault="005E34E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CA76F28" w14:textId="77777777" w:rsidR="005E34EB" w:rsidRPr="00E24D59" w:rsidRDefault="005E34E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E6025AD" w14:textId="48440EC4" w:rsidR="005E34EB" w:rsidRPr="00E10F25" w:rsidRDefault="005E34EB" w:rsidP="00E31DCE">
            <w:pPr>
              <w:spacing w:after="160"/>
              <w:rPr>
                <w:rFonts w:eastAsia="STKaiti"/>
                <w:lang w:eastAsia="zh-CN"/>
              </w:rPr>
            </w:pPr>
            <w:bookmarkStart w:id="10" w:name="lt_pId023"/>
            <w:r>
              <w:rPr>
                <w:rFonts w:eastAsia="STKaiti" w:hint="eastAsia"/>
                <w:sz w:val="22"/>
                <w:szCs w:val="22"/>
                <w:lang w:eastAsia="zh-CN"/>
              </w:rPr>
              <w:t>全权代表大会</w:t>
            </w:r>
            <w:hyperlink r:id="rId8" w:history="1">
              <w:r w:rsidRPr="00E10F25">
                <w:rPr>
                  <w:rStyle w:val="Hyperlink"/>
                  <w:rFonts w:eastAsia="STKaiti"/>
                  <w:sz w:val="22"/>
                  <w:szCs w:val="22"/>
                  <w:lang w:eastAsia="zh-CN"/>
                </w:rPr>
                <w:t>第</w:t>
              </w:r>
              <w:r w:rsidRPr="00E10F25">
                <w:rPr>
                  <w:rStyle w:val="Hyperlink"/>
                  <w:rFonts w:eastAsia="STKaiti"/>
                  <w:sz w:val="22"/>
                  <w:szCs w:val="22"/>
                  <w:lang w:eastAsia="zh-CN"/>
                </w:rPr>
                <w:t>71</w:t>
              </w:r>
              <w:r w:rsidRPr="00E10F25">
                <w:rPr>
                  <w:rStyle w:val="Hyperlink"/>
                  <w:rFonts w:eastAsia="STKaiti"/>
                  <w:sz w:val="22"/>
                  <w:szCs w:val="22"/>
                  <w:lang w:eastAsia="zh-CN"/>
                </w:rPr>
                <w:t>号决议</w:t>
              </w:r>
            </w:hyperlink>
            <w:r>
              <w:rPr>
                <w:rFonts w:eastAsia="STKaiti" w:hint="eastAsia"/>
                <w:sz w:val="22"/>
                <w:szCs w:val="22"/>
                <w:lang w:eastAsia="zh-CN"/>
              </w:rPr>
              <w:t>（</w:t>
            </w:r>
            <w:r>
              <w:rPr>
                <w:rFonts w:eastAsia="STKaiti" w:hint="eastAsia"/>
                <w:sz w:val="22"/>
                <w:szCs w:val="22"/>
                <w:lang w:eastAsia="zh-CN"/>
              </w:rPr>
              <w:t>2</w:t>
            </w:r>
            <w:r>
              <w:rPr>
                <w:rFonts w:eastAsia="STKaiti"/>
                <w:sz w:val="22"/>
                <w:szCs w:val="22"/>
                <w:lang w:eastAsia="zh-CN"/>
              </w:rPr>
              <w:t>022</w:t>
            </w:r>
            <w:r>
              <w:rPr>
                <w:rFonts w:eastAsia="STKaiti" w:hint="eastAsia"/>
                <w:sz w:val="22"/>
                <w:szCs w:val="22"/>
                <w:lang w:eastAsia="zh-CN"/>
              </w:rPr>
              <w:t>年，布加勒斯特，修订版），</w:t>
            </w:r>
            <w:r w:rsidR="00B83A0C" w:rsidRPr="00950310">
              <w:rPr>
                <w:rFonts w:cs="Microsoft YaHei" w:hint="eastAsia"/>
                <w:szCs w:val="24"/>
                <w:lang w:eastAsia="zh-CN"/>
              </w:rPr>
              <w:t>理事会</w:t>
            </w:r>
            <w:hyperlink r:id="rId9" w:history="1">
              <w:r w:rsidRPr="00D04E3F">
                <w:rPr>
                  <w:rStyle w:val="Hyperlink"/>
                  <w:sz w:val="22"/>
                  <w:szCs w:val="22"/>
                  <w:lang w:eastAsia="zh-CN"/>
                </w:rPr>
                <w:t>C23/52</w:t>
              </w:r>
            </w:hyperlink>
            <w:r w:rsidR="00B83A0C">
              <w:rPr>
                <w:rFonts w:hint="eastAsia"/>
                <w:sz w:val="22"/>
                <w:szCs w:val="22"/>
                <w:lang w:eastAsia="zh-CN"/>
              </w:rPr>
              <w:t>、</w:t>
            </w:r>
            <w:hyperlink r:id="rId10" w:history="1">
              <w:r w:rsidRPr="00D04E3F">
                <w:rPr>
                  <w:rStyle w:val="Hyperlink"/>
                  <w:sz w:val="22"/>
                  <w:szCs w:val="22"/>
                  <w:lang w:eastAsia="zh-CN"/>
                </w:rPr>
                <w:t>C23/62</w:t>
              </w:r>
            </w:hyperlink>
            <w:bookmarkEnd w:id="10"/>
            <w:r w:rsidR="00B83A0C" w:rsidRPr="00950310">
              <w:rPr>
                <w:rFonts w:cs="Microsoft YaHei" w:hint="eastAsia"/>
                <w:szCs w:val="24"/>
                <w:lang w:eastAsia="zh-CN"/>
              </w:rPr>
              <w:t>号文件</w:t>
            </w:r>
          </w:p>
        </w:tc>
      </w:tr>
      <w:bookmarkEnd w:id="2"/>
      <w:bookmarkEnd w:id="7"/>
    </w:tbl>
    <w:p w14:paraId="077D4EE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D496FAD"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54E25AD" w14:textId="4FA9E4EF" w:rsidR="00BB39BC" w:rsidRPr="00250DC8" w:rsidRDefault="00297B7A" w:rsidP="00D840BE">
      <w:pPr>
        <w:pStyle w:val="Headingb"/>
        <w:rPr>
          <w:lang w:eastAsia="zh-CN"/>
        </w:rPr>
      </w:pPr>
      <w:bookmarkStart w:id="11" w:name="_Hlk135836563"/>
      <w:r>
        <w:rPr>
          <w:rFonts w:hint="eastAsia"/>
          <w:lang w:eastAsia="zh-CN"/>
        </w:rPr>
        <w:lastRenderedPageBreak/>
        <w:t>背景</w:t>
      </w:r>
    </w:p>
    <w:bookmarkEnd w:id="11"/>
    <w:p w14:paraId="0AA1E402" w14:textId="4C922626" w:rsidR="00297B7A" w:rsidRPr="00103608" w:rsidRDefault="00D83612" w:rsidP="00D83612">
      <w:pPr>
        <w:rPr>
          <w:lang w:eastAsia="zh-CN"/>
        </w:rPr>
      </w:pPr>
      <w:r>
        <w:rPr>
          <w:rFonts w:hint="eastAsia"/>
          <w:lang w:eastAsia="zh-CN"/>
        </w:rPr>
        <w:t>1</w:t>
      </w:r>
      <w:r>
        <w:rPr>
          <w:lang w:eastAsia="zh-CN"/>
        </w:rPr>
        <w:tab/>
      </w:r>
      <w:r w:rsidR="00103608" w:rsidRPr="00103608">
        <w:rPr>
          <w:rFonts w:hint="eastAsia"/>
          <w:lang w:eastAsia="zh-CN"/>
        </w:rPr>
        <w:t>大约</w:t>
      </w:r>
      <w:r w:rsidR="00103608" w:rsidRPr="00103608">
        <w:rPr>
          <w:rFonts w:hint="eastAsia"/>
          <w:lang w:eastAsia="zh-CN"/>
        </w:rPr>
        <w:t>40</w:t>
      </w:r>
      <w:r w:rsidR="00103608" w:rsidRPr="00103608">
        <w:rPr>
          <w:rFonts w:hint="eastAsia"/>
          <w:lang w:eastAsia="zh-CN"/>
        </w:rPr>
        <w:t>年前，开创性的</w:t>
      </w:r>
      <w:r w:rsidR="00950310">
        <w:rPr>
          <w:rFonts w:hint="eastAsia"/>
          <w:lang w:eastAsia="zh-CN"/>
        </w:rPr>
        <w:t>《</w:t>
      </w:r>
      <w:r w:rsidR="00103608" w:rsidRPr="00103608">
        <w:rPr>
          <w:rFonts w:hint="eastAsia"/>
          <w:lang w:eastAsia="zh-CN"/>
        </w:rPr>
        <w:t>1984</w:t>
      </w:r>
      <w:r w:rsidR="00103608" w:rsidRPr="00103608">
        <w:rPr>
          <w:rFonts w:hint="eastAsia"/>
          <w:lang w:eastAsia="zh-CN"/>
        </w:rPr>
        <w:t>年梅特兰报告</w:t>
      </w:r>
      <w:r w:rsidR="00950310">
        <w:rPr>
          <w:rFonts w:hint="eastAsia"/>
          <w:lang w:eastAsia="zh-CN"/>
        </w:rPr>
        <w:t>：</w:t>
      </w:r>
      <w:r w:rsidR="003E5A71">
        <w:rPr>
          <w:rFonts w:hint="eastAsia"/>
          <w:lang w:eastAsia="zh-CN"/>
        </w:rPr>
        <w:t>缺少的环节</w:t>
      </w:r>
      <w:r w:rsidR="00103608" w:rsidRPr="00103608">
        <w:rPr>
          <w:rFonts w:hint="eastAsia"/>
          <w:lang w:eastAsia="zh-CN"/>
        </w:rPr>
        <w:t>》</w:t>
      </w:r>
      <w:r w:rsidR="003E5A71">
        <w:rPr>
          <w:rFonts w:hint="eastAsia"/>
          <w:lang w:eastAsia="zh-CN"/>
        </w:rPr>
        <w:t>（</w:t>
      </w:r>
      <w:r w:rsidR="003E5A71" w:rsidRPr="00880CB0">
        <w:rPr>
          <w:lang w:eastAsia="zh-CN"/>
        </w:rPr>
        <w:t>The Missing Link</w:t>
      </w:r>
      <w:r w:rsidR="003E5A71">
        <w:rPr>
          <w:rFonts w:hint="eastAsia"/>
          <w:lang w:eastAsia="zh-CN"/>
        </w:rPr>
        <w:t>）</w:t>
      </w:r>
      <w:r w:rsidR="00103608" w:rsidRPr="00103608">
        <w:rPr>
          <w:rFonts w:hint="eastAsia"/>
          <w:lang w:eastAsia="zh-CN"/>
        </w:rPr>
        <w:t>首次评估了电信的优势。报告称，</w:t>
      </w:r>
      <w:r w:rsidR="003E5A71">
        <w:rPr>
          <w:rFonts w:hint="eastAsia"/>
          <w:lang w:eastAsia="zh-CN"/>
        </w:rPr>
        <w:t>“</w:t>
      </w:r>
      <w:r w:rsidR="00103608" w:rsidRPr="00103608">
        <w:rPr>
          <w:rFonts w:hint="eastAsia"/>
          <w:lang w:eastAsia="zh-CN"/>
        </w:rPr>
        <w:t>在二十世纪下半叶，人类中的少数人享受新技术的好处，而大多数人却生活在相对孤立的境地，这是不对的</w:t>
      </w:r>
      <w:r w:rsidR="003E5A71">
        <w:rPr>
          <w:rFonts w:hint="eastAsia"/>
          <w:lang w:eastAsia="zh-CN"/>
        </w:rPr>
        <w:t>”</w:t>
      </w:r>
      <w:r w:rsidR="00103608" w:rsidRPr="00103608">
        <w:rPr>
          <w:rFonts w:hint="eastAsia"/>
          <w:lang w:eastAsia="zh-CN"/>
        </w:rPr>
        <w:t>。</w:t>
      </w:r>
    </w:p>
    <w:p w14:paraId="7FB4C7E9" w14:textId="1290C6C0" w:rsidR="00297B7A" w:rsidRPr="00103608" w:rsidRDefault="00D83612" w:rsidP="00D83612">
      <w:pPr>
        <w:rPr>
          <w:lang w:eastAsia="zh-CN"/>
        </w:rPr>
      </w:pPr>
      <w:r>
        <w:rPr>
          <w:rFonts w:hint="eastAsia"/>
          <w:lang w:eastAsia="zh-CN"/>
        </w:rPr>
        <w:t>2</w:t>
      </w:r>
      <w:r>
        <w:rPr>
          <w:lang w:eastAsia="zh-CN"/>
        </w:rPr>
        <w:tab/>
      </w:r>
      <w:r w:rsidR="00103608" w:rsidRPr="00103608">
        <w:rPr>
          <w:rFonts w:hint="eastAsia"/>
          <w:lang w:eastAsia="zh-CN"/>
        </w:rPr>
        <w:t>在</w:t>
      </w:r>
      <w:r w:rsidR="00103608" w:rsidRPr="00103608">
        <w:rPr>
          <w:rFonts w:hint="eastAsia"/>
          <w:lang w:eastAsia="zh-CN"/>
        </w:rPr>
        <w:t>20</w:t>
      </w:r>
      <w:r w:rsidR="00103608" w:rsidRPr="00103608">
        <w:rPr>
          <w:rFonts w:hint="eastAsia"/>
          <w:lang w:eastAsia="zh-CN"/>
        </w:rPr>
        <w:t>世纪</w:t>
      </w:r>
      <w:r w:rsidR="00103608" w:rsidRPr="00103608">
        <w:rPr>
          <w:rFonts w:hint="eastAsia"/>
          <w:lang w:eastAsia="zh-CN"/>
        </w:rPr>
        <w:t>80</w:t>
      </w:r>
      <w:r w:rsidR="00103608" w:rsidRPr="00103608">
        <w:rPr>
          <w:rFonts w:hint="eastAsia"/>
          <w:lang w:eastAsia="zh-CN"/>
        </w:rPr>
        <w:t>年代，人们可以在没有电话的情况下工作。如今，对于世界上三分之二的人口来说，无法访问数字世界是不可想象的。由于一些国家已经进入第五次工业革命，人机交互将需要一种完全不同的工作方式。</w:t>
      </w:r>
    </w:p>
    <w:p w14:paraId="556635C5" w14:textId="53DB8C60" w:rsidR="00297B7A" w:rsidRPr="00103608" w:rsidRDefault="00D83612" w:rsidP="00D83612">
      <w:pPr>
        <w:rPr>
          <w:lang w:eastAsia="zh-CN"/>
        </w:rPr>
      </w:pPr>
      <w:r>
        <w:rPr>
          <w:rFonts w:hint="eastAsia"/>
          <w:lang w:eastAsia="zh-CN"/>
        </w:rPr>
        <w:t>3</w:t>
      </w:r>
      <w:r>
        <w:rPr>
          <w:lang w:eastAsia="zh-CN"/>
        </w:rPr>
        <w:tab/>
      </w:r>
      <w:r w:rsidR="00103608" w:rsidRPr="00103608">
        <w:rPr>
          <w:rFonts w:hint="eastAsia"/>
          <w:lang w:eastAsia="zh-CN"/>
        </w:rPr>
        <w:t>然而，持续存在的数字鸿沟意味着数十亿人需要获得使用互联网的能力。在这些分歧变得不可逆转之前，我们比以往任何时候都更需要互联互通来弥合这些</w:t>
      </w:r>
      <w:r w:rsidR="00626167">
        <w:rPr>
          <w:rFonts w:hint="eastAsia"/>
          <w:lang w:eastAsia="zh-CN"/>
        </w:rPr>
        <w:t>鸿沟</w:t>
      </w:r>
      <w:r w:rsidR="00103608" w:rsidRPr="00103608">
        <w:rPr>
          <w:rFonts w:hint="eastAsia"/>
          <w:lang w:eastAsia="zh-CN"/>
        </w:rPr>
        <w:t>。</w:t>
      </w:r>
    </w:p>
    <w:p w14:paraId="4D29B7C8" w14:textId="6244640B" w:rsidR="00297B7A" w:rsidRPr="00103608" w:rsidRDefault="00D83612" w:rsidP="00D83612">
      <w:pPr>
        <w:rPr>
          <w:lang w:eastAsia="zh-CN"/>
        </w:rPr>
      </w:pPr>
      <w:r>
        <w:rPr>
          <w:rFonts w:hint="eastAsia"/>
          <w:lang w:eastAsia="zh-CN"/>
        </w:rPr>
        <w:t>4</w:t>
      </w:r>
      <w:r>
        <w:rPr>
          <w:lang w:eastAsia="zh-CN"/>
        </w:rPr>
        <w:tab/>
      </w:r>
      <w:r w:rsidR="00103608" w:rsidRPr="00103608">
        <w:rPr>
          <w:rFonts w:hint="eastAsia"/>
          <w:lang w:eastAsia="zh-CN"/>
        </w:rPr>
        <w:t>如果不加以控制，那么下一代工人中的很大一部分很可能将面临风险，因为他们</w:t>
      </w:r>
      <w:r w:rsidR="00354C38" w:rsidRPr="00103608">
        <w:rPr>
          <w:rFonts w:hint="eastAsia"/>
          <w:lang w:eastAsia="zh-CN"/>
        </w:rPr>
        <w:t>无法</w:t>
      </w:r>
      <w:r w:rsidR="00354C38">
        <w:rPr>
          <w:rFonts w:hint="eastAsia"/>
          <w:lang w:eastAsia="zh-CN"/>
        </w:rPr>
        <w:t>在现在</w:t>
      </w:r>
      <w:r w:rsidR="00103608" w:rsidRPr="00103608">
        <w:rPr>
          <w:rFonts w:hint="eastAsia"/>
          <w:lang w:eastAsia="zh-CN"/>
        </w:rPr>
        <w:t>培养</w:t>
      </w:r>
      <w:r w:rsidR="00354C38">
        <w:rPr>
          <w:rFonts w:hint="eastAsia"/>
          <w:lang w:eastAsia="zh-CN"/>
        </w:rPr>
        <w:t>未来所需要</w:t>
      </w:r>
      <w:r w:rsidR="00103608" w:rsidRPr="00103608">
        <w:rPr>
          <w:rFonts w:hint="eastAsia"/>
          <w:lang w:eastAsia="zh-CN"/>
        </w:rPr>
        <w:t>的技能。</w:t>
      </w:r>
    </w:p>
    <w:p w14:paraId="547C5F1A" w14:textId="57EF6CA7" w:rsidR="00297B7A" w:rsidRPr="00103608" w:rsidRDefault="00D83612" w:rsidP="00D83612">
      <w:pPr>
        <w:rPr>
          <w:lang w:eastAsia="zh-CN"/>
        </w:rPr>
      </w:pPr>
      <w:r>
        <w:rPr>
          <w:rFonts w:hint="eastAsia"/>
          <w:lang w:eastAsia="zh-CN"/>
        </w:rPr>
        <w:t>5</w:t>
      </w:r>
      <w:r>
        <w:rPr>
          <w:lang w:eastAsia="zh-CN"/>
        </w:rPr>
        <w:tab/>
      </w:r>
      <w:r w:rsidR="00103608" w:rsidRPr="00103608">
        <w:rPr>
          <w:rFonts w:hint="eastAsia"/>
          <w:lang w:eastAsia="zh-CN"/>
        </w:rPr>
        <w:t>在此背景下，国际电联全权代表大会（</w:t>
      </w:r>
      <w:r w:rsidR="00103608" w:rsidRPr="00103608">
        <w:rPr>
          <w:rFonts w:hint="eastAsia"/>
          <w:lang w:eastAsia="zh-CN"/>
        </w:rPr>
        <w:t>2022</w:t>
      </w:r>
      <w:r w:rsidR="00103608" w:rsidRPr="00103608">
        <w:rPr>
          <w:rFonts w:hint="eastAsia"/>
          <w:lang w:eastAsia="zh-CN"/>
        </w:rPr>
        <w:t>年</w:t>
      </w:r>
      <w:r w:rsidR="00354C38">
        <w:rPr>
          <w:rFonts w:hint="eastAsia"/>
          <w:lang w:eastAsia="zh-CN"/>
        </w:rPr>
        <w:t>，</w:t>
      </w:r>
      <w:r w:rsidR="00354C38" w:rsidRPr="00103608">
        <w:rPr>
          <w:rFonts w:hint="eastAsia"/>
          <w:lang w:eastAsia="zh-CN"/>
        </w:rPr>
        <w:t>布加勒斯特</w:t>
      </w:r>
      <w:r w:rsidR="00103608" w:rsidRPr="00103608">
        <w:rPr>
          <w:rFonts w:hint="eastAsia"/>
          <w:lang w:eastAsia="zh-CN"/>
        </w:rPr>
        <w:t>）（</w:t>
      </w:r>
      <w:r w:rsidR="00103608" w:rsidRPr="00103608">
        <w:rPr>
          <w:rFonts w:hint="eastAsia"/>
          <w:lang w:eastAsia="zh-CN"/>
        </w:rPr>
        <w:t>PP-22</w:t>
      </w:r>
      <w:r w:rsidR="00103608" w:rsidRPr="00103608">
        <w:rPr>
          <w:rFonts w:hint="eastAsia"/>
          <w:lang w:eastAsia="zh-CN"/>
        </w:rPr>
        <w:t>）通过了一项雄心勃勃的计划（</w:t>
      </w:r>
      <w:hyperlink r:id="rId11" w:history="1">
        <w:r w:rsidR="00103608" w:rsidRPr="00354C38">
          <w:rPr>
            <w:rStyle w:val="Hyperlink"/>
            <w:rFonts w:hint="eastAsia"/>
            <w:lang w:eastAsia="zh-CN"/>
          </w:rPr>
          <w:t>第</w:t>
        </w:r>
        <w:r w:rsidR="00103608" w:rsidRPr="00354C38">
          <w:rPr>
            <w:rStyle w:val="Hyperlink"/>
            <w:rFonts w:hint="eastAsia"/>
            <w:lang w:eastAsia="zh-CN"/>
          </w:rPr>
          <w:t>71</w:t>
        </w:r>
        <w:r w:rsidR="00103608" w:rsidRPr="00354C38">
          <w:rPr>
            <w:rStyle w:val="Hyperlink"/>
            <w:rFonts w:hint="eastAsia"/>
            <w:lang w:eastAsia="zh-CN"/>
          </w:rPr>
          <w:t>号决议</w:t>
        </w:r>
      </w:hyperlink>
      <w:r w:rsidR="00103608" w:rsidRPr="00103608">
        <w:rPr>
          <w:rFonts w:hint="eastAsia"/>
          <w:lang w:eastAsia="zh-CN"/>
        </w:rPr>
        <w:t>），其中提出了未来四年要实现的两大大胆战略目标：普遍</w:t>
      </w:r>
      <w:r w:rsidR="00354C38">
        <w:rPr>
          <w:rFonts w:hint="eastAsia"/>
          <w:lang w:eastAsia="zh-CN"/>
        </w:rPr>
        <w:t>互联互通</w:t>
      </w:r>
      <w:r w:rsidR="00103608" w:rsidRPr="00103608">
        <w:rPr>
          <w:rFonts w:hint="eastAsia"/>
          <w:lang w:eastAsia="zh-CN"/>
        </w:rPr>
        <w:t>和可持续数字</w:t>
      </w:r>
      <w:r w:rsidR="00354C38">
        <w:rPr>
          <w:rFonts w:hint="eastAsia"/>
          <w:lang w:eastAsia="zh-CN"/>
        </w:rPr>
        <w:t>化</w:t>
      </w:r>
      <w:r w:rsidR="00103608" w:rsidRPr="00103608">
        <w:rPr>
          <w:rFonts w:hint="eastAsia"/>
          <w:lang w:eastAsia="zh-CN"/>
        </w:rPr>
        <w:t>转型。</w:t>
      </w:r>
    </w:p>
    <w:p w14:paraId="4259546B" w14:textId="3D291160" w:rsidR="00297B7A" w:rsidRPr="00103608" w:rsidRDefault="00D83612" w:rsidP="00D83612">
      <w:pPr>
        <w:rPr>
          <w:lang w:eastAsia="zh-CN"/>
        </w:rPr>
      </w:pPr>
      <w:r>
        <w:rPr>
          <w:lang w:eastAsia="zh-CN"/>
        </w:rPr>
        <w:t>6</w:t>
      </w:r>
      <w:r>
        <w:rPr>
          <w:lang w:eastAsia="zh-CN"/>
        </w:rPr>
        <w:tab/>
      </w:r>
      <w:r w:rsidR="00103608" w:rsidRPr="00103608">
        <w:rPr>
          <w:rFonts w:hint="eastAsia"/>
          <w:lang w:eastAsia="zh-CN"/>
        </w:rPr>
        <w:t>2022</w:t>
      </w:r>
      <w:r w:rsidR="00103608" w:rsidRPr="00103608">
        <w:rPr>
          <w:rFonts w:hint="eastAsia"/>
          <w:lang w:eastAsia="zh-CN"/>
        </w:rPr>
        <w:t>年，全球有</w:t>
      </w:r>
      <w:r w:rsidR="00103608" w:rsidRPr="00103608">
        <w:rPr>
          <w:rFonts w:hint="eastAsia"/>
          <w:lang w:eastAsia="zh-CN"/>
        </w:rPr>
        <w:t>27</w:t>
      </w:r>
      <w:r w:rsidR="00103608" w:rsidRPr="00103608">
        <w:rPr>
          <w:rFonts w:hint="eastAsia"/>
          <w:lang w:eastAsia="zh-CN"/>
        </w:rPr>
        <w:t>亿人无法上网，而在实现可持续发展目标（</w:t>
      </w:r>
      <w:r w:rsidR="00103608" w:rsidRPr="00103608">
        <w:rPr>
          <w:rFonts w:hint="eastAsia"/>
          <w:lang w:eastAsia="zh-CN"/>
        </w:rPr>
        <w:t>SDG</w:t>
      </w:r>
      <w:r w:rsidR="00103608" w:rsidRPr="00103608">
        <w:rPr>
          <w:rFonts w:hint="eastAsia"/>
          <w:lang w:eastAsia="zh-CN"/>
        </w:rPr>
        <w:t>）和实施</w:t>
      </w:r>
      <w:r w:rsidR="00103608" w:rsidRPr="00103608">
        <w:rPr>
          <w:rFonts w:hint="eastAsia"/>
          <w:lang w:eastAsia="zh-CN"/>
        </w:rPr>
        <w:t>2030</w:t>
      </w:r>
      <w:r w:rsidR="00103608" w:rsidRPr="00103608">
        <w:rPr>
          <w:rFonts w:hint="eastAsia"/>
          <w:lang w:eastAsia="zh-CN"/>
        </w:rPr>
        <w:t>年议程的竞赛中，国际电联必须推动对话和行动，以确保技术发挥催化剂作用，不会</w:t>
      </w:r>
      <w:r w:rsidR="00354C38">
        <w:rPr>
          <w:rFonts w:hint="eastAsia"/>
          <w:lang w:eastAsia="zh-CN"/>
        </w:rPr>
        <w:t>进一步加深</w:t>
      </w:r>
      <w:r w:rsidR="00103608" w:rsidRPr="00103608">
        <w:rPr>
          <w:rFonts w:hint="eastAsia"/>
          <w:lang w:eastAsia="zh-CN"/>
        </w:rPr>
        <w:t>数字鸿沟。</w:t>
      </w:r>
    </w:p>
    <w:p w14:paraId="78085CE4" w14:textId="3333ED6F" w:rsidR="00297B7A" w:rsidRPr="00103608" w:rsidRDefault="00D83612" w:rsidP="00D83612">
      <w:pPr>
        <w:rPr>
          <w:lang w:eastAsia="zh-CN"/>
        </w:rPr>
      </w:pPr>
      <w:r>
        <w:rPr>
          <w:rFonts w:hint="eastAsia"/>
          <w:lang w:eastAsia="zh-CN"/>
        </w:rPr>
        <w:t>7</w:t>
      </w:r>
      <w:r>
        <w:rPr>
          <w:lang w:eastAsia="zh-CN"/>
        </w:rPr>
        <w:tab/>
      </w:r>
      <w:r w:rsidR="00103608" w:rsidRPr="00103608">
        <w:rPr>
          <w:rFonts w:hint="eastAsia"/>
          <w:lang w:eastAsia="zh-CN"/>
        </w:rPr>
        <w:t>国际电联在实现联合国秘书长和联合国系统对我们的期望</w:t>
      </w:r>
      <w:r w:rsidR="00D840BE">
        <w:rPr>
          <w:rFonts w:hint="eastAsia"/>
          <w:lang w:eastAsia="zh-CN"/>
        </w:rPr>
        <w:t xml:space="preserve"> </w:t>
      </w:r>
      <w:r w:rsidR="00D840BE">
        <w:rPr>
          <w:lang w:eastAsia="zh-CN"/>
        </w:rPr>
        <w:t xml:space="preserve">– </w:t>
      </w:r>
      <w:r w:rsidR="00103608" w:rsidRPr="00103608">
        <w:rPr>
          <w:rFonts w:hint="eastAsia"/>
          <w:lang w:eastAsia="zh-CN"/>
        </w:rPr>
        <w:t>引领世界进入数字未来</w:t>
      </w:r>
      <w:r w:rsidR="00D05A5E" w:rsidRPr="00103608">
        <w:rPr>
          <w:rFonts w:hint="eastAsia"/>
          <w:lang w:eastAsia="zh-CN"/>
        </w:rPr>
        <w:t>方面发挥着不可或缺的作用</w:t>
      </w:r>
      <w:r w:rsidR="00103608" w:rsidRPr="00103608">
        <w:rPr>
          <w:rFonts w:hint="eastAsia"/>
          <w:lang w:eastAsia="zh-CN"/>
        </w:rPr>
        <w:t>。</w:t>
      </w:r>
    </w:p>
    <w:p w14:paraId="5E2222FB" w14:textId="2DA54A13" w:rsidR="00330371" w:rsidRDefault="00D83612" w:rsidP="00D83612">
      <w:pPr>
        <w:rPr>
          <w:lang w:eastAsia="zh-CN"/>
        </w:rPr>
      </w:pPr>
      <w:r>
        <w:rPr>
          <w:rFonts w:hint="eastAsia"/>
          <w:lang w:eastAsia="zh-CN"/>
        </w:rPr>
        <w:t>8</w:t>
      </w:r>
      <w:r>
        <w:rPr>
          <w:lang w:eastAsia="zh-CN"/>
        </w:rPr>
        <w:tab/>
      </w:r>
      <w:r w:rsidR="00103608" w:rsidRPr="00103608">
        <w:rPr>
          <w:rFonts w:hint="eastAsia"/>
          <w:lang w:eastAsia="zh-CN"/>
        </w:rPr>
        <w:t>虽然数字化是拯救可持续发展目标的关键推动因素，但互联互通是数字化的基础和基石。因此，国际电联必须继续推动普遍且有意义的</w:t>
      </w:r>
      <w:r w:rsidR="00D05A5E">
        <w:rPr>
          <w:rFonts w:hint="eastAsia"/>
          <w:lang w:eastAsia="zh-CN"/>
        </w:rPr>
        <w:t>互联互通</w:t>
      </w:r>
      <w:r w:rsidR="00103608" w:rsidRPr="00103608">
        <w:rPr>
          <w:rFonts w:hint="eastAsia"/>
          <w:lang w:eastAsia="zh-CN"/>
        </w:rPr>
        <w:t>，以便数字化能够兑现其承诺。</w:t>
      </w:r>
    </w:p>
    <w:p w14:paraId="4A4D21D6" w14:textId="596CE64A" w:rsidR="00BB39BC" w:rsidRPr="00227364" w:rsidRDefault="00D83612" w:rsidP="00D83612">
      <w:pPr>
        <w:rPr>
          <w:rStyle w:val="normaltextrun"/>
          <w:rFonts w:cs="Calibri"/>
          <w:lang w:eastAsia="zh-CN"/>
        </w:rPr>
      </w:pPr>
      <w:r>
        <w:rPr>
          <w:rFonts w:hint="eastAsia"/>
          <w:lang w:eastAsia="zh-CN"/>
        </w:rPr>
        <w:t>9</w:t>
      </w:r>
      <w:r>
        <w:rPr>
          <w:lang w:eastAsia="zh-CN"/>
        </w:rPr>
        <w:tab/>
      </w:r>
      <w:r w:rsidR="00103608" w:rsidRPr="00330371">
        <w:rPr>
          <w:rFonts w:hint="eastAsia"/>
          <w:lang w:eastAsia="zh-CN"/>
        </w:rPr>
        <w:t>为此，国际电联必须言行一致，将</w:t>
      </w:r>
      <w:r w:rsidR="00330371" w:rsidRPr="00330371">
        <w:rPr>
          <w:rFonts w:hint="eastAsia"/>
          <w:lang w:eastAsia="zh-CN"/>
        </w:rPr>
        <w:t>自己</w:t>
      </w:r>
      <w:r w:rsidR="00103608" w:rsidRPr="00330371">
        <w:rPr>
          <w:rFonts w:hint="eastAsia"/>
          <w:lang w:eastAsia="zh-CN"/>
        </w:rPr>
        <w:t>转变为积极主动、具有领导力的组织。</w:t>
      </w:r>
      <w:r w:rsidR="00330371" w:rsidRPr="00330371">
        <w:rPr>
          <w:rFonts w:hint="eastAsia"/>
          <w:lang w:eastAsia="zh-CN"/>
        </w:rPr>
        <w:t>国际电联</w:t>
      </w:r>
      <w:r w:rsidR="00103608" w:rsidRPr="00330371">
        <w:rPr>
          <w:rFonts w:hint="eastAsia"/>
          <w:lang w:eastAsia="zh-CN"/>
        </w:rPr>
        <w:t>需</w:t>
      </w:r>
      <w:r w:rsidR="00330371" w:rsidRPr="00330371">
        <w:rPr>
          <w:rFonts w:hint="eastAsia"/>
          <w:lang w:eastAsia="zh-CN"/>
        </w:rPr>
        <w:t>胜任其职。</w:t>
      </w:r>
      <w:r w:rsidR="00103608" w:rsidRPr="00330371">
        <w:rPr>
          <w:rFonts w:hint="eastAsia"/>
          <w:lang w:eastAsia="zh-CN"/>
        </w:rPr>
        <w:t>更重要的是，它需要</w:t>
      </w:r>
      <w:r w:rsidR="00330371" w:rsidRPr="00330371">
        <w:rPr>
          <w:rFonts w:hint="eastAsia"/>
          <w:lang w:eastAsia="zh-CN"/>
        </w:rPr>
        <w:t>与时俱进</w:t>
      </w:r>
      <w:r w:rsidR="00A60663" w:rsidRPr="00330371">
        <w:rPr>
          <w:rFonts w:hint="eastAsia"/>
          <w:lang w:eastAsia="zh-CN"/>
        </w:rPr>
        <w:t>。</w:t>
      </w:r>
    </w:p>
    <w:p w14:paraId="0C17EC2E" w14:textId="184F991A" w:rsidR="00BB39BC" w:rsidRPr="00250DC8" w:rsidRDefault="00F16D09" w:rsidP="00D840BE">
      <w:pPr>
        <w:pStyle w:val="Headingb"/>
        <w:rPr>
          <w:rStyle w:val="normaltextrun"/>
          <w:rFonts w:cs="Calibri"/>
          <w:szCs w:val="28"/>
          <w:lang w:eastAsia="zh-CN"/>
        </w:rPr>
      </w:pPr>
      <w:bookmarkStart w:id="12" w:name="lt_pId039"/>
      <w:bookmarkStart w:id="13" w:name="_Hlk133931815"/>
      <w:r>
        <w:rPr>
          <w:rFonts w:hint="eastAsia"/>
          <w:lang w:eastAsia="zh-CN"/>
        </w:rPr>
        <w:t>愿景规划</w:t>
      </w:r>
      <w:r w:rsidR="00330371">
        <w:rPr>
          <w:rFonts w:hint="eastAsia"/>
          <w:lang w:eastAsia="zh-CN"/>
        </w:rPr>
        <w:t>过程</w:t>
      </w:r>
      <w:bookmarkEnd w:id="12"/>
      <w:bookmarkEnd w:id="13"/>
    </w:p>
    <w:p w14:paraId="6C6F0D99" w14:textId="011A819A" w:rsidR="00297B7A" w:rsidRPr="00103608" w:rsidRDefault="00D840BE" w:rsidP="00D840BE">
      <w:pPr>
        <w:rPr>
          <w:lang w:eastAsia="zh-CN"/>
        </w:rPr>
      </w:pPr>
      <w:bookmarkStart w:id="14" w:name="lt_pId065"/>
      <w:r>
        <w:rPr>
          <w:lang w:eastAsia="zh-CN"/>
        </w:rPr>
        <w:t>10</w:t>
      </w:r>
      <w:r>
        <w:rPr>
          <w:lang w:eastAsia="zh-CN"/>
        </w:rPr>
        <w:tab/>
      </w:r>
      <w:r w:rsidR="00103608" w:rsidRPr="00103608">
        <w:rPr>
          <w:rFonts w:hint="eastAsia"/>
          <w:lang w:eastAsia="zh-CN"/>
        </w:rPr>
        <w:t>PP-22</w:t>
      </w:r>
      <w:r w:rsidR="00EB67BA">
        <w:rPr>
          <w:rFonts w:hint="eastAsia"/>
          <w:lang w:eastAsia="zh-CN"/>
        </w:rPr>
        <w:t>大会</w:t>
      </w:r>
      <w:r w:rsidR="00103608" w:rsidRPr="00103608">
        <w:rPr>
          <w:rFonts w:hint="eastAsia"/>
          <w:lang w:eastAsia="zh-CN"/>
        </w:rPr>
        <w:t>之后，新领导</w:t>
      </w:r>
      <w:r w:rsidR="00EB67BA">
        <w:rPr>
          <w:rFonts w:hint="eastAsia"/>
          <w:lang w:eastAsia="zh-CN"/>
        </w:rPr>
        <w:t>班子</w:t>
      </w:r>
      <w:r w:rsidR="00103608" w:rsidRPr="00103608">
        <w:rPr>
          <w:rFonts w:hint="eastAsia"/>
          <w:lang w:eastAsia="zh-CN"/>
        </w:rPr>
        <w:t>立即采取了迅速行动，启动了</w:t>
      </w:r>
      <w:r w:rsidR="00EB67BA">
        <w:rPr>
          <w:rFonts w:hint="eastAsia"/>
          <w:lang w:eastAsia="zh-CN"/>
        </w:rPr>
        <w:t>整个</w:t>
      </w:r>
      <w:r w:rsidR="00103608" w:rsidRPr="00103608">
        <w:rPr>
          <w:rFonts w:hint="eastAsia"/>
          <w:lang w:eastAsia="zh-CN"/>
        </w:rPr>
        <w:t>国际电联范围内的愿景</w:t>
      </w:r>
      <w:r w:rsidR="00EB67BA">
        <w:rPr>
          <w:rFonts w:hint="eastAsia"/>
          <w:lang w:eastAsia="zh-CN"/>
        </w:rPr>
        <w:t>制定</w:t>
      </w:r>
      <w:r w:rsidR="00103608" w:rsidRPr="00103608">
        <w:rPr>
          <w:rFonts w:hint="eastAsia"/>
          <w:lang w:eastAsia="zh-CN"/>
        </w:rPr>
        <w:t>进程。以战略</w:t>
      </w:r>
      <w:r w:rsidR="00AB285F">
        <w:rPr>
          <w:rFonts w:hint="eastAsia"/>
          <w:lang w:eastAsia="zh-CN"/>
        </w:rPr>
        <w:t>规划</w:t>
      </w:r>
      <w:r w:rsidR="00103608" w:rsidRPr="00103608">
        <w:rPr>
          <w:rFonts w:hint="eastAsia"/>
          <w:lang w:eastAsia="zh-CN"/>
        </w:rPr>
        <w:t>和</w:t>
      </w:r>
      <w:r w:rsidR="00AB285F">
        <w:rPr>
          <w:rFonts w:hint="eastAsia"/>
          <w:lang w:eastAsia="zh-CN"/>
        </w:rPr>
        <w:t>总体</w:t>
      </w:r>
      <w:r w:rsidR="00103608" w:rsidRPr="00103608">
        <w:rPr>
          <w:rFonts w:hint="eastAsia"/>
          <w:lang w:eastAsia="zh-CN"/>
        </w:rPr>
        <w:t>目标为</w:t>
      </w:r>
      <w:r w:rsidR="00AB285F">
        <w:rPr>
          <w:rFonts w:hint="eastAsia"/>
          <w:lang w:eastAsia="zh-CN"/>
        </w:rPr>
        <w:t>指导</w:t>
      </w:r>
      <w:r w:rsidR="00103608" w:rsidRPr="00103608">
        <w:rPr>
          <w:rFonts w:hint="eastAsia"/>
          <w:lang w:eastAsia="zh-CN"/>
        </w:rPr>
        <w:t>，愿景</w:t>
      </w:r>
      <w:r w:rsidR="00AB285F">
        <w:rPr>
          <w:rFonts w:hint="eastAsia"/>
          <w:lang w:eastAsia="zh-CN"/>
        </w:rPr>
        <w:t>制定工作</w:t>
      </w:r>
      <w:r w:rsidR="00103608" w:rsidRPr="00103608">
        <w:rPr>
          <w:rFonts w:hint="eastAsia"/>
          <w:lang w:eastAsia="zh-CN"/>
        </w:rPr>
        <w:t>重点关注三个问题：</w:t>
      </w:r>
    </w:p>
    <w:p w14:paraId="7B698C2E" w14:textId="5B99486B" w:rsidR="00297B7A" w:rsidRPr="00103608" w:rsidRDefault="00D840BE" w:rsidP="00D840BE">
      <w:pPr>
        <w:pStyle w:val="enumlev1"/>
        <w:rPr>
          <w:lang w:eastAsia="zh-CN"/>
        </w:rPr>
      </w:pPr>
      <w:r w:rsidRPr="00D840BE">
        <w:rPr>
          <w:lang w:eastAsia="zh-CN"/>
        </w:rPr>
        <w:t>•</w:t>
      </w:r>
      <w:r>
        <w:rPr>
          <w:lang w:eastAsia="zh-CN"/>
        </w:rPr>
        <w:tab/>
      </w:r>
      <w:r w:rsidR="00103608" w:rsidRPr="00103608">
        <w:rPr>
          <w:rFonts w:hint="eastAsia"/>
          <w:lang w:eastAsia="zh-CN"/>
        </w:rPr>
        <w:t>在可持续发展目标和国际电联</w:t>
      </w:r>
      <w:r w:rsidR="009645A5">
        <w:rPr>
          <w:rFonts w:hint="eastAsia"/>
          <w:lang w:eastAsia="zh-CN"/>
        </w:rPr>
        <w:t>自身</w:t>
      </w:r>
      <w:r w:rsidR="00103608" w:rsidRPr="00103608">
        <w:rPr>
          <w:rFonts w:hint="eastAsia"/>
          <w:lang w:eastAsia="zh-CN"/>
        </w:rPr>
        <w:t>的《</w:t>
      </w:r>
      <w:r w:rsidR="009645A5">
        <w:rPr>
          <w:rFonts w:hint="eastAsia"/>
          <w:lang w:eastAsia="zh-CN"/>
        </w:rPr>
        <w:t>连通</w:t>
      </w:r>
      <w:r w:rsidR="00103608" w:rsidRPr="00103608">
        <w:rPr>
          <w:rFonts w:hint="eastAsia"/>
          <w:lang w:eastAsia="zh-CN"/>
        </w:rPr>
        <w:t>2030</w:t>
      </w:r>
      <w:r w:rsidR="00103608" w:rsidRPr="00103608">
        <w:rPr>
          <w:rFonts w:hint="eastAsia"/>
          <w:lang w:eastAsia="zh-CN"/>
        </w:rPr>
        <w:t>议程》</w:t>
      </w:r>
      <w:r w:rsidR="009645A5">
        <w:rPr>
          <w:rFonts w:hint="eastAsia"/>
          <w:lang w:eastAsia="zh-CN"/>
        </w:rPr>
        <w:t>所</w:t>
      </w:r>
      <w:r w:rsidR="00103608" w:rsidRPr="00103608">
        <w:rPr>
          <w:rFonts w:hint="eastAsia"/>
          <w:lang w:eastAsia="zh-CN"/>
        </w:rPr>
        <w:t>提供框架</w:t>
      </w:r>
      <w:r w:rsidR="009645A5">
        <w:rPr>
          <w:rFonts w:hint="eastAsia"/>
          <w:lang w:eastAsia="zh-CN"/>
        </w:rPr>
        <w:t>的</w:t>
      </w:r>
      <w:r w:rsidR="00103608" w:rsidRPr="00103608">
        <w:rPr>
          <w:rFonts w:hint="eastAsia"/>
          <w:lang w:eastAsia="zh-CN"/>
        </w:rPr>
        <w:t>背景下，我们希望到</w:t>
      </w:r>
      <w:r w:rsidR="00103608" w:rsidRPr="00103608">
        <w:rPr>
          <w:rFonts w:hint="eastAsia"/>
          <w:lang w:eastAsia="zh-CN"/>
        </w:rPr>
        <w:t>2030</w:t>
      </w:r>
      <w:r w:rsidR="00103608" w:rsidRPr="00103608">
        <w:rPr>
          <w:rFonts w:hint="eastAsia"/>
          <w:lang w:eastAsia="zh-CN"/>
        </w:rPr>
        <w:t>年实现什么目标？</w:t>
      </w:r>
    </w:p>
    <w:p w14:paraId="1B33CC9B" w14:textId="0D8284F9" w:rsidR="00297B7A" w:rsidRPr="00103608" w:rsidRDefault="00D840BE" w:rsidP="00D840BE">
      <w:pPr>
        <w:pStyle w:val="enumlev1"/>
        <w:rPr>
          <w:lang w:eastAsia="zh-CN"/>
        </w:rPr>
      </w:pPr>
      <w:r w:rsidRPr="00D840BE">
        <w:rPr>
          <w:lang w:eastAsia="zh-CN"/>
        </w:rPr>
        <w:t>•</w:t>
      </w:r>
      <w:r>
        <w:rPr>
          <w:lang w:eastAsia="zh-CN"/>
        </w:rPr>
        <w:tab/>
      </w:r>
      <w:r w:rsidR="00103608" w:rsidRPr="00103608">
        <w:rPr>
          <w:rFonts w:hint="eastAsia"/>
          <w:lang w:eastAsia="zh-CN"/>
        </w:rPr>
        <w:t>我们</w:t>
      </w:r>
      <w:r w:rsidR="009645A5">
        <w:rPr>
          <w:rFonts w:hint="eastAsia"/>
          <w:lang w:eastAsia="zh-CN"/>
        </w:rPr>
        <w:t>的现状如何</w:t>
      </w:r>
      <w:r w:rsidR="00103608" w:rsidRPr="00103608">
        <w:rPr>
          <w:rFonts w:hint="eastAsia"/>
          <w:lang w:eastAsia="zh-CN"/>
        </w:rPr>
        <w:t>？</w:t>
      </w:r>
    </w:p>
    <w:p w14:paraId="2D3D0E95" w14:textId="6333EC2B" w:rsidR="00297B7A" w:rsidRPr="00103608" w:rsidRDefault="00D840BE" w:rsidP="00D840BE">
      <w:pPr>
        <w:pStyle w:val="enumlev1"/>
        <w:rPr>
          <w:lang w:eastAsia="zh-CN"/>
        </w:rPr>
      </w:pPr>
      <w:r w:rsidRPr="00D840BE">
        <w:rPr>
          <w:lang w:eastAsia="zh-CN"/>
        </w:rPr>
        <w:t>•</w:t>
      </w:r>
      <w:r>
        <w:rPr>
          <w:lang w:eastAsia="zh-CN"/>
        </w:rPr>
        <w:tab/>
      </w:r>
      <w:r w:rsidR="00103608" w:rsidRPr="00103608">
        <w:rPr>
          <w:rFonts w:hint="eastAsia"/>
          <w:lang w:eastAsia="zh-CN"/>
        </w:rPr>
        <w:t>我们</w:t>
      </w:r>
      <w:r w:rsidR="009645A5">
        <w:rPr>
          <w:rFonts w:hint="eastAsia"/>
          <w:lang w:eastAsia="zh-CN"/>
        </w:rPr>
        <w:t>怎样</w:t>
      </w:r>
      <w:r w:rsidR="00103608" w:rsidRPr="00103608">
        <w:rPr>
          <w:rFonts w:hint="eastAsia"/>
          <w:lang w:eastAsia="zh-CN"/>
        </w:rPr>
        <w:t>才能实现这</w:t>
      </w:r>
      <w:r w:rsidR="009645A5">
        <w:rPr>
          <w:rFonts w:hint="eastAsia"/>
          <w:lang w:eastAsia="zh-CN"/>
        </w:rPr>
        <w:t>些</w:t>
      </w:r>
      <w:r w:rsidR="00103608" w:rsidRPr="00103608">
        <w:rPr>
          <w:rFonts w:hint="eastAsia"/>
          <w:lang w:eastAsia="zh-CN"/>
        </w:rPr>
        <w:t>目标？</w:t>
      </w:r>
    </w:p>
    <w:p w14:paraId="1A652D6B" w14:textId="20E1A1E3" w:rsidR="00297B7A" w:rsidRPr="00103608" w:rsidRDefault="00D840BE" w:rsidP="00D840BE">
      <w:pPr>
        <w:rPr>
          <w:lang w:eastAsia="zh-CN"/>
        </w:rPr>
      </w:pPr>
      <w:r>
        <w:rPr>
          <w:lang w:eastAsia="zh-CN"/>
        </w:rPr>
        <w:t>11</w:t>
      </w:r>
      <w:r>
        <w:rPr>
          <w:lang w:eastAsia="zh-CN"/>
        </w:rPr>
        <w:tab/>
      </w:r>
      <w:r w:rsidR="00103608" w:rsidRPr="00103608">
        <w:rPr>
          <w:rFonts w:hint="eastAsia"/>
          <w:lang w:eastAsia="zh-CN"/>
        </w:rPr>
        <w:t>为了增强</w:t>
      </w:r>
      <w:r w:rsidR="000A23C7">
        <w:rPr>
          <w:rFonts w:hint="eastAsia"/>
          <w:lang w:eastAsia="zh-CN"/>
        </w:rPr>
        <w:t>自己</w:t>
      </w:r>
      <w:r w:rsidR="00103608" w:rsidRPr="00103608">
        <w:rPr>
          <w:rFonts w:hint="eastAsia"/>
          <w:lang w:eastAsia="zh-CN"/>
        </w:rPr>
        <w:t>实现这些宏伟目标的内部能力，国际电联与来自三个局的各级专家和工作人员进行了广泛接触，最初有</w:t>
      </w:r>
      <w:r w:rsidR="00103608" w:rsidRPr="00103608">
        <w:rPr>
          <w:rFonts w:hint="eastAsia"/>
          <w:lang w:eastAsia="zh-CN"/>
        </w:rPr>
        <w:t>40</w:t>
      </w:r>
      <w:r w:rsidR="00103608" w:rsidRPr="00103608">
        <w:rPr>
          <w:rFonts w:hint="eastAsia"/>
          <w:lang w:eastAsia="zh-CN"/>
        </w:rPr>
        <w:t>名工作人员，但最终增加到</w:t>
      </w:r>
      <w:r w:rsidR="00103608" w:rsidRPr="00103608">
        <w:rPr>
          <w:rFonts w:hint="eastAsia"/>
          <w:lang w:eastAsia="zh-CN"/>
        </w:rPr>
        <w:t>65</w:t>
      </w:r>
      <w:r w:rsidR="00103608" w:rsidRPr="00103608">
        <w:rPr>
          <w:rFonts w:hint="eastAsia"/>
          <w:lang w:eastAsia="zh-CN"/>
        </w:rPr>
        <w:t>名，共同</w:t>
      </w:r>
      <w:r w:rsidR="000A23C7">
        <w:rPr>
          <w:rFonts w:hint="eastAsia"/>
          <w:lang w:eastAsia="zh-CN"/>
        </w:rPr>
        <w:t>致力于设定</w:t>
      </w:r>
      <w:r w:rsidR="00103608" w:rsidRPr="00103608">
        <w:rPr>
          <w:rFonts w:hint="eastAsia"/>
          <w:lang w:eastAsia="zh-CN"/>
        </w:rPr>
        <w:t>国际电联</w:t>
      </w:r>
      <w:r w:rsidR="000A23C7">
        <w:rPr>
          <w:rFonts w:hint="eastAsia"/>
          <w:lang w:eastAsia="zh-CN"/>
        </w:rPr>
        <w:t>未来的发展方向</w:t>
      </w:r>
      <w:r w:rsidR="00103608" w:rsidRPr="00103608">
        <w:rPr>
          <w:rFonts w:hint="eastAsia"/>
          <w:lang w:eastAsia="zh-CN"/>
        </w:rPr>
        <w:t>。</w:t>
      </w:r>
    </w:p>
    <w:p w14:paraId="368C19B2" w14:textId="74D3224B" w:rsidR="00297B7A" w:rsidRPr="00103608" w:rsidRDefault="00D840BE" w:rsidP="00D840BE">
      <w:pPr>
        <w:rPr>
          <w:lang w:eastAsia="zh-CN"/>
        </w:rPr>
      </w:pPr>
      <w:r>
        <w:rPr>
          <w:lang w:eastAsia="zh-CN"/>
        </w:rPr>
        <w:t>12</w:t>
      </w:r>
      <w:r>
        <w:rPr>
          <w:lang w:eastAsia="zh-CN"/>
        </w:rPr>
        <w:tab/>
      </w:r>
      <w:r w:rsidR="00103608" w:rsidRPr="00103608">
        <w:rPr>
          <w:rFonts w:hint="eastAsia"/>
          <w:lang w:eastAsia="zh-CN"/>
        </w:rPr>
        <w:t>与此同时，秘书长与全球</w:t>
      </w:r>
      <w:r w:rsidR="00103608" w:rsidRPr="00103608">
        <w:rPr>
          <w:rFonts w:hint="eastAsia"/>
          <w:lang w:eastAsia="zh-CN"/>
        </w:rPr>
        <w:t>40</w:t>
      </w:r>
      <w:r w:rsidR="00103608" w:rsidRPr="00103608">
        <w:rPr>
          <w:rFonts w:hint="eastAsia"/>
          <w:lang w:eastAsia="zh-CN"/>
        </w:rPr>
        <w:t>多个</w:t>
      </w:r>
      <w:r w:rsidR="00D1016B">
        <w:rPr>
          <w:rFonts w:hint="eastAsia"/>
          <w:lang w:eastAsia="zh-CN"/>
        </w:rPr>
        <w:t>高级别</w:t>
      </w:r>
      <w:r w:rsidR="00103608" w:rsidRPr="00103608">
        <w:rPr>
          <w:rFonts w:hint="eastAsia"/>
          <w:lang w:eastAsia="zh-CN"/>
        </w:rPr>
        <w:t>外部利益攸关方进行了接触。他们包括</w:t>
      </w:r>
      <w:r w:rsidR="00D1016B">
        <w:rPr>
          <w:rFonts w:hint="eastAsia"/>
          <w:lang w:eastAsia="zh-CN"/>
        </w:rPr>
        <w:t>成员</w:t>
      </w:r>
      <w:r w:rsidR="00103608" w:rsidRPr="00103608">
        <w:rPr>
          <w:rFonts w:hint="eastAsia"/>
          <w:lang w:eastAsia="zh-CN"/>
        </w:rPr>
        <w:t>国、私营部门、联合国机构和政府间组织、民间</w:t>
      </w:r>
      <w:r w:rsidR="00D1016B">
        <w:rPr>
          <w:rFonts w:hint="eastAsia"/>
          <w:lang w:eastAsia="zh-CN"/>
        </w:rPr>
        <w:t>团体</w:t>
      </w:r>
      <w:r w:rsidR="00103608" w:rsidRPr="00103608">
        <w:rPr>
          <w:rFonts w:hint="eastAsia"/>
          <w:lang w:eastAsia="zh-CN"/>
        </w:rPr>
        <w:t>、学术界以及一些知名人士。</w:t>
      </w:r>
    </w:p>
    <w:p w14:paraId="37C28181" w14:textId="1812C7AE" w:rsidR="00297B7A" w:rsidRPr="00880CB0" w:rsidRDefault="00D840BE" w:rsidP="00D840BE">
      <w:pPr>
        <w:rPr>
          <w:lang w:eastAsia="zh-CN"/>
        </w:rPr>
      </w:pPr>
      <w:bookmarkStart w:id="15" w:name="lt_pId048"/>
      <w:r>
        <w:rPr>
          <w:rFonts w:hint="eastAsia"/>
          <w:lang w:eastAsia="zh-CN"/>
        </w:rPr>
        <w:lastRenderedPageBreak/>
        <w:t>1</w:t>
      </w:r>
      <w:r>
        <w:rPr>
          <w:lang w:eastAsia="zh-CN"/>
        </w:rPr>
        <w:t>3</w:t>
      </w:r>
      <w:r>
        <w:rPr>
          <w:lang w:eastAsia="zh-CN"/>
        </w:rPr>
        <w:tab/>
      </w:r>
      <w:r w:rsidR="00103608" w:rsidRPr="00103608">
        <w:rPr>
          <w:rFonts w:hint="eastAsia"/>
          <w:lang w:eastAsia="zh-CN"/>
        </w:rPr>
        <w:t>这项工作是开放、有力、协商和自我批评的，这是构建国际电联未来愿景所必需的。讨论集中在三个支柱上：</w:t>
      </w:r>
      <w:bookmarkEnd w:id="15"/>
    </w:p>
    <w:p w14:paraId="3BEF0269" w14:textId="210C2098" w:rsidR="00297B7A" w:rsidRPr="00D840BE" w:rsidRDefault="00D840BE" w:rsidP="00D840BE">
      <w:pPr>
        <w:pStyle w:val="enumlev1"/>
        <w:rPr>
          <w:rFonts w:cs="Calibri"/>
          <w:lang w:eastAsia="zh-CN"/>
        </w:rPr>
      </w:pPr>
      <w:r w:rsidRPr="00D840BE">
        <w:rPr>
          <w:lang w:eastAsia="zh-CN"/>
        </w:rPr>
        <w:t>•</w:t>
      </w:r>
      <w:r>
        <w:rPr>
          <w:lang w:eastAsia="zh-CN"/>
        </w:rPr>
        <w:tab/>
      </w:r>
      <w:r w:rsidR="00103608" w:rsidRPr="00D840BE">
        <w:rPr>
          <w:rFonts w:eastAsia="STKaiti" w:cs="Calibri"/>
          <w:b/>
          <w:bCs/>
          <w:lang w:eastAsia="zh-CN"/>
        </w:rPr>
        <w:t>支柱</w:t>
      </w:r>
      <w:r w:rsidR="00103608" w:rsidRPr="00D840BE">
        <w:rPr>
          <w:rFonts w:eastAsia="STKaiti" w:cs="Calibri"/>
          <w:b/>
          <w:bCs/>
          <w:lang w:eastAsia="zh-CN"/>
        </w:rPr>
        <w:t>1</w:t>
      </w:r>
      <w:r w:rsidR="00103608" w:rsidRPr="00D840BE">
        <w:rPr>
          <w:rFonts w:eastAsia="STKaiti" w:cs="Calibri"/>
          <w:b/>
          <w:bCs/>
          <w:lang w:eastAsia="zh-CN"/>
        </w:rPr>
        <w:t>：思想领导力</w:t>
      </w:r>
      <w:r w:rsidRPr="00D840BE">
        <w:rPr>
          <w:rFonts w:eastAsia="STKaiti" w:cs="Calibri"/>
          <w:b/>
          <w:bCs/>
          <w:lang w:eastAsia="zh-CN"/>
        </w:rPr>
        <w:t xml:space="preserve"> </w:t>
      </w:r>
      <w:r w:rsidRPr="00D840BE">
        <w:rPr>
          <w:rFonts w:cs="Calibri"/>
          <w:lang w:eastAsia="zh-CN"/>
        </w:rPr>
        <w:t xml:space="preserve">– </w:t>
      </w:r>
      <w:r w:rsidR="00103608" w:rsidRPr="00D840BE">
        <w:rPr>
          <w:rFonts w:cs="Calibri"/>
          <w:lang w:eastAsia="zh-CN"/>
        </w:rPr>
        <w:t>将国际电联定位为数字生态系统的全球思想领导者。</w:t>
      </w:r>
    </w:p>
    <w:p w14:paraId="5B3C5A19" w14:textId="22E75C70" w:rsidR="00297B7A" w:rsidRPr="00D840BE" w:rsidRDefault="00D840BE" w:rsidP="00D840BE">
      <w:pPr>
        <w:pStyle w:val="enumlev1"/>
        <w:rPr>
          <w:rFonts w:cs="Calibri"/>
          <w:lang w:eastAsia="zh-CN"/>
        </w:rPr>
      </w:pPr>
      <w:r w:rsidRPr="00D840BE">
        <w:rPr>
          <w:rFonts w:cs="Calibri"/>
          <w:lang w:eastAsia="zh-CN"/>
        </w:rPr>
        <w:t>•</w:t>
      </w:r>
      <w:r w:rsidRPr="00D840BE">
        <w:rPr>
          <w:rFonts w:cs="Calibri"/>
          <w:lang w:eastAsia="zh-CN"/>
        </w:rPr>
        <w:tab/>
      </w:r>
      <w:r w:rsidR="00103608" w:rsidRPr="00D840BE">
        <w:rPr>
          <w:rFonts w:eastAsia="STKaiti" w:cs="Calibri"/>
          <w:b/>
          <w:bCs/>
          <w:lang w:eastAsia="zh-CN"/>
        </w:rPr>
        <w:t>支柱</w:t>
      </w:r>
      <w:r w:rsidR="00103608" w:rsidRPr="00D840BE">
        <w:rPr>
          <w:rFonts w:eastAsia="STKaiti" w:cs="Calibri"/>
          <w:b/>
          <w:bCs/>
          <w:lang w:eastAsia="zh-CN"/>
        </w:rPr>
        <w:t>2</w:t>
      </w:r>
      <w:r w:rsidR="00103608" w:rsidRPr="00D840BE">
        <w:rPr>
          <w:rFonts w:eastAsia="STKaiti" w:cs="Calibri"/>
          <w:b/>
          <w:bCs/>
          <w:lang w:eastAsia="zh-CN"/>
        </w:rPr>
        <w:t>：战略伙伴关系和成员参与</w:t>
      </w:r>
      <w:r w:rsidRPr="00D840BE">
        <w:rPr>
          <w:rFonts w:eastAsia="STKaiti" w:cs="Calibri"/>
          <w:b/>
          <w:bCs/>
          <w:lang w:eastAsia="zh-CN"/>
        </w:rPr>
        <w:t xml:space="preserve"> </w:t>
      </w:r>
      <w:r w:rsidRPr="00D840BE">
        <w:rPr>
          <w:rFonts w:cs="Calibri"/>
          <w:lang w:eastAsia="zh-CN"/>
        </w:rPr>
        <w:t xml:space="preserve">– </w:t>
      </w:r>
      <w:r w:rsidR="00103608" w:rsidRPr="00D840BE">
        <w:rPr>
          <w:rFonts w:cs="Calibri"/>
          <w:lang w:eastAsia="zh-CN"/>
        </w:rPr>
        <w:t>确保和加强我们的成员国、部门成员、</w:t>
      </w:r>
      <w:r w:rsidR="002D27B6" w:rsidRPr="00D840BE">
        <w:rPr>
          <w:rFonts w:cs="Calibri"/>
          <w:lang w:eastAsia="zh-CN"/>
        </w:rPr>
        <w:t>部门</w:t>
      </w:r>
      <w:r w:rsidR="00103608" w:rsidRPr="00D840BE">
        <w:rPr>
          <w:rFonts w:cs="Calibri"/>
          <w:lang w:eastAsia="zh-CN"/>
        </w:rPr>
        <w:t>准成员和学术</w:t>
      </w:r>
      <w:r w:rsidR="002D27B6" w:rsidRPr="00D840BE">
        <w:rPr>
          <w:rFonts w:cs="Calibri"/>
          <w:lang w:eastAsia="zh-CN"/>
        </w:rPr>
        <w:t>成员</w:t>
      </w:r>
      <w:r w:rsidR="00103608" w:rsidRPr="00D840BE">
        <w:rPr>
          <w:rFonts w:cs="Calibri"/>
          <w:lang w:eastAsia="zh-CN"/>
        </w:rPr>
        <w:t>的参与，建立和发展战略伙伴关系，并</w:t>
      </w:r>
      <w:r w:rsidR="002D27B6" w:rsidRPr="00D840BE">
        <w:rPr>
          <w:rFonts w:cs="Calibri"/>
          <w:lang w:eastAsia="zh-CN"/>
        </w:rPr>
        <w:t>筹措</w:t>
      </w:r>
      <w:r w:rsidR="00103608" w:rsidRPr="00D840BE">
        <w:rPr>
          <w:rFonts w:cs="Calibri"/>
          <w:lang w:eastAsia="zh-CN"/>
        </w:rPr>
        <w:t>大量</w:t>
      </w:r>
      <w:r w:rsidR="002D27B6" w:rsidRPr="00D840BE">
        <w:rPr>
          <w:rFonts w:cs="Calibri"/>
          <w:lang w:eastAsia="zh-CN"/>
        </w:rPr>
        <w:t>财务</w:t>
      </w:r>
      <w:r w:rsidR="00103608" w:rsidRPr="00D840BE">
        <w:rPr>
          <w:rFonts w:cs="Calibri"/>
          <w:lang w:eastAsia="zh-CN"/>
        </w:rPr>
        <w:t>资源。</w:t>
      </w:r>
    </w:p>
    <w:p w14:paraId="355956C3" w14:textId="68949E27" w:rsidR="00297B7A" w:rsidRPr="00880CB0" w:rsidRDefault="00D840BE" w:rsidP="00D840BE">
      <w:pPr>
        <w:pStyle w:val="enumlev1"/>
        <w:rPr>
          <w:lang w:eastAsia="zh-CN"/>
        </w:rPr>
      </w:pPr>
      <w:r w:rsidRPr="00D840BE">
        <w:rPr>
          <w:rFonts w:cs="Calibri"/>
          <w:lang w:eastAsia="zh-CN"/>
        </w:rPr>
        <w:t>•</w:t>
      </w:r>
      <w:r w:rsidRPr="00D840BE">
        <w:rPr>
          <w:rFonts w:cs="Calibri"/>
          <w:lang w:eastAsia="zh-CN"/>
        </w:rPr>
        <w:tab/>
      </w:r>
      <w:r w:rsidR="00103608" w:rsidRPr="00D840BE">
        <w:rPr>
          <w:rFonts w:eastAsia="STKaiti" w:cs="Calibri"/>
          <w:b/>
          <w:bCs/>
          <w:lang w:eastAsia="zh-CN"/>
        </w:rPr>
        <w:t>支柱</w:t>
      </w:r>
      <w:r w:rsidR="00103608" w:rsidRPr="00D840BE">
        <w:rPr>
          <w:rFonts w:eastAsia="STKaiti" w:cs="Calibri"/>
          <w:b/>
          <w:bCs/>
          <w:lang w:eastAsia="zh-CN"/>
        </w:rPr>
        <w:t>3</w:t>
      </w:r>
      <w:r w:rsidR="00103608" w:rsidRPr="00D840BE">
        <w:rPr>
          <w:rFonts w:eastAsia="STKaiti" w:cs="Calibri"/>
          <w:b/>
          <w:bCs/>
          <w:lang w:eastAsia="zh-CN"/>
        </w:rPr>
        <w:t>：卓越组织</w:t>
      </w:r>
      <w:r w:rsidR="00AF468D" w:rsidRPr="00D840BE">
        <w:rPr>
          <w:rFonts w:eastAsia="STKaiti" w:cs="Calibri"/>
          <w:b/>
          <w:bCs/>
          <w:lang w:eastAsia="zh-CN"/>
        </w:rPr>
        <w:t>能力</w:t>
      </w:r>
      <w:r w:rsidRPr="00D840BE">
        <w:rPr>
          <w:rFonts w:eastAsia="STKaiti" w:cs="Calibri"/>
          <w:b/>
          <w:bCs/>
          <w:lang w:eastAsia="zh-CN"/>
        </w:rPr>
        <w:t xml:space="preserve"> </w:t>
      </w:r>
      <w:r w:rsidRPr="00D840BE">
        <w:rPr>
          <w:rFonts w:cs="Calibri"/>
          <w:lang w:eastAsia="zh-CN"/>
        </w:rPr>
        <w:t xml:space="preserve">– </w:t>
      </w:r>
      <w:r w:rsidR="00103608" w:rsidRPr="00D840BE">
        <w:rPr>
          <w:rFonts w:cs="Calibri"/>
          <w:lang w:eastAsia="zh-CN"/>
        </w:rPr>
        <w:t>在</w:t>
      </w:r>
      <w:r w:rsidR="00103608" w:rsidRPr="00103608">
        <w:rPr>
          <w:rFonts w:asciiTheme="minorHAnsi" w:hAnsiTheme="minorHAnsi" w:cstheme="minorHAnsi" w:hint="eastAsia"/>
          <w:lang w:eastAsia="zh-CN"/>
        </w:rPr>
        <w:t>整个国际电联实现卓越组织</w:t>
      </w:r>
      <w:r w:rsidR="00AF468D">
        <w:rPr>
          <w:rFonts w:asciiTheme="minorHAnsi" w:hAnsiTheme="minorHAnsi" w:cstheme="minorHAnsi" w:hint="eastAsia"/>
          <w:lang w:eastAsia="zh-CN"/>
        </w:rPr>
        <w:t>能力</w:t>
      </w:r>
      <w:r w:rsidR="00103608" w:rsidRPr="00103608">
        <w:rPr>
          <w:rFonts w:asciiTheme="minorHAnsi" w:hAnsiTheme="minorHAnsi" w:cstheme="minorHAnsi" w:hint="eastAsia"/>
          <w:lang w:eastAsia="zh-CN"/>
        </w:rPr>
        <w:t>，</w:t>
      </w:r>
      <w:r w:rsidR="00AF468D">
        <w:rPr>
          <w:rFonts w:asciiTheme="minorHAnsi" w:hAnsiTheme="minorHAnsi" w:cstheme="minorHAnsi" w:hint="eastAsia"/>
          <w:lang w:eastAsia="zh-CN"/>
        </w:rPr>
        <w:t>凭借</w:t>
      </w:r>
      <w:r w:rsidR="00103608" w:rsidRPr="00103608">
        <w:rPr>
          <w:rFonts w:asciiTheme="minorHAnsi" w:hAnsiTheme="minorHAnsi" w:cstheme="minorHAnsi" w:hint="eastAsia"/>
          <w:lang w:eastAsia="zh-CN"/>
        </w:rPr>
        <w:t>其技术专长、效率以及向其成员提供的广泛服务的质量和相关性而</w:t>
      </w:r>
      <w:r w:rsidR="00AF468D">
        <w:rPr>
          <w:rFonts w:asciiTheme="minorHAnsi" w:hAnsiTheme="minorHAnsi" w:cstheme="minorHAnsi" w:hint="eastAsia"/>
          <w:lang w:eastAsia="zh-CN"/>
        </w:rPr>
        <w:t>赢得</w:t>
      </w:r>
      <w:r w:rsidR="00103608" w:rsidRPr="00103608">
        <w:rPr>
          <w:rFonts w:asciiTheme="minorHAnsi" w:hAnsiTheme="minorHAnsi" w:cstheme="minorHAnsi" w:hint="eastAsia"/>
          <w:lang w:eastAsia="zh-CN"/>
        </w:rPr>
        <w:t>认可。</w:t>
      </w:r>
    </w:p>
    <w:p w14:paraId="3F623CF9" w14:textId="12820969" w:rsidR="00297B7A" w:rsidRPr="00103608" w:rsidRDefault="00D840BE" w:rsidP="00D840BE">
      <w:pPr>
        <w:rPr>
          <w:lang w:eastAsia="zh-CN"/>
        </w:rPr>
      </w:pPr>
      <w:r>
        <w:rPr>
          <w:rFonts w:hint="eastAsia"/>
          <w:lang w:eastAsia="zh-CN"/>
        </w:rPr>
        <w:t>1</w:t>
      </w:r>
      <w:r>
        <w:rPr>
          <w:lang w:eastAsia="zh-CN"/>
        </w:rPr>
        <w:t>4</w:t>
      </w:r>
      <w:r>
        <w:rPr>
          <w:lang w:eastAsia="zh-CN"/>
        </w:rPr>
        <w:tab/>
      </w:r>
      <w:r w:rsidR="00103608" w:rsidRPr="00103608">
        <w:rPr>
          <w:rFonts w:hint="eastAsia"/>
          <w:lang w:eastAsia="zh-CN"/>
        </w:rPr>
        <w:t>还通过国际电联全体会议、与青年、实习生和区域</w:t>
      </w:r>
      <w:r w:rsidR="00EB6BD7">
        <w:rPr>
          <w:rFonts w:hint="eastAsia"/>
          <w:lang w:eastAsia="zh-CN"/>
        </w:rPr>
        <w:t>代表处举行</w:t>
      </w:r>
      <w:r w:rsidR="00103608" w:rsidRPr="00103608">
        <w:rPr>
          <w:rFonts w:hint="eastAsia"/>
          <w:lang w:eastAsia="zh-CN"/>
        </w:rPr>
        <w:t>会议</w:t>
      </w:r>
      <w:r w:rsidR="00EB6BD7">
        <w:rPr>
          <w:rFonts w:hint="eastAsia"/>
          <w:lang w:eastAsia="zh-CN"/>
        </w:rPr>
        <w:t>等方式向职员们通报</w:t>
      </w:r>
      <w:r w:rsidR="00103608" w:rsidRPr="00103608">
        <w:rPr>
          <w:rFonts w:hint="eastAsia"/>
          <w:lang w:eastAsia="zh-CN"/>
        </w:rPr>
        <w:t>情况并</w:t>
      </w:r>
      <w:r w:rsidR="00EB6BD7">
        <w:rPr>
          <w:rFonts w:hint="eastAsia"/>
          <w:lang w:eastAsia="zh-CN"/>
        </w:rPr>
        <w:t>让他们</w:t>
      </w:r>
      <w:r w:rsidR="00103608" w:rsidRPr="00103608">
        <w:rPr>
          <w:rFonts w:hint="eastAsia"/>
          <w:lang w:eastAsia="zh-CN"/>
        </w:rPr>
        <w:t>参与</w:t>
      </w:r>
      <w:r w:rsidR="00EB6BD7">
        <w:rPr>
          <w:rFonts w:hint="eastAsia"/>
          <w:lang w:eastAsia="zh-CN"/>
        </w:rPr>
        <w:t>介入</w:t>
      </w:r>
      <w:r w:rsidR="00103608" w:rsidRPr="00103608">
        <w:rPr>
          <w:rFonts w:hint="eastAsia"/>
          <w:lang w:eastAsia="zh-CN"/>
        </w:rPr>
        <w:t>。我们鼓励每个人提供反馈，并为他们通过</w:t>
      </w:r>
      <w:r w:rsidR="00EB6BD7">
        <w:rPr>
          <w:rFonts w:hint="eastAsia"/>
          <w:lang w:eastAsia="zh-CN"/>
        </w:rPr>
        <w:t>专门用于</w:t>
      </w:r>
      <w:r w:rsidR="00F16D09">
        <w:rPr>
          <w:rFonts w:hint="eastAsia"/>
          <w:lang w:eastAsia="zh-CN"/>
        </w:rPr>
        <w:t>愿景规划</w:t>
      </w:r>
      <w:r w:rsidR="00EB6BD7">
        <w:rPr>
          <w:rFonts w:hint="eastAsia"/>
          <w:lang w:eastAsia="zh-CN"/>
        </w:rPr>
        <w:t>的</w:t>
      </w:r>
      <w:r w:rsidR="00103608" w:rsidRPr="00103608">
        <w:rPr>
          <w:rFonts w:hint="eastAsia"/>
          <w:lang w:eastAsia="zh-CN"/>
        </w:rPr>
        <w:t>电子邮件分享想法和</w:t>
      </w:r>
      <w:r w:rsidR="00EB6BD7">
        <w:rPr>
          <w:rFonts w:hint="eastAsia"/>
          <w:lang w:eastAsia="zh-CN"/>
        </w:rPr>
        <w:t>意见</w:t>
      </w:r>
      <w:r w:rsidR="00103608" w:rsidRPr="00103608">
        <w:rPr>
          <w:rFonts w:hint="eastAsia"/>
          <w:lang w:eastAsia="zh-CN"/>
        </w:rPr>
        <w:t>敞开大门。</w:t>
      </w:r>
    </w:p>
    <w:p w14:paraId="36C9F6E5" w14:textId="4610EDDD" w:rsidR="00297B7A" w:rsidRPr="00880CB0" w:rsidRDefault="00D840BE" w:rsidP="00D840BE">
      <w:pPr>
        <w:rPr>
          <w:lang w:eastAsia="zh-CN"/>
        </w:rPr>
      </w:pPr>
      <w:r>
        <w:rPr>
          <w:rFonts w:hint="eastAsia"/>
          <w:lang w:eastAsia="zh-CN"/>
        </w:rPr>
        <w:t>1</w:t>
      </w:r>
      <w:r>
        <w:rPr>
          <w:lang w:eastAsia="zh-CN"/>
        </w:rPr>
        <w:t>5</w:t>
      </w:r>
      <w:r>
        <w:rPr>
          <w:lang w:eastAsia="zh-CN"/>
        </w:rPr>
        <w:tab/>
      </w:r>
      <w:r w:rsidR="00103608" w:rsidRPr="00103608">
        <w:rPr>
          <w:rFonts w:hint="eastAsia"/>
          <w:lang w:eastAsia="zh-CN"/>
        </w:rPr>
        <w:t>向大使和外交界其他成员、业界、部长级会议和其他团体通报情况，继续进行外部磋商。</w:t>
      </w:r>
    </w:p>
    <w:p w14:paraId="18AF059E" w14:textId="0E71FD59" w:rsidR="00BB39BC" w:rsidRPr="00227364" w:rsidRDefault="00D840BE" w:rsidP="00D840BE">
      <w:pPr>
        <w:rPr>
          <w:rStyle w:val="normaltextrun"/>
          <w:rFonts w:cs="Calibri"/>
          <w:lang w:eastAsia="zh-CN"/>
        </w:rPr>
      </w:pPr>
      <w:r>
        <w:rPr>
          <w:lang w:eastAsia="zh-CN"/>
        </w:rPr>
        <w:t>16</w:t>
      </w:r>
      <w:r>
        <w:rPr>
          <w:lang w:eastAsia="zh-CN"/>
        </w:rPr>
        <w:tab/>
      </w:r>
      <w:r w:rsidR="00103608" w:rsidRPr="00103608">
        <w:rPr>
          <w:rFonts w:hint="eastAsia"/>
          <w:lang w:eastAsia="zh-CN"/>
        </w:rPr>
        <w:t>2</w:t>
      </w:r>
      <w:r w:rsidR="00103608" w:rsidRPr="00103608">
        <w:rPr>
          <w:rFonts w:hint="eastAsia"/>
          <w:lang w:eastAsia="zh-CN"/>
        </w:rPr>
        <w:t>月，新领导</w:t>
      </w:r>
      <w:r w:rsidR="00F16D09">
        <w:rPr>
          <w:rFonts w:hint="eastAsia"/>
          <w:lang w:eastAsia="zh-CN"/>
        </w:rPr>
        <w:t>班子</w:t>
      </w:r>
      <w:r w:rsidR="00103608" w:rsidRPr="00103608">
        <w:rPr>
          <w:rFonts w:hint="eastAsia"/>
          <w:lang w:eastAsia="zh-CN"/>
        </w:rPr>
        <w:t>带领国际电联高级管理</w:t>
      </w:r>
      <w:r w:rsidR="00F16D09">
        <w:rPr>
          <w:rFonts w:hint="eastAsia"/>
          <w:lang w:eastAsia="zh-CN"/>
        </w:rPr>
        <w:t>人员</w:t>
      </w:r>
      <w:r w:rsidR="00103608" w:rsidRPr="00103608">
        <w:rPr>
          <w:rFonts w:hint="eastAsia"/>
          <w:lang w:eastAsia="zh-CN"/>
        </w:rPr>
        <w:t>召开务虚会，以完善愿景规划第一阶段的结果。这次务虚会</w:t>
      </w:r>
      <w:r w:rsidR="00F16D09">
        <w:rPr>
          <w:rFonts w:hint="eastAsia"/>
          <w:lang w:eastAsia="zh-CN"/>
        </w:rPr>
        <w:t>提供了</w:t>
      </w:r>
      <w:r w:rsidR="00103608" w:rsidRPr="00103608">
        <w:rPr>
          <w:rFonts w:hint="eastAsia"/>
          <w:lang w:eastAsia="zh-CN"/>
        </w:rPr>
        <w:t>进一步发展国际电联价值主张并确定国际电联如何最好地融入这个快速变化、技术驱动的世界的</w:t>
      </w:r>
      <w:r w:rsidR="00F16D09">
        <w:rPr>
          <w:rFonts w:hint="eastAsia"/>
          <w:lang w:eastAsia="zh-CN"/>
        </w:rPr>
        <w:t>机遇</w:t>
      </w:r>
      <w:r w:rsidR="00103608" w:rsidRPr="00103608">
        <w:rPr>
          <w:rFonts w:hint="eastAsia"/>
          <w:lang w:eastAsia="zh-CN"/>
        </w:rPr>
        <w:t>。管理层确定了国际电联成为领先数字机构的</w:t>
      </w:r>
      <w:r w:rsidR="00F16D09">
        <w:rPr>
          <w:rFonts w:hint="eastAsia"/>
          <w:lang w:eastAsia="zh-CN"/>
        </w:rPr>
        <w:t>重点工作</w:t>
      </w:r>
      <w:r w:rsidR="00103608" w:rsidRPr="00103608">
        <w:rPr>
          <w:rFonts w:hint="eastAsia"/>
          <w:lang w:eastAsia="zh-CN"/>
        </w:rPr>
        <w:t>领域。</w:t>
      </w:r>
      <w:bookmarkEnd w:id="14"/>
    </w:p>
    <w:p w14:paraId="0D77383F" w14:textId="3B930279" w:rsidR="00BB39BC" w:rsidRPr="00250DC8" w:rsidRDefault="00297B7A" w:rsidP="00D840BE">
      <w:pPr>
        <w:pStyle w:val="Headingb"/>
        <w:rPr>
          <w:lang w:eastAsia="zh-CN"/>
        </w:rPr>
      </w:pPr>
      <w:r>
        <w:rPr>
          <w:rFonts w:hint="eastAsia"/>
          <w:lang w:eastAsia="zh-CN"/>
        </w:rPr>
        <w:t>结果</w:t>
      </w:r>
    </w:p>
    <w:p w14:paraId="5DF658F3" w14:textId="01026546" w:rsidR="00297B7A" w:rsidRPr="00103608" w:rsidRDefault="00D840BE" w:rsidP="00D840BE">
      <w:pPr>
        <w:rPr>
          <w:lang w:eastAsia="zh-CN"/>
        </w:rPr>
      </w:pPr>
      <w:r w:rsidRPr="00D840BE">
        <w:rPr>
          <w:rFonts w:cs="Calibri"/>
          <w:lang w:eastAsia="zh-CN"/>
        </w:rPr>
        <w:t>17</w:t>
      </w:r>
      <w:r>
        <w:rPr>
          <w:rFonts w:ascii="SimSun" w:hAnsi="SimSun" w:cs="SimSun"/>
          <w:lang w:eastAsia="zh-CN"/>
        </w:rPr>
        <w:tab/>
      </w:r>
      <w:r w:rsidR="003657AB">
        <w:rPr>
          <w:rFonts w:ascii="SimSun" w:hAnsi="SimSun" w:cs="SimSun" w:hint="eastAsia"/>
          <w:lang w:eastAsia="zh-CN"/>
        </w:rPr>
        <w:t>各方</w:t>
      </w:r>
      <w:r w:rsidR="00103608" w:rsidRPr="00103608">
        <w:rPr>
          <w:rFonts w:hint="eastAsia"/>
          <w:lang w:eastAsia="zh-CN"/>
        </w:rPr>
        <w:t>一致认为，国际电联的重点应放在实现财务稳定和卓越</w:t>
      </w:r>
      <w:r w:rsidR="003657AB" w:rsidRPr="00103608">
        <w:rPr>
          <w:rFonts w:hint="eastAsia"/>
          <w:lang w:eastAsia="zh-CN"/>
        </w:rPr>
        <w:t>组织</w:t>
      </w:r>
      <w:r w:rsidR="003657AB">
        <w:rPr>
          <w:rFonts w:hint="eastAsia"/>
          <w:lang w:eastAsia="zh-CN"/>
        </w:rPr>
        <w:t>能力</w:t>
      </w:r>
      <w:r w:rsidR="00103608" w:rsidRPr="00103608">
        <w:rPr>
          <w:rFonts w:hint="eastAsia"/>
          <w:lang w:eastAsia="zh-CN"/>
        </w:rPr>
        <w:t>、建立外部信任、加强与青年的接触以及通过对</w:t>
      </w:r>
      <w:r w:rsidR="003657AB">
        <w:rPr>
          <w:rFonts w:hint="eastAsia"/>
          <w:lang w:eastAsia="zh-CN"/>
        </w:rPr>
        <w:t>可能</w:t>
      </w:r>
      <w:r w:rsidR="00103608" w:rsidRPr="00103608">
        <w:rPr>
          <w:rFonts w:hint="eastAsia"/>
          <w:lang w:eastAsia="zh-CN"/>
        </w:rPr>
        <w:t>具有全球</w:t>
      </w:r>
      <w:r w:rsidR="003657AB">
        <w:rPr>
          <w:rFonts w:hint="eastAsia"/>
          <w:lang w:eastAsia="zh-CN"/>
        </w:rPr>
        <w:t>影响力</w:t>
      </w:r>
      <w:r w:rsidR="00103608" w:rsidRPr="00103608">
        <w:rPr>
          <w:rFonts w:hint="eastAsia"/>
          <w:lang w:eastAsia="zh-CN"/>
        </w:rPr>
        <w:t>的转型技术进行前瞻分析和思想领导来加强国际电联在数字未来中的作用。</w:t>
      </w:r>
    </w:p>
    <w:p w14:paraId="4EBF48A1" w14:textId="760FF3E1" w:rsidR="00297B7A" w:rsidRPr="00103608" w:rsidRDefault="00D840BE" w:rsidP="00D840BE">
      <w:pPr>
        <w:rPr>
          <w:lang w:eastAsia="zh-CN"/>
        </w:rPr>
      </w:pPr>
      <w:r>
        <w:rPr>
          <w:rFonts w:hint="eastAsia"/>
          <w:lang w:eastAsia="zh-CN"/>
        </w:rPr>
        <w:t>1</w:t>
      </w:r>
      <w:r>
        <w:rPr>
          <w:lang w:eastAsia="zh-CN"/>
        </w:rPr>
        <w:t>8</w:t>
      </w:r>
      <w:r>
        <w:rPr>
          <w:lang w:eastAsia="zh-CN"/>
        </w:rPr>
        <w:tab/>
      </w:r>
      <w:r w:rsidR="00103608" w:rsidRPr="00103608">
        <w:rPr>
          <w:rFonts w:hint="eastAsia"/>
          <w:lang w:eastAsia="zh-CN"/>
        </w:rPr>
        <w:t>更重要的是，</w:t>
      </w:r>
      <w:r w:rsidR="00DE3F31">
        <w:rPr>
          <w:rFonts w:hint="eastAsia"/>
          <w:lang w:eastAsia="zh-CN"/>
        </w:rPr>
        <w:t>“国际电联是一家”</w:t>
      </w:r>
      <w:r w:rsidR="00103608" w:rsidRPr="00103608">
        <w:rPr>
          <w:rFonts w:hint="eastAsia"/>
          <w:lang w:eastAsia="zh-CN"/>
        </w:rPr>
        <w:t>的方法必须应用于</w:t>
      </w:r>
      <w:r w:rsidR="00DE3F31">
        <w:rPr>
          <w:rFonts w:hint="eastAsia"/>
          <w:lang w:eastAsia="zh-CN"/>
        </w:rPr>
        <w:t>相关</w:t>
      </w:r>
      <w:r w:rsidR="00103608" w:rsidRPr="00103608">
        <w:rPr>
          <w:rFonts w:hint="eastAsia"/>
          <w:lang w:eastAsia="zh-CN"/>
        </w:rPr>
        <w:t>工作的</w:t>
      </w:r>
      <w:r w:rsidR="00DE3F31">
        <w:rPr>
          <w:rFonts w:hint="eastAsia"/>
          <w:lang w:eastAsia="zh-CN"/>
        </w:rPr>
        <w:t>方方面面</w:t>
      </w:r>
      <w:r w:rsidR="00103608" w:rsidRPr="00103608">
        <w:rPr>
          <w:rFonts w:hint="eastAsia"/>
          <w:lang w:eastAsia="zh-CN"/>
        </w:rPr>
        <w:t>。对于</w:t>
      </w:r>
      <w:r w:rsidR="00DE3F31">
        <w:rPr>
          <w:rFonts w:hint="eastAsia"/>
          <w:lang w:eastAsia="zh-CN"/>
        </w:rPr>
        <w:t>驻地办事机构的</w:t>
      </w:r>
      <w:r w:rsidR="00103608" w:rsidRPr="00103608">
        <w:rPr>
          <w:rFonts w:hint="eastAsia"/>
          <w:lang w:eastAsia="zh-CN"/>
        </w:rPr>
        <w:t>交付，应鼓励自愿流动，以</w:t>
      </w:r>
      <w:r w:rsidR="00DE3F31">
        <w:rPr>
          <w:rFonts w:hint="eastAsia"/>
          <w:lang w:eastAsia="zh-CN"/>
        </w:rPr>
        <w:t>增强他们</w:t>
      </w:r>
      <w:r w:rsidR="00103608" w:rsidRPr="00103608">
        <w:rPr>
          <w:rFonts w:hint="eastAsia"/>
          <w:lang w:eastAsia="zh-CN"/>
        </w:rPr>
        <w:t>的能力并确保知识传播。从长远来看，应重新制定招聘战略和政策，以便所有</w:t>
      </w:r>
      <w:r w:rsidR="00103608" w:rsidRPr="00103608">
        <w:rPr>
          <w:rFonts w:hint="eastAsia"/>
          <w:lang w:eastAsia="zh-CN"/>
        </w:rPr>
        <w:t>P</w:t>
      </w:r>
      <w:r w:rsidR="00103608" w:rsidRPr="00103608">
        <w:rPr>
          <w:rFonts w:hint="eastAsia"/>
          <w:lang w:eastAsia="zh-CN"/>
        </w:rPr>
        <w:t>级</w:t>
      </w:r>
      <w:r w:rsidR="00DE3F31">
        <w:rPr>
          <w:rFonts w:hint="eastAsia"/>
          <w:lang w:eastAsia="zh-CN"/>
        </w:rPr>
        <w:t>职员均可</w:t>
      </w:r>
      <w:r w:rsidR="00103608" w:rsidRPr="00103608">
        <w:rPr>
          <w:rFonts w:hint="eastAsia"/>
          <w:lang w:eastAsia="zh-CN"/>
        </w:rPr>
        <w:t>根据本组织的需要重新部署到国际电联的任何工作地点。</w:t>
      </w:r>
    </w:p>
    <w:p w14:paraId="1B5226FA" w14:textId="580E5BFF" w:rsidR="00297B7A" w:rsidRPr="00103608" w:rsidRDefault="00D840BE" w:rsidP="00D840BE">
      <w:pPr>
        <w:rPr>
          <w:lang w:eastAsia="zh-CN"/>
        </w:rPr>
      </w:pPr>
      <w:r>
        <w:rPr>
          <w:rFonts w:hint="eastAsia"/>
          <w:lang w:eastAsia="zh-CN"/>
        </w:rPr>
        <w:t>1</w:t>
      </w:r>
      <w:r>
        <w:rPr>
          <w:lang w:eastAsia="zh-CN"/>
        </w:rPr>
        <w:t>9</w:t>
      </w:r>
      <w:r>
        <w:rPr>
          <w:lang w:eastAsia="zh-CN"/>
        </w:rPr>
        <w:tab/>
      </w:r>
      <w:r w:rsidR="00103608" w:rsidRPr="00103608">
        <w:rPr>
          <w:rFonts w:hint="eastAsia"/>
          <w:lang w:eastAsia="zh-CN"/>
        </w:rPr>
        <w:t>愿景规划、管理层</w:t>
      </w:r>
      <w:r w:rsidR="00217A77">
        <w:rPr>
          <w:rFonts w:hint="eastAsia"/>
          <w:lang w:eastAsia="zh-CN"/>
        </w:rPr>
        <w:t>高管</w:t>
      </w:r>
      <w:r w:rsidR="00103608" w:rsidRPr="00103608">
        <w:rPr>
          <w:rFonts w:hint="eastAsia"/>
          <w:lang w:eastAsia="zh-CN"/>
        </w:rPr>
        <w:t>务虚会和磋商的所有这些结果都表明，</w:t>
      </w:r>
      <w:r w:rsidR="00103608" w:rsidRPr="00217A77">
        <w:rPr>
          <w:rFonts w:hint="eastAsia"/>
          <w:b/>
          <w:bCs/>
          <w:lang w:eastAsia="zh-CN"/>
        </w:rPr>
        <w:t>国际电联需要更好地应对</w:t>
      </w:r>
      <w:r w:rsidR="00217A77">
        <w:rPr>
          <w:rFonts w:hint="eastAsia"/>
          <w:b/>
          <w:bCs/>
          <w:lang w:eastAsia="zh-CN"/>
        </w:rPr>
        <w:t>当前</w:t>
      </w:r>
      <w:r w:rsidR="00103608" w:rsidRPr="00217A77">
        <w:rPr>
          <w:rFonts w:hint="eastAsia"/>
          <w:b/>
          <w:bCs/>
          <w:lang w:eastAsia="zh-CN"/>
        </w:rPr>
        <w:t>和未来的挑战</w:t>
      </w:r>
      <w:r w:rsidR="00103608" w:rsidRPr="00103608">
        <w:rPr>
          <w:rFonts w:hint="eastAsia"/>
          <w:lang w:eastAsia="zh-CN"/>
        </w:rPr>
        <w:t>。</w:t>
      </w:r>
    </w:p>
    <w:p w14:paraId="39ADFA2C" w14:textId="39EC24F2" w:rsidR="00297B7A" w:rsidRPr="00103608" w:rsidRDefault="00D840BE" w:rsidP="00D840BE">
      <w:pPr>
        <w:rPr>
          <w:lang w:eastAsia="zh-CN"/>
        </w:rPr>
      </w:pPr>
      <w:r>
        <w:rPr>
          <w:rFonts w:hint="eastAsia"/>
          <w:lang w:eastAsia="zh-CN"/>
        </w:rPr>
        <w:t>2</w:t>
      </w:r>
      <w:r>
        <w:rPr>
          <w:lang w:eastAsia="zh-CN"/>
        </w:rPr>
        <w:t>0</w:t>
      </w:r>
      <w:r>
        <w:rPr>
          <w:lang w:eastAsia="zh-CN"/>
        </w:rPr>
        <w:tab/>
      </w:r>
      <w:r w:rsidR="00103608" w:rsidRPr="00103608">
        <w:rPr>
          <w:rFonts w:hint="eastAsia"/>
          <w:lang w:eastAsia="zh-CN"/>
        </w:rPr>
        <w:t>国际电联需要</w:t>
      </w:r>
      <w:r w:rsidR="00217A77">
        <w:rPr>
          <w:rFonts w:hint="eastAsia"/>
          <w:lang w:eastAsia="zh-CN"/>
        </w:rPr>
        <w:t>保持领先</w:t>
      </w:r>
      <w:r w:rsidR="00103608" w:rsidRPr="00103608">
        <w:rPr>
          <w:rFonts w:hint="eastAsia"/>
          <w:lang w:eastAsia="zh-CN"/>
        </w:rPr>
        <w:t>地位。一切照旧不是前进的选择。该组织的</w:t>
      </w:r>
      <w:r w:rsidR="00217A77">
        <w:rPr>
          <w:rFonts w:hint="eastAsia"/>
          <w:lang w:eastAsia="zh-CN"/>
        </w:rPr>
        <w:t>思维</w:t>
      </w:r>
      <w:r w:rsidR="00103608" w:rsidRPr="00103608">
        <w:rPr>
          <w:rFonts w:hint="eastAsia"/>
          <w:lang w:eastAsia="zh-CN"/>
        </w:rPr>
        <w:t>、</w:t>
      </w:r>
      <w:r w:rsidR="00217A77">
        <w:rPr>
          <w:rFonts w:hint="eastAsia"/>
          <w:lang w:eastAsia="zh-CN"/>
        </w:rPr>
        <w:t>规划</w:t>
      </w:r>
      <w:r w:rsidR="00103608" w:rsidRPr="00103608">
        <w:rPr>
          <w:rFonts w:hint="eastAsia"/>
          <w:lang w:eastAsia="zh-CN"/>
        </w:rPr>
        <w:t>、执行和领导方式需要进行范式转变，才能成为引领世界进入数字未来的国际电联。</w:t>
      </w:r>
    </w:p>
    <w:p w14:paraId="62632A0C" w14:textId="0EF3D354" w:rsidR="00297B7A" w:rsidRPr="00103608" w:rsidRDefault="00D840BE" w:rsidP="00D840BE">
      <w:pPr>
        <w:rPr>
          <w:lang w:eastAsia="zh-CN"/>
        </w:rPr>
      </w:pPr>
      <w:r w:rsidRPr="00D840BE">
        <w:rPr>
          <w:rFonts w:cs="Calibri"/>
          <w:lang w:eastAsia="zh-CN"/>
        </w:rPr>
        <w:t>21</w:t>
      </w:r>
      <w:r>
        <w:rPr>
          <w:rFonts w:ascii="SimSun" w:hAnsi="SimSun" w:cs="SimSun"/>
          <w:lang w:eastAsia="zh-CN"/>
        </w:rPr>
        <w:tab/>
      </w:r>
      <w:r w:rsidR="00217A77">
        <w:rPr>
          <w:rFonts w:ascii="SimSun" w:hAnsi="SimSun" w:cs="SimSun" w:hint="eastAsia"/>
          <w:lang w:eastAsia="zh-CN"/>
        </w:rPr>
        <w:t>制定了</w:t>
      </w:r>
      <w:r w:rsidR="00103608" w:rsidRPr="00103608">
        <w:rPr>
          <w:rFonts w:hint="eastAsia"/>
          <w:lang w:eastAsia="zh-CN"/>
        </w:rPr>
        <w:t>一项以愿景</w:t>
      </w:r>
      <w:r w:rsidR="00217A77">
        <w:rPr>
          <w:rFonts w:hint="eastAsia"/>
          <w:lang w:eastAsia="zh-CN"/>
        </w:rPr>
        <w:t>规划</w:t>
      </w:r>
      <w:r w:rsidR="00103608" w:rsidRPr="00103608">
        <w:rPr>
          <w:rFonts w:hint="eastAsia"/>
          <w:lang w:eastAsia="zh-CN"/>
        </w:rPr>
        <w:t>的三大支柱为基础，并与</w:t>
      </w:r>
      <w:r w:rsidR="00103608" w:rsidRPr="00103608">
        <w:rPr>
          <w:rFonts w:hint="eastAsia"/>
          <w:lang w:eastAsia="zh-CN"/>
        </w:rPr>
        <w:t>2024-2027</w:t>
      </w:r>
      <w:r w:rsidR="00103608" w:rsidRPr="00103608">
        <w:rPr>
          <w:rFonts w:hint="eastAsia"/>
          <w:lang w:eastAsia="zh-CN"/>
        </w:rPr>
        <w:t>年</w:t>
      </w:r>
      <w:r w:rsidR="00217A77">
        <w:rPr>
          <w:rFonts w:hint="eastAsia"/>
          <w:lang w:eastAsia="zh-CN"/>
        </w:rPr>
        <w:t>《</w:t>
      </w:r>
      <w:r w:rsidR="00103608" w:rsidRPr="00103608">
        <w:rPr>
          <w:rFonts w:hint="eastAsia"/>
          <w:lang w:eastAsia="zh-CN"/>
        </w:rPr>
        <w:t>战略</w:t>
      </w:r>
      <w:r w:rsidR="00217A77">
        <w:rPr>
          <w:rFonts w:hint="eastAsia"/>
          <w:lang w:eastAsia="zh-CN"/>
        </w:rPr>
        <w:t>规划》</w:t>
      </w:r>
      <w:r w:rsidR="00103608" w:rsidRPr="00103608">
        <w:rPr>
          <w:rFonts w:hint="eastAsia"/>
          <w:lang w:eastAsia="zh-CN"/>
        </w:rPr>
        <w:t>和</w:t>
      </w:r>
      <w:r w:rsidR="00103608" w:rsidRPr="00103608">
        <w:rPr>
          <w:rFonts w:hint="eastAsia"/>
          <w:lang w:eastAsia="zh-CN"/>
        </w:rPr>
        <w:t>PP-22</w:t>
      </w:r>
      <w:r w:rsidR="00103608" w:rsidRPr="00103608">
        <w:rPr>
          <w:rFonts w:hint="eastAsia"/>
          <w:lang w:eastAsia="zh-CN"/>
        </w:rPr>
        <w:t>的指导保持一致</w:t>
      </w:r>
      <w:r w:rsidR="00217A77">
        <w:rPr>
          <w:rFonts w:hint="eastAsia"/>
          <w:lang w:eastAsia="zh-CN"/>
        </w:rPr>
        <w:t>的</w:t>
      </w:r>
      <w:r w:rsidR="00217A77" w:rsidRPr="00103608">
        <w:rPr>
          <w:rFonts w:hint="eastAsia"/>
          <w:lang w:eastAsia="zh-CN"/>
        </w:rPr>
        <w:t>计划</w:t>
      </w:r>
      <w:r w:rsidR="00103608" w:rsidRPr="00103608">
        <w:rPr>
          <w:rFonts w:hint="eastAsia"/>
          <w:lang w:eastAsia="zh-CN"/>
        </w:rPr>
        <w:t>。</w:t>
      </w:r>
    </w:p>
    <w:p w14:paraId="1150F3D1" w14:textId="70B3DB1A" w:rsidR="00297B7A" w:rsidRPr="00D04E3F" w:rsidRDefault="00D840BE" w:rsidP="00D840BE">
      <w:pPr>
        <w:rPr>
          <w:lang w:eastAsia="zh-CN"/>
        </w:rPr>
      </w:pPr>
      <w:r w:rsidRPr="00D840BE">
        <w:rPr>
          <w:rFonts w:cs="Calibri"/>
          <w:lang w:eastAsia="zh-CN"/>
        </w:rPr>
        <w:t>22</w:t>
      </w:r>
      <w:r>
        <w:rPr>
          <w:rFonts w:ascii="SimSun" w:hAnsi="SimSun" w:cs="SimSun"/>
          <w:lang w:eastAsia="zh-CN"/>
        </w:rPr>
        <w:tab/>
      </w:r>
      <w:r w:rsidR="00AC2098">
        <w:rPr>
          <w:rFonts w:ascii="SimSun" w:hAnsi="SimSun" w:cs="SimSun" w:hint="eastAsia"/>
          <w:lang w:eastAsia="zh-CN"/>
        </w:rPr>
        <w:t>该项工作按</w:t>
      </w:r>
      <w:r w:rsidR="00103608" w:rsidRPr="00103608">
        <w:rPr>
          <w:rFonts w:hint="eastAsia"/>
          <w:lang w:eastAsia="zh-CN"/>
        </w:rPr>
        <w:t>短期和中期（</w:t>
      </w:r>
      <w:r w:rsidR="00103608" w:rsidRPr="00103608">
        <w:rPr>
          <w:rFonts w:hint="eastAsia"/>
          <w:lang w:eastAsia="zh-CN"/>
        </w:rPr>
        <w:t xml:space="preserve">2023-2024 </w:t>
      </w:r>
      <w:r w:rsidR="00103608" w:rsidRPr="00103608">
        <w:rPr>
          <w:rFonts w:hint="eastAsia"/>
          <w:lang w:eastAsia="zh-CN"/>
        </w:rPr>
        <w:t>年）分为内部和外部</w:t>
      </w:r>
      <w:r w:rsidR="00AC2098">
        <w:rPr>
          <w:rFonts w:hint="eastAsia"/>
          <w:lang w:eastAsia="zh-CN"/>
        </w:rPr>
        <w:t>两类</w:t>
      </w:r>
      <w:r w:rsidR="00103608" w:rsidRPr="00103608">
        <w:rPr>
          <w:rFonts w:hint="eastAsia"/>
          <w:lang w:eastAsia="zh-CN"/>
        </w:rPr>
        <w:t>。</w:t>
      </w:r>
    </w:p>
    <w:p w14:paraId="69A64A27" w14:textId="3A352A2E" w:rsidR="00297B7A" w:rsidRPr="00D04E3F" w:rsidRDefault="00AC2098" w:rsidP="00D840BE">
      <w:pPr>
        <w:pStyle w:val="Headingb"/>
        <w:rPr>
          <w:lang w:eastAsia="zh-CN"/>
        </w:rPr>
      </w:pPr>
      <w:bookmarkStart w:id="16" w:name="lt_pId070"/>
      <w:r>
        <w:rPr>
          <w:rFonts w:hint="eastAsia"/>
          <w:lang w:eastAsia="zh-CN"/>
        </w:rPr>
        <w:t>下一步工作</w:t>
      </w:r>
      <w:bookmarkEnd w:id="16"/>
    </w:p>
    <w:p w14:paraId="2B77A0F9" w14:textId="12C480AB" w:rsidR="00297B7A" w:rsidRPr="00D04E3F" w:rsidRDefault="00D840BE" w:rsidP="00D840BE">
      <w:pPr>
        <w:rPr>
          <w:lang w:eastAsia="zh-CN"/>
        </w:rPr>
      </w:pPr>
      <w:r w:rsidRPr="00D840BE">
        <w:rPr>
          <w:lang w:eastAsia="zh-CN"/>
        </w:rPr>
        <w:t>23</w:t>
      </w:r>
      <w:r w:rsidRPr="00D840BE">
        <w:rPr>
          <w:lang w:eastAsia="zh-CN"/>
        </w:rPr>
        <w:tab/>
      </w:r>
      <w:r w:rsidR="00103608" w:rsidRPr="00AC2098">
        <w:rPr>
          <w:rStyle w:val="normaltextrun"/>
          <w:rFonts w:cs="Calibri" w:hint="eastAsia"/>
          <w:b/>
          <w:bCs/>
          <w:szCs w:val="24"/>
          <w:lang w:eastAsia="zh-CN"/>
        </w:rPr>
        <w:t>内部</w:t>
      </w:r>
      <w:r w:rsidR="00AC2098" w:rsidRPr="00AC2098">
        <w:rPr>
          <w:rStyle w:val="normaltextrun"/>
          <w:rFonts w:cs="Calibri" w:hint="eastAsia"/>
          <w:b/>
          <w:bCs/>
          <w:szCs w:val="24"/>
          <w:lang w:eastAsia="zh-CN"/>
        </w:rPr>
        <w:t>工作</w:t>
      </w:r>
      <w:r w:rsidR="00103608" w:rsidRPr="001637D8">
        <w:rPr>
          <w:rStyle w:val="normaltextrun"/>
          <w:rFonts w:cs="Calibri" w:hint="eastAsia"/>
          <w:szCs w:val="24"/>
          <w:lang w:eastAsia="zh-CN"/>
        </w:rPr>
        <w:t>将侧重于第三个支柱，即</w:t>
      </w:r>
      <w:r w:rsidR="00AC2098" w:rsidRPr="001637D8">
        <w:rPr>
          <w:rStyle w:val="normaltextrun"/>
          <w:rFonts w:cs="Calibri" w:hint="eastAsia"/>
          <w:szCs w:val="24"/>
          <w:lang w:eastAsia="zh-CN"/>
        </w:rPr>
        <w:t>卓越</w:t>
      </w:r>
      <w:r w:rsidR="00103608" w:rsidRPr="001637D8">
        <w:rPr>
          <w:rStyle w:val="normaltextrun"/>
          <w:rFonts w:cs="Calibri" w:hint="eastAsia"/>
          <w:szCs w:val="24"/>
          <w:lang w:eastAsia="zh-CN"/>
        </w:rPr>
        <w:t>组织</w:t>
      </w:r>
      <w:r w:rsidR="00AC2098">
        <w:rPr>
          <w:rStyle w:val="normaltextrun"/>
          <w:rFonts w:cs="Calibri" w:hint="eastAsia"/>
          <w:szCs w:val="24"/>
          <w:lang w:eastAsia="zh-CN"/>
        </w:rPr>
        <w:t>能力</w:t>
      </w:r>
      <w:r w:rsidR="00103608" w:rsidRPr="001637D8">
        <w:rPr>
          <w:rStyle w:val="normaltextrun"/>
          <w:rFonts w:cs="Calibri" w:hint="eastAsia"/>
          <w:szCs w:val="24"/>
          <w:lang w:eastAsia="zh-CN"/>
        </w:rPr>
        <w:t>。向国际电联理事会提交的内部转型变革案例概述了实现卓越</w:t>
      </w:r>
      <w:r w:rsidR="00AC2098" w:rsidRPr="001637D8">
        <w:rPr>
          <w:rStyle w:val="normaltextrun"/>
          <w:rFonts w:cs="Calibri" w:hint="eastAsia"/>
          <w:szCs w:val="24"/>
          <w:lang w:eastAsia="zh-CN"/>
        </w:rPr>
        <w:t>组织</w:t>
      </w:r>
      <w:r w:rsidR="00AC2098">
        <w:rPr>
          <w:rStyle w:val="normaltextrun"/>
          <w:rFonts w:cs="Calibri" w:hint="eastAsia"/>
          <w:szCs w:val="24"/>
          <w:lang w:eastAsia="zh-CN"/>
        </w:rPr>
        <w:t>能力</w:t>
      </w:r>
      <w:r w:rsidR="00103608" w:rsidRPr="001637D8">
        <w:rPr>
          <w:rStyle w:val="normaltextrun"/>
          <w:rFonts w:cs="Calibri" w:hint="eastAsia"/>
          <w:szCs w:val="24"/>
          <w:lang w:eastAsia="zh-CN"/>
        </w:rPr>
        <w:t>的转型路线图（</w:t>
      </w:r>
      <w:hyperlink r:id="rId12" w:history="1">
        <w:r w:rsidR="00AC2098" w:rsidRPr="00D04E3F">
          <w:rPr>
            <w:rStyle w:val="Hyperlink"/>
            <w:lang w:eastAsia="zh-CN"/>
          </w:rPr>
          <w:t>C23/52</w:t>
        </w:r>
      </w:hyperlink>
      <w:r w:rsidR="00AC2098">
        <w:rPr>
          <w:rStyle w:val="normaltextrun"/>
          <w:rFonts w:cs="Calibri" w:hint="eastAsia"/>
          <w:szCs w:val="24"/>
          <w:lang w:eastAsia="zh-CN"/>
        </w:rPr>
        <w:t>号文件</w:t>
      </w:r>
      <w:r w:rsidR="00103608" w:rsidRPr="001637D8">
        <w:rPr>
          <w:rStyle w:val="normaltextrun"/>
          <w:rFonts w:cs="Calibri" w:hint="eastAsia"/>
          <w:szCs w:val="24"/>
          <w:lang w:eastAsia="zh-CN"/>
        </w:rPr>
        <w:t>），并将优先考虑：</w:t>
      </w:r>
    </w:p>
    <w:p w14:paraId="27672C07" w14:textId="083ECE1E" w:rsidR="00297B7A" w:rsidRPr="00D04E3F" w:rsidRDefault="00D840BE" w:rsidP="00D840BE">
      <w:pPr>
        <w:pStyle w:val="enumlev1"/>
        <w:rPr>
          <w:lang w:eastAsia="zh-CN"/>
        </w:rPr>
      </w:pPr>
      <w:r w:rsidRPr="00D840BE">
        <w:rPr>
          <w:lang w:eastAsia="zh-CN"/>
        </w:rPr>
        <w:t>•</w:t>
      </w:r>
      <w:r>
        <w:rPr>
          <w:lang w:eastAsia="zh-CN"/>
        </w:rPr>
        <w:tab/>
      </w:r>
      <w:r w:rsidR="00103608" w:rsidRPr="00D1016B">
        <w:rPr>
          <w:rStyle w:val="normaltextrun"/>
          <w:rFonts w:cs="Calibri" w:hint="eastAsia"/>
          <w:szCs w:val="24"/>
          <w:lang w:eastAsia="zh-CN"/>
        </w:rPr>
        <w:t>人与文化</w:t>
      </w:r>
      <w:r w:rsidR="003D308D">
        <w:rPr>
          <w:rStyle w:val="normaltextrun"/>
          <w:rFonts w:cs="Calibri" w:hint="eastAsia"/>
          <w:szCs w:val="24"/>
          <w:lang w:eastAsia="zh-CN"/>
        </w:rPr>
        <w:t>；</w:t>
      </w:r>
    </w:p>
    <w:p w14:paraId="3C10CB88" w14:textId="55B52C63" w:rsidR="00297B7A" w:rsidRPr="001637D8" w:rsidRDefault="00D840BE" w:rsidP="00D840BE">
      <w:pPr>
        <w:pStyle w:val="enumlev1"/>
        <w:rPr>
          <w:rStyle w:val="normaltextrun"/>
          <w:rFonts w:cs="Calibri"/>
          <w:szCs w:val="24"/>
          <w:lang w:eastAsia="zh-CN"/>
        </w:rPr>
      </w:pPr>
      <w:r w:rsidRPr="00D840BE">
        <w:rPr>
          <w:lang w:eastAsia="zh-CN"/>
        </w:rPr>
        <w:lastRenderedPageBreak/>
        <w:t>•</w:t>
      </w:r>
      <w:r>
        <w:rPr>
          <w:lang w:eastAsia="zh-CN"/>
        </w:rPr>
        <w:tab/>
      </w:r>
      <w:r w:rsidR="00103608" w:rsidRPr="001637D8">
        <w:rPr>
          <w:rStyle w:val="normaltextrun"/>
          <w:rFonts w:cs="Calibri" w:hint="eastAsia"/>
          <w:szCs w:val="24"/>
          <w:lang w:eastAsia="zh-CN"/>
        </w:rPr>
        <w:t>财务管理和规划；</w:t>
      </w:r>
    </w:p>
    <w:p w14:paraId="6B5CE2B7" w14:textId="78952ED5" w:rsidR="00297B7A" w:rsidRPr="001637D8" w:rsidRDefault="00D840BE" w:rsidP="00D840BE">
      <w:pPr>
        <w:pStyle w:val="enumlev1"/>
        <w:rPr>
          <w:rStyle w:val="normaltextrun"/>
          <w:rFonts w:cs="Calibri"/>
          <w:szCs w:val="24"/>
          <w:lang w:eastAsia="zh-CN"/>
        </w:rPr>
      </w:pPr>
      <w:r w:rsidRPr="00D840BE">
        <w:rPr>
          <w:lang w:eastAsia="zh-CN"/>
        </w:rPr>
        <w:t>•</w:t>
      </w:r>
      <w:r>
        <w:rPr>
          <w:lang w:eastAsia="zh-CN"/>
        </w:rPr>
        <w:tab/>
      </w:r>
      <w:r w:rsidR="00103608" w:rsidRPr="001637D8">
        <w:rPr>
          <w:rStyle w:val="normaltextrun"/>
          <w:rFonts w:cs="Calibri" w:hint="eastAsia"/>
          <w:szCs w:val="24"/>
          <w:lang w:eastAsia="zh-CN"/>
        </w:rPr>
        <w:t>系统、流程和工具；</w:t>
      </w:r>
      <w:r w:rsidR="003D308D">
        <w:rPr>
          <w:rStyle w:val="normaltextrun"/>
          <w:rFonts w:cs="Calibri" w:hint="eastAsia"/>
          <w:szCs w:val="24"/>
          <w:lang w:eastAsia="zh-CN"/>
        </w:rPr>
        <w:t>以及</w:t>
      </w:r>
    </w:p>
    <w:p w14:paraId="65727D2A" w14:textId="0E32A40F" w:rsidR="00297B7A" w:rsidRPr="00880CB0" w:rsidRDefault="00D840BE" w:rsidP="00D840BE">
      <w:pPr>
        <w:pStyle w:val="enumlev1"/>
        <w:rPr>
          <w:lang w:eastAsia="zh-CN"/>
        </w:rPr>
      </w:pPr>
      <w:r w:rsidRPr="00D840BE">
        <w:rPr>
          <w:lang w:eastAsia="zh-CN"/>
        </w:rPr>
        <w:t>•</w:t>
      </w:r>
      <w:r>
        <w:rPr>
          <w:lang w:eastAsia="zh-CN"/>
        </w:rPr>
        <w:tab/>
      </w:r>
      <w:r w:rsidR="00103608" w:rsidRPr="001637D8">
        <w:rPr>
          <w:rStyle w:val="normaltextrun"/>
          <w:rFonts w:cs="Calibri" w:hint="eastAsia"/>
          <w:szCs w:val="24"/>
          <w:lang w:eastAsia="zh-CN"/>
        </w:rPr>
        <w:t>监督、内部控制和治理。</w:t>
      </w:r>
    </w:p>
    <w:p w14:paraId="7438A9AB" w14:textId="1739EC85" w:rsidR="00297B7A" w:rsidRPr="00880CB0" w:rsidRDefault="00D840BE" w:rsidP="00D840BE">
      <w:pPr>
        <w:rPr>
          <w:lang w:eastAsia="zh-CN"/>
        </w:rPr>
      </w:pPr>
      <w:r>
        <w:rPr>
          <w:rStyle w:val="normaltextrun"/>
          <w:rFonts w:cs="Calibri" w:hint="eastAsia"/>
          <w:szCs w:val="24"/>
          <w:lang w:eastAsia="zh-CN"/>
        </w:rPr>
        <w:t>2</w:t>
      </w:r>
      <w:r>
        <w:rPr>
          <w:rStyle w:val="normaltextrun"/>
          <w:rFonts w:cs="Calibri"/>
          <w:szCs w:val="24"/>
          <w:lang w:eastAsia="zh-CN"/>
        </w:rPr>
        <w:t>4</w:t>
      </w:r>
      <w:r>
        <w:rPr>
          <w:rStyle w:val="normaltextrun"/>
          <w:rFonts w:cs="Calibri"/>
          <w:szCs w:val="24"/>
          <w:lang w:eastAsia="zh-CN"/>
        </w:rPr>
        <w:tab/>
      </w:r>
      <w:r w:rsidR="00103608" w:rsidRPr="001637D8">
        <w:rPr>
          <w:rStyle w:val="normaltextrun"/>
          <w:rFonts w:cs="Calibri" w:hint="eastAsia"/>
          <w:szCs w:val="24"/>
          <w:lang w:eastAsia="zh-CN"/>
        </w:rPr>
        <w:t>随着学习实验室（</w:t>
      </w:r>
      <w:r w:rsidR="00274E93">
        <w:rPr>
          <w:rStyle w:val="normaltextrun"/>
          <w:rFonts w:cs="Calibri" w:hint="eastAsia"/>
          <w:szCs w:val="24"/>
          <w:lang w:eastAsia="zh-CN"/>
        </w:rPr>
        <w:t>针对职员</w:t>
      </w:r>
      <w:r w:rsidR="00103608" w:rsidRPr="001637D8">
        <w:rPr>
          <w:rStyle w:val="normaltextrun"/>
          <w:rFonts w:cs="Calibri" w:hint="eastAsia"/>
          <w:szCs w:val="24"/>
          <w:lang w:eastAsia="zh-CN"/>
        </w:rPr>
        <w:t>的体验式培训和继续教育）和变革者计划（使用愿景</w:t>
      </w:r>
      <w:r w:rsidR="00274E93">
        <w:rPr>
          <w:rStyle w:val="normaltextrun"/>
          <w:rFonts w:cs="Calibri" w:hint="eastAsia"/>
          <w:szCs w:val="24"/>
          <w:lang w:eastAsia="zh-CN"/>
        </w:rPr>
        <w:t>规划</w:t>
      </w:r>
      <w:r w:rsidR="00103608" w:rsidRPr="001637D8">
        <w:rPr>
          <w:rStyle w:val="normaltextrun"/>
          <w:rFonts w:cs="Calibri" w:hint="eastAsia"/>
          <w:szCs w:val="24"/>
          <w:lang w:eastAsia="zh-CN"/>
        </w:rPr>
        <w:t>的结果作为案例研究）的引入，也开始更加注重</w:t>
      </w:r>
      <w:r w:rsidR="00274E93">
        <w:rPr>
          <w:rStyle w:val="normaltextrun"/>
          <w:rFonts w:cs="Calibri" w:hint="eastAsia"/>
          <w:szCs w:val="24"/>
          <w:lang w:eastAsia="zh-CN"/>
        </w:rPr>
        <w:t>职员</w:t>
      </w:r>
      <w:r w:rsidR="00103608" w:rsidRPr="001637D8">
        <w:rPr>
          <w:rStyle w:val="normaltextrun"/>
          <w:rFonts w:cs="Calibri" w:hint="eastAsia"/>
          <w:szCs w:val="24"/>
          <w:lang w:eastAsia="zh-CN"/>
        </w:rPr>
        <w:t>的交付能力。</w:t>
      </w:r>
    </w:p>
    <w:p w14:paraId="3CD1F72A" w14:textId="5CE39D0E" w:rsidR="00297B7A" w:rsidRPr="00880CB0" w:rsidRDefault="00D840BE" w:rsidP="00D840BE">
      <w:pPr>
        <w:rPr>
          <w:lang w:eastAsia="zh-CN"/>
        </w:rPr>
      </w:pPr>
      <w:r>
        <w:rPr>
          <w:rStyle w:val="normaltextrun"/>
          <w:rFonts w:cs="Calibri" w:hint="eastAsia"/>
          <w:szCs w:val="24"/>
          <w:lang w:eastAsia="zh-CN"/>
        </w:rPr>
        <w:t>2</w:t>
      </w:r>
      <w:r>
        <w:rPr>
          <w:rStyle w:val="normaltextrun"/>
          <w:rFonts w:cs="Calibri"/>
          <w:szCs w:val="24"/>
          <w:lang w:eastAsia="zh-CN"/>
        </w:rPr>
        <w:t>5</w:t>
      </w:r>
      <w:r>
        <w:rPr>
          <w:rStyle w:val="normaltextrun"/>
          <w:rFonts w:cs="Calibri"/>
          <w:szCs w:val="24"/>
          <w:lang w:eastAsia="zh-CN"/>
        </w:rPr>
        <w:tab/>
      </w:r>
      <w:r w:rsidR="00103608" w:rsidRPr="001637D8">
        <w:rPr>
          <w:rStyle w:val="normaltextrun"/>
          <w:rFonts w:cs="Calibri" w:hint="eastAsia"/>
          <w:szCs w:val="24"/>
          <w:lang w:eastAsia="zh-CN"/>
        </w:rPr>
        <w:t>到这一</w:t>
      </w:r>
      <w:r w:rsidR="00D2393D">
        <w:rPr>
          <w:rStyle w:val="normaltextrun"/>
          <w:rFonts w:cs="Calibri" w:hint="eastAsia"/>
          <w:szCs w:val="24"/>
          <w:lang w:eastAsia="zh-CN"/>
        </w:rPr>
        <w:t>进程</w:t>
      </w:r>
      <w:r w:rsidR="00103608" w:rsidRPr="001637D8">
        <w:rPr>
          <w:rStyle w:val="normaltextrun"/>
          <w:rFonts w:cs="Calibri" w:hint="eastAsia"/>
          <w:szCs w:val="24"/>
          <w:lang w:eastAsia="zh-CN"/>
        </w:rPr>
        <w:t>结束时，</w:t>
      </w:r>
      <w:r w:rsidR="00103608" w:rsidRPr="001637D8">
        <w:rPr>
          <w:rStyle w:val="normaltextrun"/>
          <w:rFonts w:cs="Calibri" w:hint="eastAsia"/>
          <w:szCs w:val="24"/>
          <w:lang w:eastAsia="zh-CN"/>
        </w:rPr>
        <w:t>2027</w:t>
      </w:r>
      <w:r w:rsidR="00103608" w:rsidRPr="001637D8">
        <w:rPr>
          <w:rStyle w:val="normaltextrun"/>
          <w:rFonts w:cs="Calibri" w:hint="eastAsia"/>
          <w:szCs w:val="24"/>
          <w:lang w:eastAsia="zh-CN"/>
        </w:rPr>
        <w:t>年的国际电联应</w:t>
      </w:r>
      <w:r w:rsidR="00D2393D">
        <w:rPr>
          <w:rStyle w:val="normaltextrun"/>
          <w:rFonts w:cs="Calibri" w:hint="eastAsia"/>
          <w:szCs w:val="24"/>
          <w:lang w:eastAsia="zh-CN"/>
        </w:rPr>
        <w:t>能</w:t>
      </w:r>
      <w:r w:rsidR="00103608" w:rsidRPr="001637D8">
        <w:rPr>
          <w:rStyle w:val="normaltextrun"/>
          <w:rFonts w:cs="Calibri" w:hint="eastAsia"/>
          <w:szCs w:val="24"/>
          <w:lang w:eastAsia="zh-CN"/>
        </w:rPr>
        <w:t>以更</w:t>
      </w:r>
      <w:r w:rsidR="00D2393D">
        <w:rPr>
          <w:rStyle w:val="normaltextrun"/>
          <w:rFonts w:cs="Calibri" w:hint="eastAsia"/>
          <w:szCs w:val="24"/>
          <w:lang w:eastAsia="zh-CN"/>
        </w:rPr>
        <w:t>优</w:t>
      </w:r>
      <w:r w:rsidR="00103608" w:rsidRPr="001637D8">
        <w:rPr>
          <w:rStyle w:val="normaltextrun"/>
          <w:rFonts w:cs="Calibri" w:hint="eastAsia"/>
          <w:szCs w:val="24"/>
          <w:lang w:eastAsia="zh-CN"/>
        </w:rPr>
        <w:t>的方式开展工作，以便</w:t>
      </w:r>
      <w:r w:rsidR="00D2393D">
        <w:rPr>
          <w:rStyle w:val="normaltextrun"/>
          <w:rFonts w:cs="Calibri" w:hint="eastAsia"/>
          <w:szCs w:val="24"/>
          <w:lang w:eastAsia="zh-CN"/>
        </w:rPr>
        <w:t>准确定位</w:t>
      </w:r>
      <w:r w:rsidR="00103608" w:rsidRPr="001637D8">
        <w:rPr>
          <w:rStyle w:val="normaltextrun"/>
          <w:rFonts w:cs="Calibri" w:hint="eastAsia"/>
          <w:szCs w:val="24"/>
          <w:lang w:eastAsia="zh-CN"/>
        </w:rPr>
        <w:t>，在前两个支柱</w:t>
      </w:r>
      <w:r w:rsidR="00D2393D">
        <w:rPr>
          <w:rStyle w:val="normaltextrun"/>
          <w:rFonts w:cs="Calibri" w:hint="eastAsia"/>
          <w:szCs w:val="24"/>
          <w:lang w:eastAsia="zh-CN"/>
        </w:rPr>
        <w:t>方面</w:t>
      </w:r>
      <w:r w:rsidR="00103608" w:rsidRPr="001637D8">
        <w:rPr>
          <w:rStyle w:val="normaltextrun"/>
          <w:rFonts w:cs="Calibri" w:hint="eastAsia"/>
          <w:szCs w:val="24"/>
          <w:lang w:eastAsia="zh-CN"/>
        </w:rPr>
        <w:t>实现更高的价值。内部所做的一切都是为了作为</w:t>
      </w:r>
      <w:r w:rsidR="00103608" w:rsidRPr="001637D8">
        <w:rPr>
          <w:rStyle w:val="normaltextrun"/>
          <w:rFonts w:hint="eastAsia"/>
          <w:szCs w:val="24"/>
          <w:lang w:eastAsia="zh-CN"/>
        </w:rPr>
        <w:t>“</w:t>
      </w:r>
      <w:r w:rsidR="00D2393D">
        <w:rPr>
          <w:rFonts w:asciiTheme="minorHAnsi" w:hAnsiTheme="minorHAnsi" w:cstheme="minorHAnsi" w:hint="eastAsia"/>
          <w:lang w:eastAsia="zh-CN"/>
        </w:rPr>
        <w:t>国际电联是一家</w:t>
      </w:r>
      <w:r w:rsidR="00103608" w:rsidRPr="001637D8">
        <w:rPr>
          <w:rStyle w:val="normaltextrun"/>
          <w:rFonts w:hint="eastAsia"/>
          <w:szCs w:val="24"/>
          <w:lang w:eastAsia="zh-CN"/>
        </w:rPr>
        <w:t>”</w:t>
      </w:r>
      <w:r w:rsidR="00103608" w:rsidRPr="001637D8">
        <w:rPr>
          <w:rStyle w:val="normaltextrun"/>
          <w:rFonts w:cs="Calibri" w:hint="eastAsia"/>
          <w:szCs w:val="24"/>
          <w:lang w:eastAsia="zh-CN"/>
        </w:rPr>
        <w:t>向成员和合作伙伴提供思想领导力和更好的价值。</w:t>
      </w:r>
    </w:p>
    <w:p w14:paraId="5E03CB6A" w14:textId="7A063E3D" w:rsidR="00297B7A" w:rsidRPr="00880CB0" w:rsidRDefault="00D840BE" w:rsidP="00D840BE">
      <w:pPr>
        <w:rPr>
          <w:lang w:eastAsia="zh-CN"/>
        </w:rPr>
      </w:pPr>
      <w:r w:rsidRPr="00D840BE">
        <w:rPr>
          <w:rStyle w:val="normaltextrun"/>
          <w:rFonts w:cs="Calibri" w:hint="eastAsia"/>
          <w:szCs w:val="24"/>
          <w:lang w:eastAsia="zh-CN"/>
        </w:rPr>
        <w:t>2</w:t>
      </w:r>
      <w:r w:rsidRPr="00D840BE">
        <w:rPr>
          <w:rStyle w:val="normaltextrun"/>
          <w:rFonts w:cs="Calibri"/>
          <w:szCs w:val="24"/>
          <w:lang w:eastAsia="zh-CN"/>
        </w:rPr>
        <w:t>6</w:t>
      </w:r>
      <w:r>
        <w:rPr>
          <w:rStyle w:val="normaltextrun"/>
          <w:rFonts w:cs="Calibri"/>
          <w:b/>
          <w:bCs/>
          <w:szCs w:val="24"/>
          <w:lang w:eastAsia="zh-CN"/>
        </w:rPr>
        <w:tab/>
      </w:r>
      <w:r w:rsidR="00103608" w:rsidRPr="00D2393D">
        <w:rPr>
          <w:rStyle w:val="normaltextrun"/>
          <w:rFonts w:cs="Calibri" w:hint="eastAsia"/>
          <w:b/>
          <w:bCs/>
          <w:szCs w:val="24"/>
          <w:lang w:eastAsia="zh-CN"/>
        </w:rPr>
        <w:t>外部</w:t>
      </w:r>
      <w:r w:rsidR="00D2393D" w:rsidRPr="00D2393D">
        <w:rPr>
          <w:rStyle w:val="normaltextrun"/>
          <w:rFonts w:cs="Calibri" w:hint="eastAsia"/>
          <w:b/>
          <w:bCs/>
          <w:szCs w:val="24"/>
          <w:lang w:eastAsia="zh-CN"/>
        </w:rPr>
        <w:t>工作</w:t>
      </w:r>
      <w:r w:rsidR="00103608" w:rsidRPr="001637D8">
        <w:rPr>
          <w:rStyle w:val="normaltextrun"/>
          <w:rFonts w:cs="Calibri" w:hint="eastAsia"/>
          <w:szCs w:val="24"/>
          <w:lang w:eastAsia="zh-CN"/>
        </w:rPr>
        <w:t>侧重于前两个支柱：思想领导</w:t>
      </w:r>
      <w:r w:rsidR="00D2393D">
        <w:rPr>
          <w:rStyle w:val="normaltextrun"/>
          <w:rFonts w:cs="Calibri" w:hint="eastAsia"/>
          <w:szCs w:val="24"/>
          <w:lang w:eastAsia="zh-CN"/>
        </w:rPr>
        <w:t>力</w:t>
      </w:r>
      <w:r w:rsidR="00103608" w:rsidRPr="001637D8">
        <w:rPr>
          <w:rStyle w:val="normaltextrun"/>
          <w:rFonts w:cs="Calibri" w:hint="eastAsia"/>
          <w:szCs w:val="24"/>
          <w:lang w:eastAsia="zh-CN"/>
        </w:rPr>
        <w:t>、战略伙伴关系和成员参与。</w:t>
      </w:r>
    </w:p>
    <w:p w14:paraId="529F9472" w14:textId="36D9BA98" w:rsidR="00297B7A" w:rsidRPr="00880CB0" w:rsidRDefault="00D840BE" w:rsidP="00D840BE">
      <w:pPr>
        <w:rPr>
          <w:lang w:eastAsia="zh-CN"/>
        </w:rPr>
      </w:pPr>
      <w:r>
        <w:rPr>
          <w:rStyle w:val="normaltextrun"/>
          <w:rFonts w:cs="Calibri" w:hint="eastAsia"/>
          <w:szCs w:val="24"/>
          <w:lang w:eastAsia="zh-CN"/>
        </w:rPr>
        <w:t>2</w:t>
      </w:r>
      <w:r>
        <w:rPr>
          <w:rStyle w:val="normaltextrun"/>
          <w:rFonts w:cs="Calibri"/>
          <w:szCs w:val="24"/>
          <w:lang w:eastAsia="zh-CN"/>
        </w:rPr>
        <w:t>7</w:t>
      </w:r>
      <w:r>
        <w:rPr>
          <w:rStyle w:val="normaltextrun"/>
          <w:rFonts w:cs="Calibri"/>
          <w:szCs w:val="24"/>
          <w:lang w:eastAsia="zh-CN"/>
        </w:rPr>
        <w:tab/>
      </w:r>
      <w:r w:rsidR="00103608" w:rsidRPr="001637D8">
        <w:rPr>
          <w:rStyle w:val="normaltextrun"/>
          <w:rFonts w:cs="Calibri" w:hint="eastAsia"/>
          <w:szCs w:val="24"/>
          <w:lang w:eastAsia="zh-CN"/>
        </w:rPr>
        <w:t>支柱</w:t>
      </w:r>
      <w:r w:rsidR="004161C4">
        <w:rPr>
          <w:rStyle w:val="normaltextrun"/>
          <w:rFonts w:cs="Calibri" w:hint="eastAsia"/>
          <w:szCs w:val="24"/>
          <w:lang w:eastAsia="zh-CN"/>
        </w:rPr>
        <w:t>1</w:t>
      </w:r>
      <w:r w:rsidR="00103608" w:rsidRPr="001637D8">
        <w:rPr>
          <w:rStyle w:val="normaltextrun"/>
          <w:rFonts w:cs="Calibri" w:hint="eastAsia"/>
          <w:szCs w:val="24"/>
          <w:lang w:eastAsia="zh-CN"/>
        </w:rPr>
        <w:t>以新兴趋势观察</w:t>
      </w:r>
      <w:r w:rsidR="004161C4">
        <w:rPr>
          <w:rStyle w:val="normaltextrun"/>
          <w:rFonts w:cs="Calibri" w:hint="eastAsia"/>
          <w:szCs w:val="24"/>
          <w:lang w:eastAsia="zh-CN"/>
        </w:rPr>
        <w:t>站</w:t>
      </w:r>
      <w:r w:rsidR="00103608" w:rsidRPr="001637D8">
        <w:rPr>
          <w:rStyle w:val="normaltextrun"/>
          <w:rFonts w:cs="Calibri" w:hint="eastAsia"/>
          <w:szCs w:val="24"/>
          <w:lang w:eastAsia="zh-CN"/>
        </w:rPr>
        <w:t>拉开帷幕，该观察</w:t>
      </w:r>
      <w:r w:rsidR="004161C4">
        <w:rPr>
          <w:rStyle w:val="normaltextrun"/>
          <w:rFonts w:cs="Calibri" w:hint="eastAsia"/>
          <w:szCs w:val="24"/>
          <w:lang w:eastAsia="zh-CN"/>
        </w:rPr>
        <w:t>站包括</w:t>
      </w:r>
      <w:r w:rsidR="00103608" w:rsidRPr="001637D8">
        <w:rPr>
          <w:rStyle w:val="normaltextrun"/>
          <w:rFonts w:cs="Calibri" w:hint="eastAsia"/>
          <w:szCs w:val="24"/>
          <w:lang w:eastAsia="zh-CN"/>
        </w:rPr>
        <w:t>四个方面：</w:t>
      </w:r>
      <w:r w:rsidR="00103608" w:rsidRPr="004161C4">
        <w:rPr>
          <w:rStyle w:val="normaltextrun"/>
          <w:rFonts w:ascii="STKaiti" w:eastAsia="STKaiti" w:hAnsi="STKaiti" w:cs="Calibri" w:hint="eastAsia"/>
          <w:szCs w:val="24"/>
          <w:lang w:eastAsia="zh-CN"/>
        </w:rPr>
        <w:t>未来愿景</w:t>
      </w:r>
      <w:r w:rsidR="00103608" w:rsidRPr="001637D8">
        <w:rPr>
          <w:rStyle w:val="normaltextrun"/>
          <w:rFonts w:cs="Calibri" w:hint="eastAsia"/>
          <w:szCs w:val="24"/>
          <w:lang w:eastAsia="zh-CN"/>
        </w:rPr>
        <w:t>（新兴趋势）、</w:t>
      </w:r>
      <w:r w:rsidR="00103608" w:rsidRPr="004161C4">
        <w:rPr>
          <w:rStyle w:val="normaltextrun"/>
          <w:rFonts w:ascii="STKaiti" w:eastAsia="STKaiti" w:hAnsi="STKaiti" w:cs="Calibri" w:hint="eastAsia"/>
          <w:szCs w:val="24"/>
          <w:lang w:eastAsia="zh-CN"/>
        </w:rPr>
        <w:t>揭秘数字化</w:t>
      </w:r>
      <w:r w:rsidR="00103608" w:rsidRPr="001637D8">
        <w:rPr>
          <w:rStyle w:val="normaltextrun"/>
          <w:rFonts w:cs="Calibri" w:hint="eastAsia"/>
          <w:szCs w:val="24"/>
          <w:lang w:eastAsia="zh-CN"/>
        </w:rPr>
        <w:t>（与外交界就人工智能、元宇宙、</w:t>
      </w:r>
      <w:r w:rsidR="00950310">
        <w:rPr>
          <w:rStyle w:val="normaltextrun"/>
          <w:rFonts w:cs="Calibri" w:hint="eastAsia"/>
          <w:szCs w:val="24"/>
          <w:lang w:eastAsia="zh-CN"/>
        </w:rPr>
        <w:t>国际电联</w:t>
      </w:r>
      <w:r w:rsidR="00103608" w:rsidRPr="001637D8">
        <w:rPr>
          <w:rStyle w:val="normaltextrun"/>
          <w:rFonts w:cs="Calibri" w:hint="eastAsia"/>
          <w:szCs w:val="24"/>
          <w:lang w:eastAsia="zh-CN"/>
        </w:rPr>
        <w:t>101</w:t>
      </w:r>
      <w:r w:rsidR="00103608" w:rsidRPr="001637D8">
        <w:rPr>
          <w:rStyle w:val="normaltextrun"/>
          <w:rFonts w:cs="Calibri" w:hint="eastAsia"/>
          <w:szCs w:val="24"/>
          <w:lang w:eastAsia="zh-CN"/>
        </w:rPr>
        <w:t>等主题进行接触</w:t>
      </w:r>
      <w:r w:rsidR="004161C4">
        <w:rPr>
          <w:rStyle w:val="normaltextrun"/>
          <w:rFonts w:cs="Calibri" w:hint="eastAsia"/>
          <w:szCs w:val="24"/>
          <w:lang w:eastAsia="zh-CN"/>
        </w:rPr>
        <w:t>交流</w:t>
      </w:r>
      <w:r w:rsidR="00103608" w:rsidRPr="001637D8">
        <w:rPr>
          <w:rStyle w:val="normaltextrun"/>
          <w:rFonts w:cs="Calibri" w:hint="eastAsia"/>
          <w:szCs w:val="24"/>
          <w:lang w:eastAsia="zh-CN"/>
        </w:rPr>
        <w:t>）、</w:t>
      </w:r>
      <w:r w:rsidR="00103608" w:rsidRPr="004161C4">
        <w:rPr>
          <w:rStyle w:val="normaltextrun"/>
          <w:rFonts w:ascii="STKaiti" w:eastAsia="STKaiti" w:hAnsi="STKaiti" w:cs="Calibri" w:hint="eastAsia"/>
          <w:szCs w:val="24"/>
          <w:lang w:eastAsia="zh-CN"/>
        </w:rPr>
        <w:t>学习实验室</w:t>
      </w:r>
      <w:r w:rsidR="00103608" w:rsidRPr="001637D8">
        <w:rPr>
          <w:rStyle w:val="normaltextrun"/>
          <w:rFonts w:cs="Calibri" w:hint="eastAsia"/>
          <w:szCs w:val="24"/>
          <w:lang w:eastAsia="zh-CN"/>
        </w:rPr>
        <w:t>和</w:t>
      </w:r>
      <w:r w:rsidR="00103608" w:rsidRPr="004161C4">
        <w:rPr>
          <w:rStyle w:val="normaltextrun"/>
          <w:rFonts w:ascii="STKaiti" w:eastAsia="STKaiti" w:hAnsi="STKaiti" w:cs="Calibri" w:hint="eastAsia"/>
          <w:szCs w:val="24"/>
          <w:lang w:eastAsia="zh-CN"/>
        </w:rPr>
        <w:t>国际电联学术网络</w:t>
      </w:r>
      <w:r w:rsidR="004161C4" w:rsidRPr="004161C4">
        <w:rPr>
          <w:rStyle w:val="normaltextrun"/>
          <w:rFonts w:ascii="STKaiti" w:eastAsia="STKaiti" w:hAnsi="STKaiti" w:cs="Calibri" w:hint="eastAsia"/>
          <w:szCs w:val="24"/>
          <w:lang w:eastAsia="zh-CN"/>
        </w:rPr>
        <w:t>之友</w:t>
      </w:r>
      <w:r w:rsidR="00103608" w:rsidRPr="001637D8">
        <w:rPr>
          <w:rStyle w:val="normaltextrun"/>
          <w:rFonts w:cs="Calibri" w:hint="eastAsia"/>
          <w:szCs w:val="24"/>
          <w:lang w:eastAsia="zh-CN"/>
        </w:rPr>
        <w:t>（提供白皮书、研究冲刺、</w:t>
      </w:r>
      <w:r w:rsidR="00313289">
        <w:rPr>
          <w:rStyle w:val="normaltextrun"/>
          <w:rFonts w:cs="Calibri" w:hint="eastAsia"/>
          <w:szCs w:val="24"/>
          <w:lang w:eastAsia="zh-CN"/>
        </w:rPr>
        <w:t>思考文章</w:t>
      </w:r>
      <w:r w:rsidR="00103608" w:rsidRPr="001637D8">
        <w:rPr>
          <w:rStyle w:val="normaltextrun"/>
          <w:rFonts w:cs="Calibri" w:hint="eastAsia"/>
          <w:szCs w:val="24"/>
          <w:lang w:eastAsia="zh-CN"/>
        </w:rPr>
        <w:t>等支持）。</w:t>
      </w:r>
    </w:p>
    <w:p w14:paraId="4F0ECBAE" w14:textId="782AEADC" w:rsidR="00297B7A" w:rsidRPr="00880CB0" w:rsidRDefault="00D840BE" w:rsidP="00D840BE">
      <w:pPr>
        <w:rPr>
          <w:lang w:eastAsia="zh-CN"/>
        </w:rPr>
      </w:pPr>
      <w:r>
        <w:rPr>
          <w:rStyle w:val="normaltextrun"/>
          <w:rFonts w:cs="Calibri" w:hint="eastAsia"/>
          <w:szCs w:val="24"/>
          <w:lang w:eastAsia="zh-CN"/>
        </w:rPr>
        <w:t>2</w:t>
      </w:r>
      <w:r>
        <w:rPr>
          <w:rStyle w:val="normaltextrun"/>
          <w:rFonts w:cs="Calibri"/>
          <w:szCs w:val="24"/>
          <w:lang w:eastAsia="zh-CN"/>
        </w:rPr>
        <w:t>8</w:t>
      </w:r>
      <w:r>
        <w:rPr>
          <w:rStyle w:val="normaltextrun"/>
          <w:rFonts w:cs="Calibri"/>
          <w:szCs w:val="24"/>
          <w:lang w:eastAsia="zh-CN"/>
        </w:rPr>
        <w:tab/>
      </w:r>
      <w:r w:rsidR="00103608" w:rsidRPr="001637D8">
        <w:rPr>
          <w:rStyle w:val="normaltextrun"/>
          <w:rFonts w:cs="Calibri" w:hint="eastAsia"/>
          <w:szCs w:val="24"/>
          <w:lang w:eastAsia="zh-CN"/>
        </w:rPr>
        <w:t>与此同时，继续</w:t>
      </w:r>
      <w:r w:rsidR="00313289" w:rsidRPr="001637D8">
        <w:rPr>
          <w:rStyle w:val="normaltextrun"/>
          <w:rFonts w:cs="Calibri" w:hint="eastAsia"/>
          <w:szCs w:val="24"/>
          <w:lang w:eastAsia="zh-CN"/>
        </w:rPr>
        <w:t>针对</w:t>
      </w:r>
      <w:r w:rsidR="00313289">
        <w:rPr>
          <w:rStyle w:val="normaltextrun"/>
          <w:rFonts w:cs="Calibri" w:hint="eastAsia"/>
          <w:szCs w:val="24"/>
          <w:lang w:eastAsia="zh-CN"/>
        </w:rPr>
        <w:t>已确定的重点工作</w:t>
      </w:r>
      <w:r w:rsidR="00313289" w:rsidRPr="001637D8">
        <w:rPr>
          <w:rStyle w:val="normaltextrun"/>
          <w:rFonts w:cs="Calibri" w:hint="eastAsia"/>
          <w:szCs w:val="24"/>
          <w:lang w:eastAsia="zh-CN"/>
        </w:rPr>
        <w:t>领域</w:t>
      </w:r>
      <w:r w:rsidR="00313289">
        <w:rPr>
          <w:rStyle w:val="normaltextrun"/>
          <w:rFonts w:cs="Calibri" w:hint="eastAsia"/>
          <w:szCs w:val="24"/>
          <w:lang w:eastAsia="zh-CN"/>
        </w:rPr>
        <w:t>，</w:t>
      </w:r>
      <w:r w:rsidR="00103608" w:rsidRPr="001637D8">
        <w:rPr>
          <w:rStyle w:val="normaltextrun"/>
          <w:rFonts w:cs="Calibri" w:hint="eastAsia"/>
          <w:szCs w:val="24"/>
          <w:lang w:eastAsia="zh-CN"/>
        </w:rPr>
        <w:t>向</w:t>
      </w:r>
      <w:r w:rsidR="00313289">
        <w:rPr>
          <w:rStyle w:val="normaltextrun"/>
          <w:rFonts w:cs="Calibri" w:hint="eastAsia"/>
          <w:szCs w:val="24"/>
          <w:lang w:eastAsia="zh-CN"/>
        </w:rPr>
        <w:t>各国</w:t>
      </w:r>
      <w:r w:rsidR="00103608" w:rsidRPr="001637D8">
        <w:rPr>
          <w:rStyle w:val="normaltextrun"/>
          <w:rFonts w:cs="Calibri" w:hint="eastAsia"/>
          <w:szCs w:val="24"/>
          <w:lang w:eastAsia="zh-CN"/>
        </w:rPr>
        <w:t>大使和其他外交使团成员通报情况，并与业界组织会议（例如在</w:t>
      </w:r>
      <w:r w:rsidR="00103608" w:rsidRPr="001637D8">
        <w:rPr>
          <w:rStyle w:val="normaltextrun"/>
          <w:rFonts w:cs="Calibri" w:hint="eastAsia"/>
          <w:szCs w:val="24"/>
          <w:lang w:eastAsia="zh-CN"/>
        </w:rPr>
        <w:t>2023</w:t>
      </w:r>
      <w:r w:rsidR="00103608" w:rsidRPr="001637D8">
        <w:rPr>
          <w:rStyle w:val="normaltextrun"/>
          <w:rFonts w:cs="Calibri" w:hint="eastAsia"/>
          <w:szCs w:val="24"/>
          <w:lang w:eastAsia="zh-CN"/>
        </w:rPr>
        <w:t>年世界移动通信大会期间、在</w:t>
      </w:r>
      <w:r w:rsidR="00103608" w:rsidRPr="001637D8">
        <w:rPr>
          <w:rStyle w:val="normaltextrun"/>
          <w:rFonts w:cs="Calibri" w:hint="eastAsia"/>
          <w:szCs w:val="24"/>
          <w:lang w:eastAsia="zh-CN"/>
        </w:rPr>
        <w:t>2023</w:t>
      </w:r>
      <w:r w:rsidR="00103608" w:rsidRPr="001637D8">
        <w:rPr>
          <w:rStyle w:val="normaltextrun"/>
          <w:rFonts w:cs="Calibri" w:hint="eastAsia"/>
          <w:szCs w:val="24"/>
          <w:lang w:eastAsia="zh-CN"/>
        </w:rPr>
        <w:t>年世界无线电通信大会筹备会议期间等）。</w:t>
      </w:r>
    </w:p>
    <w:p w14:paraId="05A8AC21" w14:textId="32CB80F1" w:rsidR="00297B7A" w:rsidRPr="00880CB0" w:rsidRDefault="00D840BE" w:rsidP="00D840BE">
      <w:pPr>
        <w:rPr>
          <w:lang w:eastAsia="zh-CN"/>
        </w:rPr>
      </w:pPr>
      <w:r>
        <w:rPr>
          <w:rStyle w:val="normaltextrun"/>
          <w:rFonts w:cs="Calibri" w:hint="eastAsia"/>
          <w:szCs w:val="24"/>
          <w:lang w:eastAsia="zh-CN"/>
        </w:rPr>
        <w:t>2</w:t>
      </w:r>
      <w:r>
        <w:rPr>
          <w:rStyle w:val="normaltextrun"/>
          <w:rFonts w:cs="Calibri"/>
          <w:szCs w:val="24"/>
          <w:lang w:eastAsia="zh-CN"/>
        </w:rPr>
        <w:t>9</w:t>
      </w:r>
      <w:r>
        <w:rPr>
          <w:rStyle w:val="normaltextrun"/>
          <w:rFonts w:cs="Calibri"/>
          <w:szCs w:val="24"/>
          <w:lang w:eastAsia="zh-CN"/>
        </w:rPr>
        <w:tab/>
      </w:r>
      <w:r w:rsidR="00103608" w:rsidRPr="001637D8">
        <w:rPr>
          <w:rStyle w:val="normaltextrun"/>
          <w:rFonts w:cs="Calibri" w:hint="eastAsia"/>
          <w:szCs w:val="24"/>
          <w:lang w:eastAsia="zh-CN"/>
        </w:rPr>
        <w:t>将继续开展将国际电联推向更具战略地位的旗舰举措和活动，例如人工智能</w:t>
      </w:r>
      <w:r w:rsidR="007146B8">
        <w:rPr>
          <w:rStyle w:val="normaltextrun"/>
          <w:rFonts w:cs="Calibri" w:hint="eastAsia"/>
          <w:szCs w:val="24"/>
          <w:lang w:eastAsia="zh-CN"/>
        </w:rPr>
        <w:t>惠及</w:t>
      </w:r>
      <w:r w:rsidR="00103608" w:rsidRPr="001637D8">
        <w:rPr>
          <w:rStyle w:val="normaltextrun"/>
          <w:rFonts w:cs="Calibri" w:hint="eastAsia"/>
          <w:szCs w:val="24"/>
          <w:lang w:eastAsia="zh-CN"/>
        </w:rPr>
        <w:t>人类、</w:t>
      </w:r>
      <w:r w:rsidR="00103608" w:rsidRPr="001637D8">
        <w:rPr>
          <w:rStyle w:val="normaltextrun"/>
          <w:rFonts w:cs="Calibri" w:hint="eastAsia"/>
          <w:szCs w:val="24"/>
          <w:lang w:eastAsia="zh-CN"/>
        </w:rPr>
        <w:t>Partner2Connect</w:t>
      </w:r>
      <w:r w:rsidR="00103608" w:rsidRPr="001637D8">
        <w:rPr>
          <w:rStyle w:val="normaltextrun"/>
          <w:rFonts w:cs="Calibri" w:hint="eastAsia"/>
          <w:szCs w:val="24"/>
          <w:lang w:eastAsia="zh-CN"/>
        </w:rPr>
        <w:t>、可持续发展目标数字日、</w:t>
      </w:r>
      <w:r w:rsidR="00103608" w:rsidRPr="001637D8">
        <w:rPr>
          <w:rStyle w:val="normaltextrun"/>
          <w:rFonts w:cs="Calibri" w:hint="eastAsia"/>
          <w:szCs w:val="24"/>
          <w:lang w:eastAsia="zh-CN"/>
        </w:rPr>
        <w:t>GSR</w:t>
      </w:r>
      <w:r w:rsidR="00103608" w:rsidRPr="001637D8">
        <w:rPr>
          <w:rStyle w:val="normaltextrun"/>
          <w:rFonts w:cs="Calibri" w:hint="eastAsia"/>
          <w:szCs w:val="24"/>
          <w:lang w:eastAsia="zh-CN"/>
        </w:rPr>
        <w:t>、信息社会世界峰会论坛、信息通信年轻女性日和</w:t>
      </w:r>
      <w:r w:rsidR="007146B8">
        <w:rPr>
          <w:rStyle w:val="normaltextrun"/>
          <w:rFonts w:cs="Calibri" w:hint="eastAsia"/>
          <w:szCs w:val="24"/>
          <w:lang w:eastAsia="zh-CN"/>
        </w:rPr>
        <w:t>第二十八次</w:t>
      </w:r>
      <w:r w:rsidR="00103608" w:rsidRPr="001637D8">
        <w:rPr>
          <w:rStyle w:val="normaltextrun"/>
          <w:rFonts w:cs="Calibri" w:hint="eastAsia"/>
          <w:szCs w:val="24"/>
          <w:lang w:eastAsia="zh-CN"/>
        </w:rPr>
        <w:t>缔约方</w:t>
      </w:r>
      <w:r w:rsidR="007146B8">
        <w:rPr>
          <w:rStyle w:val="normaltextrun"/>
          <w:rFonts w:cs="Calibri" w:hint="eastAsia"/>
          <w:szCs w:val="24"/>
          <w:lang w:eastAsia="zh-CN"/>
        </w:rPr>
        <w:t>大会期间的数字日</w:t>
      </w:r>
      <w:r w:rsidR="00103608" w:rsidRPr="001637D8">
        <w:rPr>
          <w:rStyle w:val="normaltextrun"/>
          <w:rFonts w:cs="Calibri" w:hint="eastAsia"/>
          <w:szCs w:val="24"/>
          <w:lang w:eastAsia="zh-CN"/>
        </w:rPr>
        <w:t>。</w:t>
      </w:r>
    </w:p>
    <w:p w14:paraId="32E02044" w14:textId="32270E1C" w:rsidR="00297B7A" w:rsidRPr="00880CB0" w:rsidRDefault="00D840BE" w:rsidP="00D840BE">
      <w:pPr>
        <w:rPr>
          <w:lang w:eastAsia="zh-CN"/>
        </w:rPr>
      </w:pPr>
      <w:r>
        <w:rPr>
          <w:rStyle w:val="normaltextrun"/>
          <w:rFonts w:cs="Calibri" w:hint="eastAsia"/>
          <w:szCs w:val="24"/>
          <w:lang w:eastAsia="zh-CN"/>
        </w:rPr>
        <w:t>3</w:t>
      </w:r>
      <w:r>
        <w:rPr>
          <w:rStyle w:val="normaltextrun"/>
          <w:rFonts w:cs="Calibri"/>
          <w:szCs w:val="24"/>
          <w:lang w:eastAsia="zh-CN"/>
        </w:rPr>
        <w:t>0</w:t>
      </w:r>
      <w:r>
        <w:rPr>
          <w:rStyle w:val="normaltextrun"/>
          <w:rFonts w:cs="Calibri"/>
          <w:szCs w:val="24"/>
          <w:lang w:eastAsia="zh-CN"/>
        </w:rPr>
        <w:tab/>
      </w:r>
      <w:r w:rsidR="00103608" w:rsidRPr="001637D8">
        <w:rPr>
          <w:rStyle w:val="normaltextrun"/>
          <w:rFonts w:cs="Calibri" w:hint="eastAsia"/>
          <w:szCs w:val="24"/>
          <w:lang w:eastAsia="zh-CN"/>
        </w:rPr>
        <w:t>关于战略伙伴关系和成员参与，自</w:t>
      </w:r>
      <w:r w:rsidR="00103608" w:rsidRPr="001637D8">
        <w:rPr>
          <w:rStyle w:val="normaltextrun"/>
          <w:rFonts w:cs="Calibri" w:hint="eastAsia"/>
          <w:szCs w:val="24"/>
          <w:lang w:eastAsia="zh-CN"/>
        </w:rPr>
        <w:t>PP-22</w:t>
      </w:r>
      <w:r w:rsidR="00103608" w:rsidRPr="001637D8">
        <w:rPr>
          <w:rStyle w:val="normaltextrun"/>
          <w:rFonts w:cs="Calibri" w:hint="eastAsia"/>
          <w:szCs w:val="24"/>
          <w:lang w:eastAsia="zh-CN"/>
        </w:rPr>
        <w:t>以来的行动一直以</w:t>
      </w:r>
      <w:r w:rsidR="002A3012">
        <w:rPr>
          <w:rStyle w:val="normaltextrun"/>
          <w:rFonts w:cs="Calibri" w:hint="eastAsia"/>
          <w:szCs w:val="24"/>
          <w:lang w:eastAsia="zh-CN"/>
        </w:rPr>
        <w:t>第</w:t>
      </w:r>
      <w:r w:rsidR="002A3012" w:rsidRPr="001637D8">
        <w:rPr>
          <w:rStyle w:val="normaltextrun"/>
          <w:rFonts w:cs="Calibri" w:hint="eastAsia"/>
          <w:szCs w:val="24"/>
          <w:lang w:eastAsia="zh-CN"/>
        </w:rPr>
        <w:t>5</w:t>
      </w:r>
      <w:r w:rsidR="002A3012">
        <w:rPr>
          <w:rStyle w:val="normaltextrun"/>
          <w:rFonts w:cs="Calibri" w:hint="eastAsia"/>
          <w:szCs w:val="24"/>
          <w:lang w:eastAsia="zh-CN"/>
        </w:rPr>
        <w:t>号</w:t>
      </w:r>
      <w:r w:rsidR="00103608" w:rsidRPr="001637D8">
        <w:rPr>
          <w:rStyle w:val="normaltextrun"/>
          <w:rFonts w:cs="Calibri" w:hint="eastAsia"/>
          <w:szCs w:val="24"/>
          <w:lang w:eastAsia="zh-CN"/>
        </w:rPr>
        <w:t>决定为基础，制定国际电联范围内的资源</w:t>
      </w:r>
      <w:r w:rsidR="002A3012">
        <w:rPr>
          <w:rStyle w:val="normaltextrun"/>
          <w:rFonts w:cs="Calibri" w:hint="eastAsia"/>
          <w:szCs w:val="24"/>
          <w:lang w:eastAsia="zh-CN"/>
        </w:rPr>
        <w:t>筹措</w:t>
      </w:r>
      <w:r w:rsidR="00103608" w:rsidRPr="001637D8">
        <w:rPr>
          <w:rStyle w:val="normaltextrun"/>
          <w:rFonts w:cs="Calibri" w:hint="eastAsia"/>
          <w:szCs w:val="24"/>
          <w:lang w:eastAsia="zh-CN"/>
        </w:rPr>
        <w:t>战略，以满足额外资金的</w:t>
      </w:r>
      <w:r w:rsidR="002A3012">
        <w:rPr>
          <w:rStyle w:val="normaltextrun"/>
          <w:rFonts w:cs="Calibri" w:hint="eastAsia"/>
          <w:szCs w:val="24"/>
          <w:lang w:eastAsia="zh-CN"/>
        </w:rPr>
        <w:t>需求</w:t>
      </w:r>
      <w:r w:rsidR="00103608" w:rsidRPr="001637D8">
        <w:rPr>
          <w:rStyle w:val="normaltextrun"/>
          <w:rFonts w:cs="Calibri" w:hint="eastAsia"/>
          <w:szCs w:val="24"/>
          <w:lang w:eastAsia="zh-CN"/>
        </w:rPr>
        <w:t>，</w:t>
      </w:r>
      <w:r w:rsidR="002A3012">
        <w:rPr>
          <w:rStyle w:val="normaltextrun"/>
          <w:rFonts w:cs="Calibri" w:hint="eastAsia"/>
          <w:szCs w:val="24"/>
          <w:lang w:eastAsia="zh-CN"/>
        </w:rPr>
        <w:t>保证本</w:t>
      </w:r>
      <w:r w:rsidR="00103608" w:rsidRPr="001637D8">
        <w:rPr>
          <w:rStyle w:val="normaltextrun"/>
          <w:rFonts w:cs="Calibri" w:hint="eastAsia"/>
          <w:szCs w:val="24"/>
          <w:lang w:eastAsia="zh-CN"/>
        </w:rPr>
        <w:t>组织</w:t>
      </w:r>
      <w:r w:rsidR="002A3012">
        <w:rPr>
          <w:rStyle w:val="normaltextrun"/>
          <w:rFonts w:cs="Calibri" w:hint="eastAsia"/>
          <w:szCs w:val="24"/>
          <w:lang w:eastAsia="zh-CN"/>
        </w:rPr>
        <w:t>重点工作的开展（</w:t>
      </w:r>
      <w:hyperlink r:id="rId13" w:history="1">
        <w:r w:rsidR="002A3012" w:rsidRPr="00880CB0">
          <w:rPr>
            <w:rStyle w:val="Hyperlink"/>
            <w:lang w:eastAsia="zh-CN"/>
          </w:rPr>
          <w:t>C23/62</w:t>
        </w:r>
      </w:hyperlink>
      <w:r w:rsidR="002A3012">
        <w:rPr>
          <w:rStyle w:val="normaltextrun"/>
          <w:rFonts w:cs="Calibri" w:hint="eastAsia"/>
          <w:szCs w:val="24"/>
          <w:lang w:eastAsia="zh-CN"/>
        </w:rPr>
        <w:t>号文件）</w:t>
      </w:r>
      <w:r w:rsidR="00103608" w:rsidRPr="001637D8">
        <w:rPr>
          <w:rStyle w:val="normaltextrun"/>
          <w:rFonts w:cs="Calibri" w:hint="eastAsia"/>
          <w:szCs w:val="24"/>
          <w:lang w:eastAsia="zh-CN"/>
        </w:rPr>
        <w:t>。根据愿景规划的结果以及二月份高级管理层务虚会的进一步讨论，国际电联聘请了波士顿咨询集团（</w:t>
      </w:r>
      <w:r w:rsidR="00103608" w:rsidRPr="001637D8">
        <w:rPr>
          <w:rStyle w:val="normaltextrun"/>
          <w:rFonts w:cs="Calibri" w:hint="eastAsia"/>
          <w:szCs w:val="24"/>
          <w:lang w:eastAsia="zh-CN"/>
        </w:rPr>
        <w:t>BCG</w:t>
      </w:r>
      <w:r w:rsidR="00103608" w:rsidRPr="001637D8">
        <w:rPr>
          <w:rStyle w:val="normaltextrun"/>
          <w:rFonts w:cs="Calibri" w:hint="eastAsia"/>
          <w:szCs w:val="24"/>
          <w:lang w:eastAsia="zh-CN"/>
        </w:rPr>
        <w:t>），该集团无偿为国际电联</w:t>
      </w:r>
      <w:r w:rsidR="002A3012">
        <w:rPr>
          <w:rStyle w:val="normaltextrun"/>
          <w:rFonts w:cs="Calibri" w:hint="eastAsia"/>
          <w:szCs w:val="24"/>
          <w:lang w:eastAsia="zh-CN"/>
        </w:rPr>
        <w:t>制定</w:t>
      </w:r>
      <w:r w:rsidR="00103608" w:rsidRPr="001637D8">
        <w:rPr>
          <w:rStyle w:val="normaltextrun"/>
          <w:rFonts w:cs="Calibri" w:hint="eastAsia"/>
          <w:szCs w:val="24"/>
          <w:lang w:eastAsia="zh-CN"/>
        </w:rPr>
        <w:t>伙伴关系和资源</w:t>
      </w:r>
      <w:r w:rsidR="002A3012">
        <w:rPr>
          <w:rStyle w:val="normaltextrun"/>
          <w:rFonts w:cs="Calibri" w:hint="eastAsia"/>
          <w:szCs w:val="24"/>
          <w:lang w:eastAsia="zh-CN"/>
        </w:rPr>
        <w:t>筹措</w:t>
      </w:r>
      <w:r w:rsidR="00103608" w:rsidRPr="001637D8">
        <w:rPr>
          <w:rStyle w:val="normaltextrun"/>
          <w:rFonts w:cs="Calibri" w:hint="eastAsia"/>
          <w:szCs w:val="24"/>
          <w:lang w:eastAsia="zh-CN"/>
        </w:rPr>
        <w:t>战略奠定了基础。</w:t>
      </w:r>
    </w:p>
    <w:p w14:paraId="5B42A5F8" w14:textId="39A109C4" w:rsidR="00297B7A" w:rsidRPr="00880CB0" w:rsidRDefault="00D840BE" w:rsidP="00D840BE">
      <w:pPr>
        <w:rPr>
          <w:lang w:eastAsia="zh-CN"/>
        </w:rPr>
      </w:pPr>
      <w:r>
        <w:rPr>
          <w:rStyle w:val="normaltextrun"/>
          <w:rFonts w:cs="Calibri"/>
          <w:szCs w:val="24"/>
          <w:lang w:eastAsia="zh-CN"/>
        </w:rPr>
        <w:t>31</w:t>
      </w:r>
      <w:r>
        <w:rPr>
          <w:rStyle w:val="normaltextrun"/>
          <w:rFonts w:cs="Calibri"/>
          <w:szCs w:val="24"/>
          <w:lang w:eastAsia="zh-CN"/>
        </w:rPr>
        <w:tab/>
      </w:r>
      <w:r w:rsidR="001637D8" w:rsidRPr="001637D8">
        <w:rPr>
          <w:rStyle w:val="normaltextrun"/>
          <w:rFonts w:cs="Calibri" w:hint="eastAsia"/>
          <w:szCs w:val="24"/>
          <w:lang w:eastAsia="zh-CN"/>
        </w:rPr>
        <w:t>BCG</w:t>
      </w:r>
      <w:r w:rsidR="001637D8" w:rsidRPr="001637D8">
        <w:rPr>
          <w:rStyle w:val="normaltextrun"/>
          <w:rFonts w:cs="Calibri" w:hint="eastAsia"/>
          <w:szCs w:val="24"/>
          <w:lang w:eastAsia="zh-CN"/>
        </w:rPr>
        <w:t>的工作包括采访</w:t>
      </w:r>
      <w:r w:rsidR="001637D8" w:rsidRPr="001637D8">
        <w:rPr>
          <w:rStyle w:val="normaltextrun"/>
          <w:rFonts w:cs="Calibri" w:hint="eastAsia"/>
          <w:szCs w:val="24"/>
          <w:lang w:eastAsia="zh-CN"/>
        </w:rPr>
        <w:t>44</w:t>
      </w:r>
      <w:r w:rsidR="001637D8" w:rsidRPr="001637D8">
        <w:rPr>
          <w:rStyle w:val="normaltextrun"/>
          <w:rFonts w:cs="Calibri" w:hint="eastAsia"/>
          <w:szCs w:val="24"/>
          <w:lang w:eastAsia="zh-CN"/>
        </w:rPr>
        <w:t>个外部利益攸关方（包括成员国和部门成员）以及</w:t>
      </w:r>
      <w:r w:rsidR="001637D8" w:rsidRPr="001637D8">
        <w:rPr>
          <w:rStyle w:val="normaltextrun"/>
          <w:rFonts w:cs="Calibri" w:hint="eastAsia"/>
          <w:szCs w:val="24"/>
          <w:lang w:eastAsia="zh-CN"/>
        </w:rPr>
        <w:t>30</w:t>
      </w:r>
      <w:r w:rsidR="001637D8" w:rsidRPr="001637D8">
        <w:rPr>
          <w:rStyle w:val="normaltextrun"/>
          <w:rFonts w:cs="Calibri" w:hint="eastAsia"/>
          <w:szCs w:val="24"/>
          <w:lang w:eastAsia="zh-CN"/>
        </w:rPr>
        <w:t>多名国际电联内部同事，并提供：</w:t>
      </w:r>
    </w:p>
    <w:p w14:paraId="26E6100F" w14:textId="1D3CA122" w:rsidR="00297B7A" w:rsidRPr="00880CB0" w:rsidRDefault="00D840BE" w:rsidP="00D840BE">
      <w:pPr>
        <w:pStyle w:val="enumlev1"/>
        <w:rPr>
          <w:lang w:eastAsia="zh-CN"/>
        </w:rPr>
      </w:pPr>
      <w:r w:rsidRPr="00D840BE">
        <w:rPr>
          <w:lang w:eastAsia="zh-CN"/>
        </w:rPr>
        <w:t>•</w:t>
      </w:r>
      <w:r>
        <w:rPr>
          <w:lang w:eastAsia="zh-CN"/>
        </w:rPr>
        <w:tab/>
      </w:r>
      <w:r w:rsidR="001637D8" w:rsidRPr="001637D8">
        <w:rPr>
          <w:rStyle w:val="normaltextrun"/>
          <w:rFonts w:cs="Calibri" w:hint="eastAsia"/>
          <w:szCs w:val="24"/>
          <w:lang w:eastAsia="zh-CN"/>
        </w:rPr>
        <w:t>对国际电联当前资金状况</w:t>
      </w:r>
      <w:r w:rsidR="009E0831" w:rsidRPr="001637D8">
        <w:rPr>
          <w:rStyle w:val="normaltextrun"/>
          <w:rFonts w:cs="Calibri" w:hint="eastAsia"/>
          <w:szCs w:val="24"/>
          <w:lang w:eastAsia="zh-CN"/>
        </w:rPr>
        <w:t>进行基线评估</w:t>
      </w:r>
      <w:r w:rsidR="001637D8" w:rsidRPr="001637D8">
        <w:rPr>
          <w:rStyle w:val="normaltextrun"/>
          <w:rFonts w:cs="Calibri" w:hint="eastAsia"/>
          <w:szCs w:val="24"/>
          <w:lang w:eastAsia="zh-CN"/>
        </w:rPr>
        <w:t>及其与其他联合国机构的比较情况；</w:t>
      </w:r>
    </w:p>
    <w:p w14:paraId="6302D7AE" w14:textId="3BF7BD16" w:rsidR="00297B7A" w:rsidRPr="00880CB0" w:rsidRDefault="00D840BE" w:rsidP="00D840BE">
      <w:pPr>
        <w:pStyle w:val="enumlev1"/>
        <w:rPr>
          <w:lang w:eastAsia="zh-CN"/>
        </w:rPr>
      </w:pPr>
      <w:r w:rsidRPr="00D840BE">
        <w:rPr>
          <w:lang w:eastAsia="zh-CN"/>
        </w:rPr>
        <w:t>•</w:t>
      </w:r>
      <w:r>
        <w:rPr>
          <w:lang w:eastAsia="zh-CN"/>
        </w:rPr>
        <w:tab/>
      </w:r>
      <w:r w:rsidR="001637D8" w:rsidRPr="001637D8">
        <w:rPr>
          <w:rStyle w:val="normaltextrun"/>
          <w:rFonts w:cs="Calibri" w:hint="eastAsia"/>
          <w:szCs w:val="24"/>
          <w:lang w:eastAsia="zh-CN"/>
        </w:rPr>
        <w:t>对国际电联的优势进行评估，并以此为基础</w:t>
      </w:r>
      <w:r w:rsidR="009E0831">
        <w:rPr>
          <w:rStyle w:val="normaltextrun"/>
          <w:rFonts w:cs="Calibri" w:hint="eastAsia"/>
          <w:szCs w:val="24"/>
          <w:lang w:eastAsia="zh-CN"/>
        </w:rPr>
        <w:t>制定</w:t>
      </w:r>
      <w:r w:rsidR="001637D8" w:rsidRPr="001637D8">
        <w:rPr>
          <w:rStyle w:val="normaltextrun"/>
          <w:rFonts w:cs="Calibri" w:hint="eastAsia"/>
          <w:szCs w:val="24"/>
          <w:lang w:eastAsia="zh-CN"/>
        </w:rPr>
        <w:t>伙伴关系和</w:t>
      </w:r>
      <w:r w:rsidR="009E0831">
        <w:rPr>
          <w:rStyle w:val="normaltextrun"/>
          <w:rFonts w:cs="Calibri" w:hint="eastAsia"/>
          <w:szCs w:val="24"/>
          <w:lang w:eastAsia="zh-CN"/>
        </w:rPr>
        <w:t>筹措</w:t>
      </w:r>
      <w:r w:rsidR="001637D8" w:rsidRPr="001637D8">
        <w:rPr>
          <w:rStyle w:val="normaltextrun"/>
          <w:rFonts w:cs="Calibri" w:hint="eastAsia"/>
          <w:szCs w:val="24"/>
          <w:lang w:eastAsia="zh-CN"/>
        </w:rPr>
        <w:t>资源战略；和</w:t>
      </w:r>
    </w:p>
    <w:p w14:paraId="7F190BF1" w14:textId="2A1DD893" w:rsidR="00297B7A" w:rsidRPr="00880CB0" w:rsidRDefault="00D840BE" w:rsidP="00D840BE">
      <w:pPr>
        <w:pStyle w:val="enumlev1"/>
        <w:rPr>
          <w:lang w:eastAsia="zh-CN"/>
        </w:rPr>
      </w:pPr>
      <w:r w:rsidRPr="00D840BE">
        <w:rPr>
          <w:lang w:eastAsia="zh-CN"/>
        </w:rPr>
        <w:t>•</w:t>
      </w:r>
      <w:r>
        <w:rPr>
          <w:lang w:eastAsia="zh-CN"/>
        </w:rPr>
        <w:tab/>
      </w:r>
      <w:r w:rsidR="001637D8" w:rsidRPr="001637D8">
        <w:rPr>
          <w:rStyle w:val="normaltextrun"/>
          <w:rFonts w:cs="Calibri" w:hint="eastAsia"/>
          <w:szCs w:val="24"/>
          <w:lang w:eastAsia="zh-CN"/>
        </w:rPr>
        <w:t>潜在的关键资源</w:t>
      </w:r>
      <w:r w:rsidR="009E0831">
        <w:rPr>
          <w:rStyle w:val="normaltextrun"/>
          <w:rFonts w:cs="Calibri" w:hint="eastAsia"/>
          <w:szCs w:val="24"/>
          <w:lang w:eastAsia="zh-CN"/>
        </w:rPr>
        <w:t>筹措</w:t>
      </w:r>
      <w:r w:rsidR="001637D8" w:rsidRPr="001637D8">
        <w:rPr>
          <w:rStyle w:val="normaltextrun"/>
          <w:rFonts w:cs="Calibri" w:hint="eastAsia"/>
          <w:szCs w:val="24"/>
          <w:lang w:eastAsia="zh-CN"/>
        </w:rPr>
        <w:t>杠杆，每个杠杆都有可能增加国际电联的资金流，并附上下一步具体行动清单。</w:t>
      </w:r>
    </w:p>
    <w:p w14:paraId="31B5850E" w14:textId="2EF727E2" w:rsidR="00BB39BC" w:rsidRPr="000C289C" w:rsidRDefault="00D840BE" w:rsidP="00D840BE">
      <w:pPr>
        <w:rPr>
          <w:rStyle w:val="normaltextrun"/>
          <w:rFonts w:cs="Calibri"/>
          <w:b/>
          <w:bCs/>
          <w:szCs w:val="24"/>
          <w:lang w:eastAsia="zh-CN"/>
        </w:rPr>
      </w:pPr>
      <w:r>
        <w:rPr>
          <w:rStyle w:val="normaltextrun"/>
          <w:rFonts w:cs="Calibri" w:hint="eastAsia"/>
          <w:szCs w:val="24"/>
          <w:lang w:eastAsia="zh-CN"/>
        </w:rPr>
        <w:t>3</w:t>
      </w:r>
      <w:r>
        <w:rPr>
          <w:rStyle w:val="normaltextrun"/>
          <w:rFonts w:cs="Calibri"/>
          <w:szCs w:val="24"/>
          <w:lang w:eastAsia="zh-CN"/>
        </w:rPr>
        <w:t>2</w:t>
      </w:r>
      <w:r>
        <w:rPr>
          <w:rStyle w:val="normaltextrun"/>
          <w:rFonts w:cs="Calibri"/>
          <w:szCs w:val="24"/>
          <w:lang w:eastAsia="zh-CN"/>
        </w:rPr>
        <w:tab/>
      </w:r>
      <w:r w:rsidR="009E0831" w:rsidRPr="000C289C">
        <w:rPr>
          <w:rStyle w:val="normaltextrun"/>
          <w:rFonts w:cs="Calibri" w:hint="eastAsia"/>
          <w:szCs w:val="24"/>
          <w:lang w:eastAsia="zh-CN"/>
        </w:rPr>
        <w:t>已经</w:t>
      </w:r>
      <w:r w:rsidR="009E0831">
        <w:rPr>
          <w:rStyle w:val="normaltextrun"/>
          <w:rFonts w:cs="Calibri" w:hint="eastAsia"/>
          <w:szCs w:val="24"/>
          <w:lang w:eastAsia="zh-CN"/>
        </w:rPr>
        <w:t>设立了</w:t>
      </w:r>
      <w:r w:rsidR="001637D8" w:rsidRPr="000C289C">
        <w:rPr>
          <w:rStyle w:val="normaltextrun"/>
          <w:rFonts w:cs="Calibri" w:hint="eastAsia"/>
          <w:szCs w:val="24"/>
          <w:lang w:eastAsia="zh-CN"/>
        </w:rPr>
        <w:t>国际电联</w:t>
      </w:r>
      <w:r w:rsidR="009E0831">
        <w:rPr>
          <w:rStyle w:val="normaltextrun"/>
          <w:rFonts w:cs="Calibri" w:hint="eastAsia"/>
          <w:szCs w:val="24"/>
          <w:lang w:eastAsia="zh-CN"/>
        </w:rPr>
        <w:t>是一家</w:t>
      </w:r>
      <w:r w:rsidR="001637D8" w:rsidRPr="000C289C">
        <w:rPr>
          <w:rStyle w:val="normaltextrun"/>
          <w:rFonts w:cs="Calibri" w:hint="eastAsia"/>
          <w:szCs w:val="24"/>
          <w:lang w:eastAsia="zh-CN"/>
        </w:rPr>
        <w:t>资源</w:t>
      </w:r>
      <w:r w:rsidR="009E0831">
        <w:rPr>
          <w:rStyle w:val="normaltextrun"/>
          <w:rFonts w:cs="Calibri" w:hint="eastAsia"/>
          <w:szCs w:val="24"/>
          <w:lang w:eastAsia="zh-CN"/>
        </w:rPr>
        <w:t>筹措</w:t>
      </w:r>
      <w:r w:rsidR="001637D8" w:rsidRPr="000C289C">
        <w:rPr>
          <w:rStyle w:val="normaltextrun"/>
          <w:rFonts w:cs="Calibri" w:hint="eastAsia"/>
          <w:szCs w:val="24"/>
          <w:lang w:eastAsia="zh-CN"/>
        </w:rPr>
        <w:t>特别工作组，以评估确定</w:t>
      </w:r>
      <w:r w:rsidR="009E0831" w:rsidRPr="000C289C">
        <w:rPr>
          <w:rStyle w:val="normaltextrun"/>
          <w:rFonts w:cs="Calibri" w:hint="eastAsia"/>
          <w:szCs w:val="24"/>
          <w:lang w:eastAsia="zh-CN"/>
        </w:rPr>
        <w:t>这些建议</w:t>
      </w:r>
      <w:r w:rsidR="009E0831">
        <w:rPr>
          <w:rStyle w:val="normaltextrun"/>
          <w:rFonts w:cs="Calibri" w:hint="eastAsia"/>
          <w:szCs w:val="24"/>
          <w:lang w:eastAsia="zh-CN"/>
        </w:rPr>
        <w:t>的</w:t>
      </w:r>
      <w:r w:rsidR="001637D8" w:rsidRPr="000C289C">
        <w:rPr>
          <w:rStyle w:val="normaltextrun"/>
          <w:rFonts w:cs="Calibri" w:hint="eastAsia"/>
          <w:szCs w:val="24"/>
          <w:lang w:eastAsia="zh-CN"/>
        </w:rPr>
        <w:t>优先顺序并</w:t>
      </w:r>
      <w:r w:rsidR="009E0831">
        <w:rPr>
          <w:rStyle w:val="normaltextrun"/>
          <w:rFonts w:cs="Calibri" w:hint="eastAsia"/>
          <w:szCs w:val="24"/>
          <w:lang w:eastAsia="zh-CN"/>
        </w:rPr>
        <w:t>予以</w:t>
      </w:r>
      <w:r w:rsidR="001637D8" w:rsidRPr="000C289C">
        <w:rPr>
          <w:rStyle w:val="normaltextrun"/>
          <w:rFonts w:cs="Calibri" w:hint="eastAsia"/>
          <w:szCs w:val="24"/>
          <w:lang w:eastAsia="zh-CN"/>
        </w:rPr>
        <w:t>实施的最佳方式（见</w:t>
      </w:r>
      <w:hyperlink r:id="rId14" w:history="1">
        <w:r w:rsidR="009E0831" w:rsidRPr="00880CB0">
          <w:rPr>
            <w:rStyle w:val="Hyperlink"/>
            <w:lang w:eastAsia="zh-CN"/>
          </w:rPr>
          <w:t>C23/62</w:t>
        </w:r>
      </w:hyperlink>
      <w:r w:rsidR="009E0831">
        <w:rPr>
          <w:rStyle w:val="normaltextrun"/>
          <w:rFonts w:cs="Calibri" w:hint="eastAsia"/>
          <w:szCs w:val="24"/>
          <w:lang w:eastAsia="zh-CN"/>
        </w:rPr>
        <w:t>号</w:t>
      </w:r>
      <w:r w:rsidR="001637D8" w:rsidRPr="000C289C">
        <w:rPr>
          <w:rStyle w:val="normaltextrun"/>
          <w:rFonts w:cs="Calibri" w:hint="eastAsia"/>
          <w:szCs w:val="24"/>
          <w:lang w:eastAsia="zh-CN"/>
        </w:rPr>
        <w:t>文件）。由于</w:t>
      </w:r>
      <w:r w:rsidR="009E0831">
        <w:rPr>
          <w:rStyle w:val="normaltextrun"/>
          <w:rFonts w:cs="Calibri" w:hint="eastAsia"/>
          <w:szCs w:val="24"/>
          <w:lang w:eastAsia="zh-CN"/>
        </w:rPr>
        <w:t>可用</w:t>
      </w:r>
      <w:r w:rsidR="001637D8" w:rsidRPr="000C289C">
        <w:rPr>
          <w:rStyle w:val="normaltextrun"/>
          <w:rFonts w:cs="Calibri" w:hint="eastAsia"/>
          <w:szCs w:val="24"/>
          <w:lang w:eastAsia="zh-CN"/>
        </w:rPr>
        <w:t>的资源非常有限，国际电联必须非常注意如何使用这些资源，并重点关注与</w:t>
      </w:r>
      <w:r w:rsidR="001637D8" w:rsidRPr="000C289C">
        <w:rPr>
          <w:rStyle w:val="normaltextrun"/>
          <w:rFonts w:cs="Calibri" w:hint="eastAsia"/>
          <w:szCs w:val="24"/>
          <w:lang w:eastAsia="zh-CN"/>
        </w:rPr>
        <w:t>2030</w:t>
      </w:r>
      <w:r w:rsidR="001637D8" w:rsidRPr="000C289C">
        <w:rPr>
          <w:rStyle w:val="normaltextrun"/>
          <w:rFonts w:cs="Calibri" w:hint="eastAsia"/>
          <w:szCs w:val="24"/>
          <w:lang w:eastAsia="zh-CN"/>
        </w:rPr>
        <w:t>年相关以及对本组织</w:t>
      </w:r>
      <w:r w:rsidR="009E0831">
        <w:rPr>
          <w:rStyle w:val="normaltextrun"/>
          <w:rFonts w:cs="Calibri" w:hint="eastAsia"/>
          <w:szCs w:val="24"/>
          <w:lang w:eastAsia="zh-CN"/>
        </w:rPr>
        <w:t>与时俱进，</w:t>
      </w:r>
      <w:r w:rsidR="009E0831" w:rsidRPr="000C289C">
        <w:rPr>
          <w:rStyle w:val="normaltextrun"/>
          <w:rFonts w:cs="Calibri" w:hint="eastAsia"/>
          <w:szCs w:val="24"/>
          <w:lang w:eastAsia="zh-CN"/>
        </w:rPr>
        <w:t>将人类和技术</w:t>
      </w:r>
      <w:r w:rsidR="009E0831">
        <w:rPr>
          <w:rStyle w:val="normaltextrun"/>
          <w:rFonts w:cs="Calibri" w:hint="eastAsia"/>
          <w:szCs w:val="24"/>
          <w:lang w:eastAsia="zh-CN"/>
        </w:rPr>
        <w:t>统一发展而言</w:t>
      </w:r>
      <w:r w:rsidR="001637D8" w:rsidRPr="000C289C">
        <w:rPr>
          <w:rStyle w:val="normaltextrun"/>
          <w:rFonts w:cs="Calibri" w:hint="eastAsia"/>
          <w:szCs w:val="24"/>
          <w:lang w:eastAsia="zh-CN"/>
        </w:rPr>
        <w:t>最</w:t>
      </w:r>
      <w:r w:rsidR="009E0831">
        <w:rPr>
          <w:rStyle w:val="normaltextrun"/>
          <w:rFonts w:cs="Calibri" w:hint="eastAsia"/>
          <w:szCs w:val="24"/>
          <w:lang w:eastAsia="zh-CN"/>
        </w:rPr>
        <w:t>为</w:t>
      </w:r>
      <w:r w:rsidR="001637D8" w:rsidRPr="000C289C">
        <w:rPr>
          <w:rStyle w:val="normaltextrun"/>
          <w:rFonts w:cs="Calibri" w:hint="eastAsia"/>
          <w:szCs w:val="24"/>
          <w:lang w:eastAsia="zh-CN"/>
        </w:rPr>
        <w:t>重要的内容。</w:t>
      </w:r>
    </w:p>
    <w:p w14:paraId="6C6ED635" w14:textId="77777777" w:rsidR="00BB39BC" w:rsidRDefault="00BB39BC" w:rsidP="0045757E">
      <w:pPr>
        <w:spacing w:before="840"/>
        <w:jc w:val="center"/>
      </w:pPr>
      <w:r>
        <w:t>______________</w:t>
      </w:r>
    </w:p>
    <w:sectPr w:rsidR="00BB39BC"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CA23" w14:textId="77777777" w:rsidR="004A47C8" w:rsidRDefault="004A47C8">
      <w:r>
        <w:separator/>
      </w:r>
    </w:p>
  </w:endnote>
  <w:endnote w:type="continuationSeparator" w:id="0">
    <w:p w14:paraId="4B61BD29" w14:textId="77777777" w:rsidR="004A47C8" w:rsidRDefault="004A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35C115D" w14:textId="77777777" w:rsidTr="00E31DCE">
      <w:trPr>
        <w:jc w:val="center"/>
      </w:trPr>
      <w:tc>
        <w:tcPr>
          <w:tcW w:w="1803" w:type="dxa"/>
          <w:vAlign w:val="center"/>
        </w:tcPr>
        <w:p w14:paraId="56E236D8" w14:textId="2EB6504C" w:rsidR="00E24D59" w:rsidRDefault="000D04FD" w:rsidP="00E24D59">
          <w:pPr>
            <w:pStyle w:val="Header"/>
            <w:jc w:val="left"/>
            <w:rPr>
              <w:noProof/>
            </w:rPr>
          </w:pPr>
          <w:r>
            <w:rPr>
              <w:noProof/>
            </w:rPr>
            <w:t>DPS 52</w:t>
          </w:r>
          <w:r w:rsidR="008D4C2E">
            <w:rPr>
              <w:noProof/>
            </w:rPr>
            <w:t>1070</w:t>
          </w:r>
        </w:p>
      </w:tc>
      <w:tc>
        <w:tcPr>
          <w:tcW w:w="8261" w:type="dxa"/>
        </w:tcPr>
        <w:p w14:paraId="3F5ECFF0" w14:textId="2F84344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0D04FD">
            <w:rPr>
              <w:bCs/>
            </w:rPr>
            <w:t>/</w:t>
          </w:r>
          <w:r w:rsidR="008D4C2E">
            <w:rPr>
              <w:bCs/>
            </w:rPr>
            <w:t>36</w:t>
          </w:r>
          <w:r w:rsidRPr="00623AE3">
            <w:rPr>
              <w:bCs/>
            </w:rPr>
            <w:t>-</w:t>
          </w:r>
          <w:r>
            <w:rPr>
              <w:bCs/>
            </w:rPr>
            <w:t>C</w:t>
          </w:r>
          <w:r>
            <w:rPr>
              <w:bCs/>
            </w:rPr>
            <w:tab/>
          </w:r>
          <w:r>
            <w:fldChar w:fldCharType="begin"/>
          </w:r>
          <w:r>
            <w:instrText>PAGE</w:instrText>
          </w:r>
          <w:r>
            <w:fldChar w:fldCharType="separate"/>
          </w:r>
          <w:r w:rsidR="00235EE9">
            <w:rPr>
              <w:noProof/>
            </w:rPr>
            <w:t>2</w:t>
          </w:r>
          <w:r>
            <w:rPr>
              <w:noProof/>
            </w:rPr>
            <w:fldChar w:fldCharType="end"/>
          </w:r>
        </w:p>
      </w:tc>
    </w:tr>
  </w:tbl>
  <w:p w14:paraId="6E12FB31" w14:textId="77777777" w:rsidR="00B40A53" w:rsidRDefault="00B40A53" w:rsidP="00E24D59">
    <w:pPr>
      <w:pStyle w:val="Footer"/>
    </w:pPr>
  </w:p>
  <w:p w14:paraId="08C5211C" w14:textId="3AE09104" w:rsidR="00157055" w:rsidRPr="00E24D59" w:rsidRDefault="0055227B" w:rsidP="00157055">
    <w:pPr>
      <w:pStyle w:val="Footer"/>
    </w:pPr>
    <w:r w:rsidRPr="0045757E">
      <w:rPr>
        <w:color w:val="F2F2F2" w:themeColor="background1" w:themeShade="F2"/>
      </w:rPr>
      <w:fldChar w:fldCharType="begin"/>
    </w:r>
    <w:r w:rsidRPr="0045757E">
      <w:rPr>
        <w:color w:val="F2F2F2" w:themeColor="background1" w:themeShade="F2"/>
      </w:rPr>
      <w:instrText xml:space="preserve"> FILENAME \p  \* MERGEFORMAT </w:instrText>
    </w:r>
    <w:r w:rsidRPr="0045757E">
      <w:rPr>
        <w:color w:val="F2F2F2" w:themeColor="background1" w:themeShade="F2"/>
      </w:rPr>
      <w:fldChar w:fldCharType="separate"/>
    </w:r>
    <w:r w:rsidR="008D4C2E" w:rsidRPr="0045757E">
      <w:rPr>
        <w:color w:val="F2F2F2" w:themeColor="background1" w:themeShade="F2"/>
      </w:rPr>
      <w:t>P:\CHI\SG\CONSEIL\C23\000\036C.docx</w:t>
    </w:r>
    <w:r w:rsidRPr="0045757E">
      <w:rPr>
        <w:color w:val="F2F2F2" w:themeColor="background1" w:themeShade="F2"/>
      </w:rPr>
      <w:fldChar w:fldCharType="end"/>
    </w:r>
    <w:r w:rsidR="00157055" w:rsidRPr="0045757E">
      <w:rPr>
        <w:color w:val="F2F2F2" w:themeColor="background1" w:themeShade="F2"/>
      </w:rPr>
      <w:t xml:space="preserve"> (52</w:t>
    </w:r>
    <w:r w:rsidR="008D4C2E" w:rsidRPr="0045757E">
      <w:rPr>
        <w:color w:val="F2F2F2" w:themeColor="background1" w:themeShade="F2"/>
      </w:rPr>
      <w:t>1070</w:t>
    </w:r>
    <w:r w:rsidR="00157055" w:rsidRPr="0045757E">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03C54F" w14:textId="77777777" w:rsidTr="00E31DCE">
      <w:trPr>
        <w:jc w:val="center"/>
      </w:trPr>
      <w:tc>
        <w:tcPr>
          <w:tcW w:w="1803" w:type="dxa"/>
          <w:vAlign w:val="center"/>
        </w:tcPr>
        <w:p w14:paraId="371F26BA" w14:textId="77777777" w:rsidR="00E24D59" w:rsidRDefault="0055227B" w:rsidP="00E24D59">
          <w:pPr>
            <w:pStyle w:val="Header"/>
            <w:jc w:val="left"/>
            <w:rPr>
              <w:noProof/>
            </w:rPr>
          </w:pPr>
          <w:hyperlink r:id="rId1" w:history="1">
            <w:r w:rsidR="00E24D59" w:rsidRPr="00A514A4">
              <w:rPr>
                <w:rStyle w:val="Hyperlink"/>
                <w:szCs w:val="14"/>
              </w:rPr>
              <w:t>www.itu.int/council</w:t>
            </w:r>
          </w:hyperlink>
        </w:p>
      </w:tc>
      <w:tc>
        <w:tcPr>
          <w:tcW w:w="8261" w:type="dxa"/>
        </w:tcPr>
        <w:p w14:paraId="411D6DA2" w14:textId="7FE4A20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0D04FD">
            <w:rPr>
              <w:bCs/>
            </w:rPr>
            <w:t>/</w:t>
          </w:r>
          <w:r w:rsidR="00950310">
            <w:rPr>
              <w:bCs/>
            </w:rPr>
            <w:t>36</w:t>
          </w:r>
          <w:r w:rsidRPr="00623AE3">
            <w:rPr>
              <w:bCs/>
            </w:rPr>
            <w:t>-</w:t>
          </w:r>
          <w:r>
            <w:rPr>
              <w:bCs/>
            </w:rPr>
            <w:t>C</w:t>
          </w:r>
          <w:r>
            <w:rPr>
              <w:bCs/>
            </w:rPr>
            <w:tab/>
          </w:r>
          <w:r>
            <w:fldChar w:fldCharType="begin"/>
          </w:r>
          <w:r>
            <w:instrText>PAGE</w:instrText>
          </w:r>
          <w:r>
            <w:fldChar w:fldCharType="separate"/>
          </w:r>
          <w:r w:rsidR="00235EE9">
            <w:rPr>
              <w:noProof/>
            </w:rPr>
            <w:t>1</w:t>
          </w:r>
          <w:r>
            <w:rPr>
              <w:noProof/>
            </w:rPr>
            <w:fldChar w:fldCharType="end"/>
          </w:r>
        </w:p>
      </w:tc>
    </w:tr>
  </w:tbl>
  <w:p w14:paraId="64DFCCCE" w14:textId="50C79BA4" w:rsidR="00157055" w:rsidRPr="00E24D59" w:rsidRDefault="00157055" w:rsidP="0015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071F" w14:textId="77777777" w:rsidR="004A47C8" w:rsidRDefault="004A47C8">
      <w:r>
        <w:t>____________________</w:t>
      </w:r>
    </w:p>
  </w:footnote>
  <w:footnote w:type="continuationSeparator" w:id="0">
    <w:p w14:paraId="438D9A99" w14:textId="77777777" w:rsidR="004A47C8" w:rsidRDefault="004A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BEA9" w14:textId="77777777" w:rsidTr="00E31DCE">
      <w:trPr>
        <w:trHeight w:val="1104"/>
        <w:jc w:val="center"/>
      </w:trPr>
      <w:tc>
        <w:tcPr>
          <w:tcW w:w="4390" w:type="dxa"/>
          <w:vAlign w:val="center"/>
        </w:tcPr>
        <w:p w14:paraId="2AF38BE8" w14:textId="77777777" w:rsidR="00E24D59" w:rsidRPr="009621F8" w:rsidRDefault="00E24D59" w:rsidP="00E24D59">
          <w:pPr>
            <w:pStyle w:val="Header"/>
            <w:jc w:val="left"/>
            <w:rPr>
              <w:rFonts w:ascii="Arial" w:hAnsi="Arial" w:cs="Arial"/>
              <w:b/>
              <w:bCs/>
              <w:color w:val="009CD6"/>
              <w:sz w:val="36"/>
              <w:szCs w:val="36"/>
            </w:rPr>
          </w:pPr>
          <w:bookmarkStart w:id="17" w:name="_Hlk133422111"/>
          <w:r>
            <w:rPr>
              <w:noProof/>
              <w:lang w:val="en-US" w:eastAsia="zh-CN"/>
            </w:rPr>
            <w:drawing>
              <wp:inline distT="0" distB="0" distL="0" distR="0" wp14:anchorId="3E178566" wp14:editId="27655C5E">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C4B08F7" w14:textId="77777777" w:rsidR="00E24D59" w:rsidRDefault="00E24D59" w:rsidP="00E24D59">
          <w:pPr>
            <w:pStyle w:val="Header"/>
            <w:jc w:val="right"/>
            <w:rPr>
              <w:rFonts w:ascii="Arial" w:hAnsi="Arial" w:cs="Arial"/>
              <w:b/>
              <w:bCs/>
              <w:color w:val="009CD6"/>
              <w:szCs w:val="18"/>
            </w:rPr>
          </w:pPr>
        </w:p>
        <w:p w14:paraId="45A3C2B9" w14:textId="77777777" w:rsidR="00E24D59" w:rsidRDefault="00E24D59" w:rsidP="00E24D59">
          <w:pPr>
            <w:pStyle w:val="Header"/>
            <w:jc w:val="right"/>
            <w:rPr>
              <w:rFonts w:ascii="Arial" w:hAnsi="Arial" w:cs="Arial"/>
              <w:b/>
              <w:bCs/>
              <w:color w:val="009CD6"/>
              <w:szCs w:val="18"/>
            </w:rPr>
          </w:pPr>
        </w:p>
        <w:p w14:paraId="367208A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56BC3FBF"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76955278" wp14:editId="5989BB0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8D7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A7931"/>
    <w:multiLevelType w:val="hybridMultilevel"/>
    <w:tmpl w:val="617EB39A"/>
    <w:lvl w:ilvl="0" w:tplc="446C5B2A">
      <w:start w:val="1"/>
      <w:numFmt w:val="bullet"/>
      <w:lvlText w:val=""/>
      <w:lvlJc w:val="left"/>
      <w:pPr>
        <w:ind w:left="720" w:hanging="360"/>
      </w:pPr>
      <w:rPr>
        <w:rFonts w:ascii="Symbol" w:hAnsi="Symbol" w:hint="default"/>
      </w:rPr>
    </w:lvl>
    <w:lvl w:ilvl="1" w:tplc="EEEA4CE4" w:tentative="1">
      <w:start w:val="1"/>
      <w:numFmt w:val="bullet"/>
      <w:lvlText w:val="o"/>
      <w:lvlJc w:val="left"/>
      <w:pPr>
        <w:ind w:left="1440" w:hanging="360"/>
      </w:pPr>
      <w:rPr>
        <w:rFonts w:ascii="Courier New" w:hAnsi="Courier New" w:cs="Courier New" w:hint="default"/>
      </w:rPr>
    </w:lvl>
    <w:lvl w:ilvl="2" w:tplc="1C28B286" w:tentative="1">
      <w:start w:val="1"/>
      <w:numFmt w:val="bullet"/>
      <w:lvlText w:val=""/>
      <w:lvlJc w:val="left"/>
      <w:pPr>
        <w:ind w:left="2160" w:hanging="360"/>
      </w:pPr>
      <w:rPr>
        <w:rFonts w:ascii="Wingdings" w:hAnsi="Wingdings" w:hint="default"/>
      </w:rPr>
    </w:lvl>
    <w:lvl w:ilvl="3" w:tplc="65587C8A" w:tentative="1">
      <w:start w:val="1"/>
      <w:numFmt w:val="bullet"/>
      <w:lvlText w:val=""/>
      <w:lvlJc w:val="left"/>
      <w:pPr>
        <w:ind w:left="2880" w:hanging="360"/>
      </w:pPr>
      <w:rPr>
        <w:rFonts w:ascii="Symbol" w:hAnsi="Symbol" w:hint="default"/>
      </w:rPr>
    </w:lvl>
    <w:lvl w:ilvl="4" w:tplc="5EAEAADA" w:tentative="1">
      <w:start w:val="1"/>
      <w:numFmt w:val="bullet"/>
      <w:lvlText w:val="o"/>
      <w:lvlJc w:val="left"/>
      <w:pPr>
        <w:ind w:left="3600" w:hanging="360"/>
      </w:pPr>
      <w:rPr>
        <w:rFonts w:ascii="Courier New" w:hAnsi="Courier New" w:cs="Courier New" w:hint="default"/>
      </w:rPr>
    </w:lvl>
    <w:lvl w:ilvl="5" w:tplc="E6A00444" w:tentative="1">
      <w:start w:val="1"/>
      <w:numFmt w:val="bullet"/>
      <w:lvlText w:val=""/>
      <w:lvlJc w:val="left"/>
      <w:pPr>
        <w:ind w:left="4320" w:hanging="360"/>
      </w:pPr>
      <w:rPr>
        <w:rFonts w:ascii="Wingdings" w:hAnsi="Wingdings" w:hint="default"/>
      </w:rPr>
    </w:lvl>
    <w:lvl w:ilvl="6" w:tplc="E70C46CA" w:tentative="1">
      <w:start w:val="1"/>
      <w:numFmt w:val="bullet"/>
      <w:lvlText w:val=""/>
      <w:lvlJc w:val="left"/>
      <w:pPr>
        <w:ind w:left="5040" w:hanging="360"/>
      </w:pPr>
      <w:rPr>
        <w:rFonts w:ascii="Symbol" w:hAnsi="Symbol" w:hint="default"/>
      </w:rPr>
    </w:lvl>
    <w:lvl w:ilvl="7" w:tplc="0D7003A4" w:tentative="1">
      <w:start w:val="1"/>
      <w:numFmt w:val="bullet"/>
      <w:lvlText w:val="o"/>
      <w:lvlJc w:val="left"/>
      <w:pPr>
        <w:ind w:left="5760" w:hanging="360"/>
      </w:pPr>
      <w:rPr>
        <w:rFonts w:ascii="Courier New" w:hAnsi="Courier New" w:cs="Courier New" w:hint="default"/>
      </w:rPr>
    </w:lvl>
    <w:lvl w:ilvl="8" w:tplc="10B65D00"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682A5E"/>
    <w:multiLevelType w:val="hybridMultilevel"/>
    <w:tmpl w:val="90CEC61C"/>
    <w:lvl w:ilvl="0" w:tplc="B5200AF4">
      <w:start w:val="1"/>
      <w:numFmt w:val="decimal"/>
      <w:lvlText w:val="%1."/>
      <w:lvlJc w:val="left"/>
      <w:pPr>
        <w:ind w:left="1080" w:hanging="720"/>
      </w:pPr>
      <w:rPr>
        <w:rFonts w:hint="default"/>
      </w:rPr>
    </w:lvl>
    <w:lvl w:ilvl="1" w:tplc="9EEEB530">
      <w:start w:val="1"/>
      <w:numFmt w:val="bullet"/>
      <w:lvlText w:val=""/>
      <w:lvlJc w:val="left"/>
      <w:pPr>
        <w:ind w:left="1440" w:hanging="360"/>
      </w:pPr>
      <w:rPr>
        <w:rFonts w:ascii="Symbol" w:hAnsi="Symbol" w:hint="default"/>
      </w:rPr>
    </w:lvl>
    <w:lvl w:ilvl="2" w:tplc="A4DE761C" w:tentative="1">
      <w:start w:val="1"/>
      <w:numFmt w:val="lowerRoman"/>
      <w:lvlText w:val="%3."/>
      <w:lvlJc w:val="right"/>
      <w:pPr>
        <w:ind w:left="2160" w:hanging="180"/>
      </w:pPr>
    </w:lvl>
    <w:lvl w:ilvl="3" w:tplc="7054D2D2" w:tentative="1">
      <w:start w:val="1"/>
      <w:numFmt w:val="decimal"/>
      <w:lvlText w:val="%4."/>
      <w:lvlJc w:val="left"/>
      <w:pPr>
        <w:ind w:left="2880" w:hanging="360"/>
      </w:pPr>
    </w:lvl>
    <w:lvl w:ilvl="4" w:tplc="4FE80498" w:tentative="1">
      <w:start w:val="1"/>
      <w:numFmt w:val="lowerLetter"/>
      <w:lvlText w:val="%5."/>
      <w:lvlJc w:val="left"/>
      <w:pPr>
        <w:ind w:left="3600" w:hanging="360"/>
      </w:pPr>
    </w:lvl>
    <w:lvl w:ilvl="5" w:tplc="8872E7D2" w:tentative="1">
      <w:start w:val="1"/>
      <w:numFmt w:val="lowerRoman"/>
      <w:lvlText w:val="%6."/>
      <w:lvlJc w:val="right"/>
      <w:pPr>
        <w:ind w:left="4320" w:hanging="180"/>
      </w:pPr>
    </w:lvl>
    <w:lvl w:ilvl="6" w:tplc="0BB43F2E" w:tentative="1">
      <w:start w:val="1"/>
      <w:numFmt w:val="decimal"/>
      <w:lvlText w:val="%7."/>
      <w:lvlJc w:val="left"/>
      <w:pPr>
        <w:ind w:left="5040" w:hanging="360"/>
      </w:pPr>
    </w:lvl>
    <w:lvl w:ilvl="7" w:tplc="3EF0FA00" w:tentative="1">
      <w:start w:val="1"/>
      <w:numFmt w:val="lowerLetter"/>
      <w:lvlText w:val="%8."/>
      <w:lvlJc w:val="left"/>
      <w:pPr>
        <w:ind w:left="5760" w:hanging="360"/>
      </w:pPr>
    </w:lvl>
    <w:lvl w:ilvl="8" w:tplc="68028232" w:tentative="1">
      <w:start w:val="1"/>
      <w:numFmt w:val="lowerRoman"/>
      <w:lvlText w:val="%9."/>
      <w:lvlJc w:val="right"/>
      <w:pPr>
        <w:ind w:left="648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5899977">
    <w:abstractNumId w:val="0"/>
  </w:num>
  <w:num w:numId="2" w16cid:durableId="1699888138">
    <w:abstractNumId w:val="3"/>
  </w:num>
  <w:num w:numId="3" w16cid:durableId="309671546">
    <w:abstractNumId w:val="4"/>
  </w:num>
  <w:num w:numId="4" w16cid:durableId="169413445">
    <w:abstractNumId w:val="6"/>
  </w:num>
  <w:num w:numId="5" w16cid:durableId="536697192">
    <w:abstractNumId w:val="8"/>
  </w:num>
  <w:num w:numId="6" w16cid:durableId="112599511">
    <w:abstractNumId w:val="7"/>
  </w:num>
  <w:num w:numId="7" w16cid:durableId="1841574963">
    <w:abstractNumId w:val="2"/>
  </w:num>
  <w:num w:numId="8" w16cid:durableId="1788307137">
    <w:abstractNumId w:val="5"/>
  </w:num>
  <w:num w:numId="9" w16cid:durableId="186864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8F"/>
    <w:rsid w:val="00001B77"/>
    <w:rsid w:val="00004A85"/>
    <w:rsid w:val="0000517A"/>
    <w:rsid w:val="00031E72"/>
    <w:rsid w:val="000404D2"/>
    <w:rsid w:val="000853C0"/>
    <w:rsid w:val="0009409E"/>
    <w:rsid w:val="000A1C21"/>
    <w:rsid w:val="000A23C7"/>
    <w:rsid w:val="000C0BC5"/>
    <w:rsid w:val="000C289C"/>
    <w:rsid w:val="000D04FD"/>
    <w:rsid w:val="000D15EA"/>
    <w:rsid w:val="000F4C89"/>
    <w:rsid w:val="000F5256"/>
    <w:rsid w:val="00100D84"/>
    <w:rsid w:val="00103608"/>
    <w:rsid w:val="00124C9D"/>
    <w:rsid w:val="00157055"/>
    <w:rsid w:val="00157773"/>
    <w:rsid w:val="001637D8"/>
    <w:rsid w:val="0018251A"/>
    <w:rsid w:val="00190272"/>
    <w:rsid w:val="00193244"/>
    <w:rsid w:val="00195C6C"/>
    <w:rsid w:val="00195FED"/>
    <w:rsid w:val="001A4BD6"/>
    <w:rsid w:val="001D5A18"/>
    <w:rsid w:val="00217A77"/>
    <w:rsid w:val="00235EE9"/>
    <w:rsid w:val="00250DC8"/>
    <w:rsid w:val="00274E93"/>
    <w:rsid w:val="00280EB8"/>
    <w:rsid w:val="00297B7A"/>
    <w:rsid w:val="002A3012"/>
    <w:rsid w:val="002A6670"/>
    <w:rsid w:val="002D27B6"/>
    <w:rsid w:val="002E0DF6"/>
    <w:rsid w:val="00303502"/>
    <w:rsid w:val="00305AC3"/>
    <w:rsid w:val="00313289"/>
    <w:rsid w:val="00325C25"/>
    <w:rsid w:val="00330371"/>
    <w:rsid w:val="00354C38"/>
    <w:rsid w:val="003657AB"/>
    <w:rsid w:val="00372C8F"/>
    <w:rsid w:val="00380ECE"/>
    <w:rsid w:val="00393DDF"/>
    <w:rsid w:val="00397F55"/>
    <w:rsid w:val="003B4454"/>
    <w:rsid w:val="003C2E37"/>
    <w:rsid w:val="003D308D"/>
    <w:rsid w:val="003E5A71"/>
    <w:rsid w:val="003F1415"/>
    <w:rsid w:val="0040144C"/>
    <w:rsid w:val="00403EB7"/>
    <w:rsid w:val="004161C4"/>
    <w:rsid w:val="00430BF0"/>
    <w:rsid w:val="0045757E"/>
    <w:rsid w:val="004672E6"/>
    <w:rsid w:val="00474ED1"/>
    <w:rsid w:val="00475EAF"/>
    <w:rsid w:val="00493085"/>
    <w:rsid w:val="004A36EC"/>
    <w:rsid w:val="004A47C8"/>
    <w:rsid w:val="004D163F"/>
    <w:rsid w:val="004E4BFF"/>
    <w:rsid w:val="004F2598"/>
    <w:rsid w:val="00536273"/>
    <w:rsid w:val="005403F7"/>
    <w:rsid w:val="00540632"/>
    <w:rsid w:val="00541CF4"/>
    <w:rsid w:val="005451E8"/>
    <w:rsid w:val="005507F2"/>
    <w:rsid w:val="005759CC"/>
    <w:rsid w:val="005A72E1"/>
    <w:rsid w:val="005C6632"/>
    <w:rsid w:val="005D1C9E"/>
    <w:rsid w:val="005E34EB"/>
    <w:rsid w:val="00612DB2"/>
    <w:rsid w:val="00626167"/>
    <w:rsid w:val="00654257"/>
    <w:rsid w:val="0065435A"/>
    <w:rsid w:val="006639CC"/>
    <w:rsid w:val="00674769"/>
    <w:rsid w:val="006A2DD3"/>
    <w:rsid w:val="006A5AF8"/>
    <w:rsid w:val="006C36CD"/>
    <w:rsid w:val="00700D1F"/>
    <w:rsid w:val="007146B8"/>
    <w:rsid w:val="007205CB"/>
    <w:rsid w:val="00726073"/>
    <w:rsid w:val="00734FE8"/>
    <w:rsid w:val="007360CE"/>
    <w:rsid w:val="00772315"/>
    <w:rsid w:val="00775157"/>
    <w:rsid w:val="007813AE"/>
    <w:rsid w:val="007A2778"/>
    <w:rsid w:val="007A37DB"/>
    <w:rsid w:val="007C798A"/>
    <w:rsid w:val="007E189D"/>
    <w:rsid w:val="00811259"/>
    <w:rsid w:val="00813AA2"/>
    <w:rsid w:val="008173A3"/>
    <w:rsid w:val="008418F5"/>
    <w:rsid w:val="0086059C"/>
    <w:rsid w:val="00864589"/>
    <w:rsid w:val="00890AFB"/>
    <w:rsid w:val="00890FC4"/>
    <w:rsid w:val="00895905"/>
    <w:rsid w:val="008D4C2E"/>
    <w:rsid w:val="00911867"/>
    <w:rsid w:val="009164A9"/>
    <w:rsid w:val="009258CB"/>
    <w:rsid w:val="0093362E"/>
    <w:rsid w:val="00944563"/>
    <w:rsid w:val="00950310"/>
    <w:rsid w:val="00953160"/>
    <w:rsid w:val="009625D8"/>
    <w:rsid w:val="009645A5"/>
    <w:rsid w:val="0098459B"/>
    <w:rsid w:val="00997185"/>
    <w:rsid w:val="009C2458"/>
    <w:rsid w:val="009C4A7B"/>
    <w:rsid w:val="009C6123"/>
    <w:rsid w:val="009E0831"/>
    <w:rsid w:val="009F1E3E"/>
    <w:rsid w:val="00A0275F"/>
    <w:rsid w:val="00A1213C"/>
    <w:rsid w:val="00A272FF"/>
    <w:rsid w:val="00A5354B"/>
    <w:rsid w:val="00A60663"/>
    <w:rsid w:val="00A71B57"/>
    <w:rsid w:val="00AB285F"/>
    <w:rsid w:val="00AB42C1"/>
    <w:rsid w:val="00AC2098"/>
    <w:rsid w:val="00AC516F"/>
    <w:rsid w:val="00AE195F"/>
    <w:rsid w:val="00AE2926"/>
    <w:rsid w:val="00AE508B"/>
    <w:rsid w:val="00AF468D"/>
    <w:rsid w:val="00B0184B"/>
    <w:rsid w:val="00B035CD"/>
    <w:rsid w:val="00B0769D"/>
    <w:rsid w:val="00B217F8"/>
    <w:rsid w:val="00B332EA"/>
    <w:rsid w:val="00B40A53"/>
    <w:rsid w:val="00B45365"/>
    <w:rsid w:val="00B46A65"/>
    <w:rsid w:val="00B60184"/>
    <w:rsid w:val="00B62D20"/>
    <w:rsid w:val="00B81E75"/>
    <w:rsid w:val="00B83A0C"/>
    <w:rsid w:val="00BA572F"/>
    <w:rsid w:val="00BB39BC"/>
    <w:rsid w:val="00BD1A5A"/>
    <w:rsid w:val="00BD7A9B"/>
    <w:rsid w:val="00BD7BE1"/>
    <w:rsid w:val="00BF238F"/>
    <w:rsid w:val="00BF416B"/>
    <w:rsid w:val="00C64E4E"/>
    <w:rsid w:val="00C66E64"/>
    <w:rsid w:val="00C761A0"/>
    <w:rsid w:val="00C85F7E"/>
    <w:rsid w:val="00C90D53"/>
    <w:rsid w:val="00CA0B2E"/>
    <w:rsid w:val="00CB2FAE"/>
    <w:rsid w:val="00CD47F0"/>
    <w:rsid w:val="00CD5566"/>
    <w:rsid w:val="00CD64D7"/>
    <w:rsid w:val="00CE6F22"/>
    <w:rsid w:val="00CF41F6"/>
    <w:rsid w:val="00CF7D3E"/>
    <w:rsid w:val="00D02B4E"/>
    <w:rsid w:val="00D05A5E"/>
    <w:rsid w:val="00D1016B"/>
    <w:rsid w:val="00D21F11"/>
    <w:rsid w:val="00D2393D"/>
    <w:rsid w:val="00D36817"/>
    <w:rsid w:val="00D453EE"/>
    <w:rsid w:val="00D5666C"/>
    <w:rsid w:val="00D666BC"/>
    <w:rsid w:val="00D83542"/>
    <w:rsid w:val="00D83612"/>
    <w:rsid w:val="00D840BE"/>
    <w:rsid w:val="00D92F45"/>
    <w:rsid w:val="00D94637"/>
    <w:rsid w:val="00D9725C"/>
    <w:rsid w:val="00DA7006"/>
    <w:rsid w:val="00DB0C88"/>
    <w:rsid w:val="00DB3621"/>
    <w:rsid w:val="00DC1173"/>
    <w:rsid w:val="00DC6427"/>
    <w:rsid w:val="00DD66A1"/>
    <w:rsid w:val="00DE196D"/>
    <w:rsid w:val="00DE3F31"/>
    <w:rsid w:val="00DF0EAB"/>
    <w:rsid w:val="00DF6B49"/>
    <w:rsid w:val="00E067C5"/>
    <w:rsid w:val="00E10F25"/>
    <w:rsid w:val="00E24D59"/>
    <w:rsid w:val="00E265BF"/>
    <w:rsid w:val="00E378D8"/>
    <w:rsid w:val="00E43A12"/>
    <w:rsid w:val="00E67C67"/>
    <w:rsid w:val="00E77476"/>
    <w:rsid w:val="00E8228B"/>
    <w:rsid w:val="00E86130"/>
    <w:rsid w:val="00EB67BA"/>
    <w:rsid w:val="00EB6BD7"/>
    <w:rsid w:val="00EE5706"/>
    <w:rsid w:val="00EF373D"/>
    <w:rsid w:val="00F11595"/>
    <w:rsid w:val="00F13BC9"/>
    <w:rsid w:val="00F16D0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345D5"/>
  <w15:docId w15:val="{D6EC3F44-5FA4-4B47-8826-0B62880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normaltextrun">
    <w:name w:val="normaltextrun"/>
    <w:basedOn w:val="DefaultParagraphFont"/>
    <w:rsid w:val="000D04FD"/>
  </w:style>
  <w:style w:type="character" w:styleId="UnresolvedMention">
    <w:name w:val="Unresolved Mention"/>
    <w:basedOn w:val="DefaultParagraphFont"/>
    <w:uiPriority w:val="99"/>
    <w:semiHidden/>
    <w:unhideWhenUsed/>
    <w:rsid w:val="0035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4672792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C.pdf" TargetMode="External"/><Relationship Id="rId13" Type="http://schemas.openxmlformats.org/officeDocument/2006/relationships/hyperlink" Target="https://www.itu.int/md/S23-CL-C-006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05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1-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L-C-006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52/en" TargetMode="External"/><Relationship Id="rId14" Type="http://schemas.openxmlformats.org/officeDocument/2006/relationships/hyperlink" Target="https://www.itu.int/md/S23-CL-C-006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FCCE-17AC-4067-AD2E-6036D4F4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3131</Words>
  <Characters>830</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Accelerating the implementation of the ITU strategic plan 2024-2027</dc:title>
  <dc:subject>Council 2023</dc:subject>
  <dc:creator>lzq</dc:creator>
  <cp:keywords>C2023, C23, Council-23</cp:keywords>
  <dc:description/>
  <cp:lastModifiedBy>Xue, Kun</cp:lastModifiedBy>
  <cp:revision>5</cp:revision>
  <cp:lastPrinted>2015-02-24T13:23:00Z</cp:lastPrinted>
  <dcterms:created xsi:type="dcterms:W3CDTF">2023-06-26T16:04:00Z</dcterms:created>
  <dcterms:modified xsi:type="dcterms:W3CDTF">2023-06-26T16:06:00Z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