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4115DB6D" w14:textId="77777777" w:rsidTr="00C538FC">
        <w:trPr>
          <w:cantSplit/>
          <w:trHeight w:val="23"/>
        </w:trPr>
        <w:tc>
          <w:tcPr>
            <w:tcW w:w="3969" w:type="dxa"/>
            <w:vMerge w:val="restart"/>
            <w:tcMar>
              <w:left w:w="0" w:type="dxa"/>
            </w:tcMar>
          </w:tcPr>
          <w:p w14:paraId="5799E5E6" w14:textId="5ABB0C89" w:rsidR="00FE57F6" w:rsidRPr="00E85629" w:rsidRDefault="00C945E3" w:rsidP="00C538FC">
            <w:pPr>
              <w:tabs>
                <w:tab w:val="left" w:pos="851"/>
              </w:tabs>
              <w:spacing w:before="0" w:line="240" w:lineRule="atLeast"/>
              <w:rPr>
                <w:b/>
              </w:rPr>
            </w:pPr>
            <w:bookmarkStart w:id="0" w:name="_Hlk133421839"/>
            <w:r w:rsidRPr="00C945E3">
              <w:rPr>
                <w:b/>
              </w:rPr>
              <w:t>Punto del orden del día: ADM 1</w:t>
            </w:r>
          </w:p>
        </w:tc>
        <w:tc>
          <w:tcPr>
            <w:tcW w:w="5245" w:type="dxa"/>
          </w:tcPr>
          <w:p w14:paraId="46157AD3" w14:textId="52C11729"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C945E3">
              <w:rPr>
                <w:b/>
              </w:rPr>
              <w:t>34</w:t>
            </w:r>
            <w:r>
              <w:rPr>
                <w:b/>
              </w:rPr>
              <w:t>-</w:t>
            </w:r>
            <w:r w:rsidR="00F24B71">
              <w:rPr>
                <w:b/>
              </w:rPr>
              <w:t>S</w:t>
            </w:r>
          </w:p>
        </w:tc>
      </w:tr>
      <w:tr w:rsidR="00FE57F6" w:rsidRPr="00813E5E" w14:paraId="59056DF6" w14:textId="77777777" w:rsidTr="00C538FC">
        <w:trPr>
          <w:cantSplit/>
        </w:trPr>
        <w:tc>
          <w:tcPr>
            <w:tcW w:w="3969" w:type="dxa"/>
            <w:vMerge/>
          </w:tcPr>
          <w:p w14:paraId="7E8FB837" w14:textId="77777777" w:rsidR="00FE57F6" w:rsidRPr="00813E5E" w:rsidRDefault="00FE57F6" w:rsidP="00C538FC">
            <w:pPr>
              <w:tabs>
                <w:tab w:val="left" w:pos="851"/>
              </w:tabs>
              <w:spacing w:line="240" w:lineRule="atLeast"/>
              <w:rPr>
                <w:b/>
              </w:rPr>
            </w:pPr>
          </w:p>
        </w:tc>
        <w:tc>
          <w:tcPr>
            <w:tcW w:w="5245" w:type="dxa"/>
          </w:tcPr>
          <w:p w14:paraId="6A9B0B17" w14:textId="7555CD68" w:rsidR="00FE57F6" w:rsidRPr="00E85629" w:rsidRDefault="00C945E3" w:rsidP="00C538FC">
            <w:pPr>
              <w:tabs>
                <w:tab w:val="left" w:pos="851"/>
              </w:tabs>
              <w:spacing w:before="0"/>
              <w:jc w:val="right"/>
              <w:rPr>
                <w:b/>
              </w:rPr>
            </w:pPr>
            <w:r w:rsidRPr="00C945E3">
              <w:rPr>
                <w:b/>
              </w:rPr>
              <w:t>16 de mayo de 2023</w:t>
            </w:r>
          </w:p>
        </w:tc>
      </w:tr>
      <w:tr w:rsidR="00FE57F6" w:rsidRPr="00F24B71" w14:paraId="028E21AA" w14:textId="77777777" w:rsidTr="00C538FC">
        <w:trPr>
          <w:cantSplit/>
          <w:trHeight w:val="23"/>
        </w:trPr>
        <w:tc>
          <w:tcPr>
            <w:tcW w:w="3969" w:type="dxa"/>
            <w:vMerge/>
          </w:tcPr>
          <w:p w14:paraId="405852D4" w14:textId="77777777" w:rsidR="00FE57F6" w:rsidRPr="00813E5E" w:rsidRDefault="00FE57F6" w:rsidP="00C538FC">
            <w:pPr>
              <w:tabs>
                <w:tab w:val="left" w:pos="851"/>
              </w:tabs>
              <w:spacing w:line="240" w:lineRule="atLeast"/>
              <w:rPr>
                <w:b/>
              </w:rPr>
            </w:pPr>
          </w:p>
        </w:tc>
        <w:tc>
          <w:tcPr>
            <w:tcW w:w="5245" w:type="dxa"/>
          </w:tcPr>
          <w:p w14:paraId="176E6E67" w14:textId="77777777" w:rsidR="00FE57F6" w:rsidRPr="00F24B71" w:rsidRDefault="00F24B71" w:rsidP="00C538FC">
            <w:pPr>
              <w:tabs>
                <w:tab w:val="left" w:pos="851"/>
              </w:tabs>
              <w:spacing w:before="0" w:line="240" w:lineRule="atLeast"/>
              <w:jc w:val="right"/>
              <w:rPr>
                <w:b/>
                <w:bCs/>
              </w:rPr>
            </w:pPr>
            <w:proofErr w:type="gramStart"/>
            <w:r w:rsidRPr="00F24B71">
              <w:rPr>
                <w:rFonts w:cstheme="minorHAnsi"/>
                <w:b/>
                <w:bCs/>
                <w:lang w:val="fr-CH"/>
              </w:rPr>
              <w:t>Original:</w:t>
            </w:r>
            <w:proofErr w:type="gramEnd"/>
            <w:r w:rsidRPr="00F24B71">
              <w:rPr>
                <w:rFonts w:cstheme="minorHAnsi"/>
                <w:b/>
                <w:bCs/>
                <w:lang w:val="fr-CH"/>
              </w:rPr>
              <w:t xml:space="preserve"> </w:t>
            </w:r>
            <w:proofErr w:type="spellStart"/>
            <w:r w:rsidRPr="00F24B71">
              <w:rPr>
                <w:rFonts w:cstheme="minorHAnsi"/>
                <w:b/>
                <w:bCs/>
                <w:lang w:val="fr-CH"/>
              </w:rPr>
              <w:t>inglés</w:t>
            </w:r>
            <w:proofErr w:type="spellEnd"/>
          </w:p>
        </w:tc>
      </w:tr>
      <w:tr w:rsidR="00FE57F6" w:rsidRPr="00813E5E" w14:paraId="29065ECD" w14:textId="77777777" w:rsidTr="00C538FC">
        <w:trPr>
          <w:cantSplit/>
          <w:trHeight w:val="23"/>
        </w:trPr>
        <w:tc>
          <w:tcPr>
            <w:tcW w:w="3969" w:type="dxa"/>
          </w:tcPr>
          <w:p w14:paraId="21AE2BBC" w14:textId="77777777" w:rsidR="00FE57F6" w:rsidRPr="00813E5E" w:rsidRDefault="00FE57F6" w:rsidP="00C538FC">
            <w:pPr>
              <w:tabs>
                <w:tab w:val="left" w:pos="851"/>
              </w:tabs>
              <w:spacing w:line="240" w:lineRule="atLeast"/>
              <w:rPr>
                <w:b/>
              </w:rPr>
            </w:pPr>
          </w:p>
        </w:tc>
        <w:tc>
          <w:tcPr>
            <w:tcW w:w="5245" w:type="dxa"/>
          </w:tcPr>
          <w:p w14:paraId="31D08EE3" w14:textId="77777777" w:rsidR="00FE57F6" w:rsidRDefault="00FE57F6" w:rsidP="00C538FC">
            <w:pPr>
              <w:tabs>
                <w:tab w:val="left" w:pos="851"/>
              </w:tabs>
              <w:spacing w:before="0" w:line="240" w:lineRule="atLeast"/>
              <w:jc w:val="right"/>
              <w:rPr>
                <w:b/>
              </w:rPr>
            </w:pPr>
          </w:p>
        </w:tc>
      </w:tr>
      <w:tr w:rsidR="00FE57F6" w:rsidRPr="00FE57F6" w14:paraId="7B04BD7E" w14:textId="77777777" w:rsidTr="00C538FC">
        <w:trPr>
          <w:cantSplit/>
        </w:trPr>
        <w:tc>
          <w:tcPr>
            <w:tcW w:w="9214" w:type="dxa"/>
            <w:gridSpan w:val="2"/>
            <w:tcMar>
              <w:left w:w="0" w:type="dxa"/>
            </w:tcMar>
          </w:tcPr>
          <w:p w14:paraId="746FAB1F" w14:textId="40C8ECCF" w:rsidR="00FE57F6" w:rsidRPr="00C945E3" w:rsidRDefault="00F24B71" w:rsidP="00C538FC">
            <w:pPr>
              <w:pStyle w:val="Source"/>
              <w:jc w:val="left"/>
              <w:rPr>
                <w:sz w:val="34"/>
                <w:szCs w:val="34"/>
                <w:lang w:val="es-ES"/>
              </w:rPr>
            </w:pPr>
            <w:r w:rsidRPr="00C538FC">
              <w:rPr>
                <w:rFonts w:cstheme="minorHAnsi"/>
                <w:sz w:val="34"/>
                <w:szCs w:val="34"/>
              </w:rPr>
              <w:t>Informe de</w:t>
            </w:r>
            <w:r w:rsidR="00C945E3">
              <w:rPr>
                <w:rFonts w:cstheme="minorHAnsi"/>
                <w:sz w:val="34"/>
                <w:szCs w:val="34"/>
              </w:rPr>
              <w:t xml:space="preserve"> </w:t>
            </w:r>
            <w:r w:rsidRPr="00C538FC">
              <w:rPr>
                <w:rFonts w:cstheme="minorHAnsi"/>
                <w:sz w:val="34"/>
                <w:szCs w:val="34"/>
              </w:rPr>
              <w:t>l</w:t>
            </w:r>
            <w:r w:rsidR="00C945E3">
              <w:rPr>
                <w:rFonts w:cstheme="minorHAnsi"/>
                <w:sz w:val="34"/>
                <w:szCs w:val="34"/>
              </w:rPr>
              <w:t>a</w:t>
            </w:r>
            <w:r w:rsidRPr="00C538FC">
              <w:rPr>
                <w:rFonts w:cstheme="minorHAnsi"/>
                <w:sz w:val="34"/>
                <w:szCs w:val="34"/>
              </w:rPr>
              <w:t xml:space="preserve"> </w:t>
            </w:r>
            <w:proofErr w:type="gramStart"/>
            <w:r w:rsidRPr="00C538FC">
              <w:rPr>
                <w:rFonts w:cstheme="minorHAnsi"/>
                <w:sz w:val="34"/>
                <w:szCs w:val="34"/>
              </w:rPr>
              <w:t>Secretari</w:t>
            </w:r>
            <w:r w:rsidR="00C945E3">
              <w:rPr>
                <w:rFonts w:cstheme="minorHAnsi"/>
                <w:sz w:val="34"/>
                <w:szCs w:val="34"/>
              </w:rPr>
              <w:t>a</w:t>
            </w:r>
            <w:r w:rsidRPr="00C538FC">
              <w:rPr>
                <w:rFonts w:cstheme="minorHAnsi"/>
                <w:sz w:val="34"/>
                <w:szCs w:val="34"/>
              </w:rPr>
              <w:t xml:space="preserve"> General</w:t>
            </w:r>
            <w:proofErr w:type="gramEnd"/>
          </w:p>
        </w:tc>
      </w:tr>
      <w:tr w:rsidR="00FE57F6" w:rsidRPr="00813E5E" w14:paraId="49D8F14B" w14:textId="77777777" w:rsidTr="00C538FC">
        <w:trPr>
          <w:cantSplit/>
        </w:trPr>
        <w:tc>
          <w:tcPr>
            <w:tcW w:w="9214" w:type="dxa"/>
            <w:gridSpan w:val="2"/>
            <w:tcMar>
              <w:left w:w="0" w:type="dxa"/>
            </w:tcMar>
          </w:tcPr>
          <w:p w14:paraId="7FE68713" w14:textId="0DC25A96" w:rsidR="00FE57F6" w:rsidRPr="00C945E3" w:rsidRDefault="00C945E3" w:rsidP="00C945E3">
            <w:pPr>
              <w:pStyle w:val="Subtitle"/>
              <w:framePr w:hSpace="0" w:wrap="auto" w:hAnchor="text" w:xAlign="left" w:yAlign="inline"/>
              <w:rPr>
                <w:lang w:val="es-ES"/>
              </w:rPr>
            </w:pPr>
            <w:r w:rsidRPr="00C945E3">
              <w:rPr>
                <w:lang w:val="es-ES"/>
              </w:rPr>
              <w:t>FONDO PARA EL DESARROLLO DE LAS TECNOLOGÍAS DE</w:t>
            </w:r>
            <w:r w:rsidRPr="00C945E3">
              <w:rPr>
                <w:lang w:val="es-ES"/>
              </w:rPr>
              <w:br/>
              <w:t>LA INFORMACIÓN Y LA COMUNICACIÓN (FD-TIC)</w:t>
            </w:r>
          </w:p>
        </w:tc>
      </w:tr>
      <w:tr w:rsidR="00FE57F6" w:rsidRPr="00813E5E" w14:paraId="6475AA80" w14:textId="77777777" w:rsidTr="00C538FC">
        <w:trPr>
          <w:cantSplit/>
        </w:trPr>
        <w:tc>
          <w:tcPr>
            <w:tcW w:w="9214" w:type="dxa"/>
            <w:gridSpan w:val="2"/>
            <w:tcBorders>
              <w:top w:val="single" w:sz="4" w:space="0" w:color="auto"/>
              <w:bottom w:val="single" w:sz="4" w:space="0" w:color="auto"/>
            </w:tcBorders>
            <w:tcMar>
              <w:left w:w="0" w:type="dxa"/>
            </w:tcMar>
          </w:tcPr>
          <w:p w14:paraId="22AD9ACC" w14:textId="3CAC5AF2" w:rsidR="00FE57F6" w:rsidRPr="00F24B71" w:rsidRDefault="00F24B71" w:rsidP="00C538FC">
            <w:pPr>
              <w:spacing w:before="160"/>
              <w:rPr>
                <w:b/>
                <w:bCs/>
                <w:sz w:val="26"/>
                <w:szCs w:val="26"/>
                <w:lang w:val="es-ES"/>
              </w:rPr>
            </w:pPr>
            <w:r w:rsidRPr="00F24B71">
              <w:rPr>
                <w:b/>
                <w:bCs/>
                <w:sz w:val="26"/>
                <w:szCs w:val="26"/>
                <w:lang w:val="es-ES"/>
              </w:rPr>
              <w:t>Finalidad</w:t>
            </w:r>
          </w:p>
          <w:p w14:paraId="791841B3" w14:textId="1525CB6E" w:rsidR="00FE57F6" w:rsidRPr="00F24B71" w:rsidRDefault="00C945E3" w:rsidP="00C945E3">
            <w:pPr>
              <w:rPr>
                <w:lang w:val="es-ES"/>
              </w:rPr>
            </w:pPr>
            <w:r w:rsidRPr="00C945E3">
              <w:t>El presente documento tiene por objeto informar sobre la situación del Fondo para el Desarrollo de las Tecnologías de la Información y la Comunicación (FD</w:t>
            </w:r>
            <w:r w:rsidRPr="00C945E3">
              <w:noBreakHyphen/>
              <w:t>TIC) en lo que atañe a su utilización para la ejecución de proyectos de desarrollo</w:t>
            </w:r>
            <w:r w:rsidRPr="00C945E3">
              <w:rPr>
                <w:lang w:val="es-ES"/>
              </w:rPr>
              <w:t>. También se exponen los fondos disponibles en el</w:t>
            </w:r>
            <w:r w:rsidRPr="00C945E3">
              <w:t xml:space="preserve"> </w:t>
            </w:r>
            <w:r w:rsidRPr="00C945E3">
              <w:rPr>
                <w:lang w:val="es-ES"/>
              </w:rPr>
              <w:t>Fondo de Operaciones de las Exposiciones (FOEX) y en la Cuenta de Capital del FD-TIC.</w:t>
            </w:r>
          </w:p>
          <w:p w14:paraId="329D55B5" w14:textId="641F9E02"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C945E3">
              <w:rPr>
                <w:b/>
                <w:bCs/>
                <w:sz w:val="26"/>
                <w:szCs w:val="26"/>
                <w:lang w:val="es-ES"/>
              </w:rPr>
              <w:t>a</w:t>
            </w:r>
            <w:r w:rsidRPr="00F24B71">
              <w:rPr>
                <w:b/>
                <w:bCs/>
                <w:sz w:val="26"/>
                <w:szCs w:val="26"/>
                <w:lang w:val="es-ES"/>
              </w:rPr>
              <w:t>l Consejo</w:t>
            </w:r>
          </w:p>
          <w:p w14:paraId="23439C72" w14:textId="3F515AF7" w:rsidR="00C945E3" w:rsidRPr="00C945E3" w:rsidRDefault="00C945E3" w:rsidP="00C945E3">
            <w:bookmarkStart w:id="1" w:name="lt_pId017"/>
            <w:r w:rsidRPr="00C945E3">
              <w:t xml:space="preserve">Tras la derogación de la Resolución 11 (Rev. Dubái, 2018) sobre eventos ITU Telecom en la Conferencia de Plenipotenciarios (Bucarest, 2022), se invita al Consejo a </w:t>
            </w:r>
            <w:r w:rsidRPr="00C945E3">
              <w:rPr>
                <w:b/>
                <w:bCs/>
              </w:rPr>
              <w:t>aprobar</w:t>
            </w:r>
            <w:r w:rsidRPr="00C945E3">
              <w:t xml:space="preserve"> el proyecto de Resolución adjunto (</w:t>
            </w:r>
            <w:hyperlink w:anchor="Annex1" w:history="1">
              <w:r w:rsidRPr="00C945E3">
                <w:rPr>
                  <w:rStyle w:val="Hyperlink"/>
                </w:rPr>
                <w:t>Anexo 1</w:t>
              </w:r>
            </w:hyperlink>
            <w:r w:rsidRPr="00C945E3">
              <w:t xml:space="preserve">) sobre la transferencia de 1,5 millones CHF del </w:t>
            </w:r>
            <w:r w:rsidRPr="00C945E3">
              <w:rPr>
                <w:lang w:val="es-ES"/>
              </w:rPr>
              <w:t>FOEX</w:t>
            </w:r>
            <w:r w:rsidRPr="00C945E3">
              <w:t xml:space="preserve"> a la Cuenta de Capital del FD</w:t>
            </w:r>
            <w:r w:rsidRPr="00C945E3">
              <w:noBreakHyphen/>
              <w:t>TIC.</w:t>
            </w:r>
            <w:bookmarkEnd w:id="1"/>
          </w:p>
          <w:p w14:paraId="58EDC6F6" w14:textId="65F9E84A" w:rsidR="00FE57F6" w:rsidRPr="00F24B71" w:rsidRDefault="00C945E3" w:rsidP="00C945E3">
            <w:pPr>
              <w:rPr>
                <w:lang w:val="es-ES"/>
              </w:rPr>
            </w:pPr>
            <w:r w:rsidRPr="00C945E3">
              <w:t>Una vez que se hayan saldado todas las obligaciones financieras de ITU Telecom y efectuado el cierre contable definitivo, se informará al Consejo, en su reunión de 2024, del saldo restante en el FOEX. Asimismo, s</w:t>
            </w:r>
            <w:r w:rsidRPr="00C945E3">
              <w:rPr>
                <w:lang w:val="es-ES"/>
              </w:rPr>
              <w:t xml:space="preserve">e invita al Consejo a </w:t>
            </w:r>
            <w:r w:rsidRPr="00C945E3">
              <w:rPr>
                <w:b/>
                <w:bCs/>
                <w:lang w:val="es-ES"/>
              </w:rPr>
              <w:t>tomar nota</w:t>
            </w:r>
            <w:r w:rsidRPr="00C945E3">
              <w:rPr>
                <w:lang w:val="es-ES"/>
              </w:rPr>
              <w:t xml:space="preserve"> del presente informe y a formular las recomendaciones que considere oportunas.</w:t>
            </w:r>
          </w:p>
          <w:p w14:paraId="34F6ACC6" w14:textId="505C192C"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764F06DC" w14:textId="1A7EAD21" w:rsidR="00FE57F6" w:rsidRPr="00F24B71" w:rsidRDefault="00C945E3" w:rsidP="00C945E3">
            <w:pPr>
              <w:rPr>
                <w:lang w:val="es-ES"/>
              </w:rPr>
            </w:pPr>
            <w:r w:rsidRPr="00C945E3">
              <w:rPr>
                <w:lang w:val="es-ES"/>
              </w:rPr>
              <w:t>Asistencia técnica, alianzas y cooperación internacional</w:t>
            </w:r>
          </w:p>
          <w:p w14:paraId="50C72B72" w14:textId="031ACD2C" w:rsidR="00FE57F6" w:rsidRDefault="00C945E3" w:rsidP="00C538FC">
            <w:pPr>
              <w:spacing w:before="160"/>
              <w:rPr>
                <w:b/>
                <w:bCs/>
                <w:sz w:val="26"/>
                <w:szCs w:val="26"/>
              </w:rPr>
            </w:pPr>
            <w:r w:rsidRPr="00C945E3">
              <w:rPr>
                <w:b/>
                <w:bCs/>
                <w:sz w:val="26"/>
                <w:szCs w:val="26"/>
              </w:rPr>
              <w:t>Repercusiones financieras</w:t>
            </w:r>
          </w:p>
          <w:p w14:paraId="7D24D7D4" w14:textId="258CCA7F" w:rsidR="00C945E3" w:rsidRDefault="00C945E3" w:rsidP="00C945E3">
            <w:r w:rsidRPr="00C945E3">
              <w:t xml:space="preserve">Transferencia de 1,5 millones CHF del </w:t>
            </w:r>
            <w:r w:rsidRPr="00C945E3">
              <w:rPr>
                <w:lang w:val="es-ES"/>
              </w:rPr>
              <w:t>FOEX</w:t>
            </w:r>
            <w:r w:rsidRPr="00C945E3">
              <w:t xml:space="preserve"> a la Cuenta de Capital del FD</w:t>
            </w:r>
            <w:r w:rsidRPr="00C945E3">
              <w:noBreakHyphen/>
              <w:t>TIC</w:t>
            </w:r>
          </w:p>
          <w:p w14:paraId="03DA8245" w14:textId="77777777" w:rsidR="00FE57F6" w:rsidRPr="00C945E3" w:rsidRDefault="00FE57F6" w:rsidP="001D76CA">
            <w:pPr>
              <w:spacing w:before="0"/>
            </w:pPr>
            <w:r w:rsidRPr="00C945E3">
              <w:t>__________________</w:t>
            </w:r>
          </w:p>
          <w:p w14:paraId="70C439F9" w14:textId="2A1F91BF" w:rsidR="00FE57F6" w:rsidRDefault="00F24B71" w:rsidP="00C538FC">
            <w:pPr>
              <w:spacing w:before="160"/>
              <w:rPr>
                <w:b/>
                <w:bCs/>
                <w:sz w:val="26"/>
                <w:szCs w:val="26"/>
              </w:rPr>
            </w:pPr>
            <w:r w:rsidRPr="00F24B71">
              <w:rPr>
                <w:b/>
                <w:bCs/>
                <w:sz w:val="26"/>
                <w:szCs w:val="26"/>
              </w:rPr>
              <w:t>Referencia</w:t>
            </w:r>
            <w:r w:rsidR="00C945E3">
              <w:rPr>
                <w:b/>
                <w:bCs/>
                <w:sz w:val="26"/>
                <w:szCs w:val="26"/>
              </w:rPr>
              <w:t>s</w:t>
            </w:r>
          </w:p>
          <w:bookmarkStart w:id="2" w:name="lt_pId026"/>
          <w:p w14:paraId="32F10C67" w14:textId="688CBAF2" w:rsidR="00FE57F6" w:rsidRDefault="001D76CA" w:rsidP="00C945E3">
            <w:pPr>
              <w:spacing w:after="160"/>
            </w:pPr>
            <w:r>
              <w:rPr>
                <w:i/>
                <w:iCs/>
              </w:rPr>
              <w:fldChar w:fldCharType="begin"/>
            </w:r>
            <w:r>
              <w:rPr>
                <w:i/>
                <w:iCs/>
              </w:rPr>
              <w:instrText xml:space="preserve"> HYPERLINK "https://www.itu.int/en/council/Documents/basic-texts/RES-011-S.pdf" </w:instrText>
            </w:r>
            <w:r>
              <w:rPr>
                <w:i/>
                <w:iCs/>
              </w:rPr>
            </w:r>
            <w:r>
              <w:rPr>
                <w:i/>
                <w:iCs/>
              </w:rPr>
              <w:fldChar w:fldCharType="separate"/>
            </w:r>
            <w:r w:rsidR="00C945E3" w:rsidRPr="001D76CA">
              <w:rPr>
                <w:rStyle w:val="Hyperlink"/>
                <w:i/>
                <w:iCs/>
              </w:rPr>
              <w:t>Resolución 11 (Rev. Dubái, 2018) de la Conferencia de Plenipotenciarios</w:t>
            </w:r>
            <w:r>
              <w:rPr>
                <w:i/>
                <w:iCs/>
              </w:rPr>
              <w:fldChar w:fldCharType="end"/>
            </w:r>
            <w:r w:rsidR="00C945E3" w:rsidRPr="00C945E3">
              <w:rPr>
                <w:i/>
                <w:iCs/>
              </w:rPr>
              <w:t>;</w:t>
            </w:r>
            <w:bookmarkEnd w:id="2"/>
            <w:r w:rsidR="00C945E3" w:rsidRPr="00C945E3">
              <w:rPr>
                <w:i/>
                <w:iCs/>
              </w:rPr>
              <w:t xml:space="preserve"> </w:t>
            </w:r>
            <w:bookmarkStart w:id="3" w:name="lt_pId027"/>
            <w:r w:rsidR="00C945E3" w:rsidRPr="00C945E3">
              <w:fldChar w:fldCharType="begin"/>
            </w:r>
            <w:r>
              <w:instrText>HYPERLINK "https://www.itu.int/pub/S-CONF-ACTF-2022/es"</w:instrText>
            </w:r>
            <w:r w:rsidR="00C945E3" w:rsidRPr="00C945E3">
              <w:fldChar w:fldCharType="separate"/>
            </w:r>
            <w:r w:rsidR="00C945E3" w:rsidRPr="00C945E3">
              <w:rPr>
                <w:rStyle w:val="Hyperlink"/>
                <w:i/>
                <w:iCs/>
              </w:rPr>
              <w:t>Actas Finales (Parte</w:t>
            </w:r>
            <w:r>
              <w:rPr>
                <w:rStyle w:val="Hyperlink"/>
                <w:i/>
                <w:iCs/>
              </w:rPr>
              <w:t> </w:t>
            </w:r>
            <w:r w:rsidR="00C945E3" w:rsidRPr="00C945E3">
              <w:rPr>
                <w:rStyle w:val="Hyperlink"/>
                <w:i/>
                <w:iCs/>
              </w:rPr>
              <w:t>III)</w:t>
            </w:r>
            <w:r w:rsidR="00C945E3" w:rsidRPr="00C945E3">
              <w:fldChar w:fldCharType="end"/>
            </w:r>
            <w:r w:rsidR="00C945E3" w:rsidRPr="00C945E3">
              <w:rPr>
                <w:i/>
                <w:iCs/>
              </w:rPr>
              <w:t xml:space="preserve"> y </w:t>
            </w:r>
            <w:hyperlink r:id="rId8" w:history="1">
              <w:r w:rsidR="00C945E3" w:rsidRPr="001D76CA">
                <w:rPr>
                  <w:rStyle w:val="Hyperlink"/>
                  <w:i/>
                  <w:iCs/>
                </w:rPr>
                <w:t>Actas de la Decimosexta Sesión Plenaria (Secciones 2.3 y 5.2) de la Conferencia de Plenipotenciarios de 2022</w:t>
              </w:r>
            </w:hyperlink>
            <w:r w:rsidR="00C945E3" w:rsidRPr="00C945E3">
              <w:rPr>
                <w:i/>
                <w:iCs/>
              </w:rPr>
              <w:t>;</w:t>
            </w:r>
            <w:bookmarkEnd w:id="3"/>
            <w:r w:rsidR="00C945E3" w:rsidRPr="00C945E3">
              <w:rPr>
                <w:i/>
                <w:iCs/>
              </w:rPr>
              <w:t xml:space="preserve"> </w:t>
            </w:r>
            <w:bookmarkStart w:id="4" w:name="lt_pId028"/>
            <w:r w:rsidR="00C945E3" w:rsidRPr="00C945E3">
              <w:rPr>
                <w:i/>
                <w:iCs/>
              </w:rPr>
              <w:t xml:space="preserve">Resoluciones </w:t>
            </w:r>
            <w:hyperlink r:id="rId9" w:history="1">
              <w:r w:rsidR="00C945E3" w:rsidRPr="00C945E3">
                <w:rPr>
                  <w:rStyle w:val="Hyperlink"/>
                  <w:i/>
                  <w:iCs/>
                </w:rPr>
                <w:t>1111</w:t>
              </w:r>
            </w:hyperlink>
            <w:r w:rsidR="00C945E3" w:rsidRPr="00C945E3">
              <w:rPr>
                <w:i/>
                <w:iCs/>
              </w:rPr>
              <w:t xml:space="preserve"> y </w:t>
            </w:r>
            <w:hyperlink r:id="rId10" w:history="1">
              <w:r w:rsidR="00C945E3" w:rsidRPr="00C945E3">
                <w:rPr>
                  <w:rStyle w:val="Hyperlink"/>
                  <w:i/>
                  <w:iCs/>
                </w:rPr>
                <w:t>1338</w:t>
              </w:r>
            </w:hyperlink>
            <w:bookmarkEnd w:id="4"/>
            <w:r w:rsidR="00C945E3" w:rsidRPr="00C945E3">
              <w:rPr>
                <w:i/>
                <w:iCs/>
              </w:rPr>
              <w:t xml:space="preserve"> del Consejo; </w:t>
            </w:r>
            <w:bookmarkStart w:id="5" w:name="lt_pId029"/>
            <w:r w:rsidR="00C945E3" w:rsidRPr="00C945E3">
              <w:rPr>
                <w:i/>
                <w:iCs/>
              </w:rPr>
              <w:t xml:space="preserve">Documento </w:t>
            </w:r>
            <w:hyperlink r:id="rId11" w:history="1">
              <w:r w:rsidR="00C945E3" w:rsidRPr="00C945E3">
                <w:rPr>
                  <w:rStyle w:val="Hyperlink"/>
                  <w:i/>
                  <w:iCs/>
                </w:rPr>
                <w:t>C22/34</w:t>
              </w:r>
            </w:hyperlink>
            <w:r w:rsidR="00C945E3" w:rsidRPr="00C945E3">
              <w:rPr>
                <w:i/>
                <w:iCs/>
              </w:rPr>
              <w:t xml:space="preserve"> del Consejo</w:t>
            </w:r>
            <w:bookmarkEnd w:id="5"/>
          </w:p>
        </w:tc>
      </w:tr>
      <w:bookmarkEnd w:id="0"/>
    </w:tbl>
    <w:p w14:paraId="4EB3FC0A" w14:textId="77777777" w:rsidR="001559F5" w:rsidRDefault="001559F5" w:rsidP="001D76CA">
      <w:r>
        <w:br w:type="page"/>
      </w:r>
    </w:p>
    <w:p w14:paraId="08933CC6" w14:textId="0B5D964B" w:rsidR="00C945E3" w:rsidRPr="00C945E3" w:rsidRDefault="001D76CA" w:rsidP="001D76CA">
      <w:pPr>
        <w:pStyle w:val="Heading1"/>
      </w:pPr>
      <w:r>
        <w:lastRenderedPageBreak/>
        <w:t>1</w:t>
      </w:r>
      <w:r>
        <w:tab/>
      </w:r>
      <w:proofErr w:type="gramStart"/>
      <w:r w:rsidR="00C945E3" w:rsidRPr="00C945E3">
        <w:t>Introducción</w:t>
      </w:r>
      <w:proofErr w:type="gramEnd"/>
    </w:p>
    <w:p w14:paraId="138F3899" w14:textId="68F4F10D" w:rsidR="00C945E3" w:rsidRPr="00C945E3" w:rsidRDefault="00C945E3" w:rsidP="00C945E3">
      <w:r w:rsidRPr="00C945E3">
        <w:t>1.1</w:t>
      </w:r>
      <w:r w:rsidRPr="00C945E3">
        <w:tab/>
        <w:t>El Fondo para el Desarrollo de las Tecnologías de la Información y la Comunicación (</w:t>
      </w:r>
      <w:hyperlink r:id="rId12" w:history="1">
        <w:r w:rsidRPr="00C945E3">
          <w:rPr>
            <w:rStyle w:val="Hyperlink"/>
          </w:rPr>
          <w:t>FD</w:t>
        </w:r>
        <w:r w:rsidR="001D76CA">
          <w:rPr>
            <w:rStyle w:val="Hyperlink"/>
          </w:rPr>
          <w:noBreakHyphen/>
        </w:r>
        <w:r w:rsidRPr="00C945E3">
          <w:rPr>
            <w:rStyle w:val="Hyperlink"/>
          </w:rPr>
          <w:t>TIC</w:t>
        </w:r>
      </w:hyperlink>
      <w:r w:rsidRPr="00C945E3">
        <w:t xml:space="preserve">), creado en 1997, tiene por objeto facilitar la ejecución de proyectos mediante asociaciones </w:t>
      </w:r>
      <w:proofErr w:type="spellStart"/>
      <w:r w:rsidRPr="00C945E3">
        <w:t>multipartitas</w:t>
      </w:r>
      <w:proofErr w:type="spellEnd"/>
      <w:r w:rsidRPr="00C945E3">
        <w:t xml:space="preserve"> con los Estados Miembros de la UIT, Miembros de Sector, entidades de los sectores público y privado, organizaciones multilaterales, fundaciones, instituciones financieras y organismos de desarrollo.</w:t>
      </w:r>
    </w:p>
    <w:p w14:paraId="787AEFB0" w14:textId="205B7864" w:rsidR="00C945E3" w:rsidRPr="00C945E3" w:rsidRDefault="001D76CA" w:rsidP="001D76CA">
      <w:pPr>
        <w:pStyle w:val="Heading1"/>
      </w:pPr>
      <w:r>
        <w:t>2</w:t>
      </w:r>
      <w:r>
        <w:tab/>
      </w:r>
      <w:proofErr w:type="gramStart"/>
      <w:r w:rsidR="00C945E3" w:rsidRPr="00C945E3">
        <w:t>Principales</w:t>
      </w:r>
      <w:proofErr w:type="gramEnd"/>
      <w:r w:rsidR="00C945E3" w:rsidRPr="00C945E3">
        <w:t xml:space="preserve"> reglas y procedimientos del FD-TIC</w:t>
      </w:r>
    </w:p>
    <w:p w14:paraId="1F4A364A" w14:textId="50E1092B" w:rsidR="00C945E3" w:rsidRPr="00C945E3" w:rsidRDefault="00C945E3" w:rsidP="00C945E3">
      <w:r w:rsidRPr="00C945E3">
        <w:t>2.1</w:t>
      </w:r>
      <w:r w:rsidRPr="00C945E3">
        <w:tab/>
        <w:t>De acuerdo con el reglamento y los procedimientos del FD</w:t>
      </w:r>
      <w:r w:rsidRPr="00C945E3">
        <w:noBreakHyphen/>
        <w:t xml:space="preserve">TIC firmados el 8 de diciembre de 2015 por el </w:t>
      </w:r>
      <w:proofErr w:type="gramStart"/>
      <w:r w:rsidRPr="00C945E3">
        <w:t>Presidente</w:t>
      </w:r>
      <w:proofErr w:type="gramEnd"/>
      <w:r w:rsidRPr="00C945E3">
        <w:t xml:space="preserve"> del Comité Directivo del FD</w:t>
      </w:r>
      <w:r w:rsidRPr="00C945E3">
        <w:noBreakHyphen/>
        <w:t>TIC</w:t>
      </w:r>
      <w:r w:rsidR="001D76CA">
        <w:rPr>
          <w:rStyle w:val="FootnoteReference"/>
        </w:rPr>
        <w:footnoteReference w:id="1"/>
      </w:r>
      <w:r w:rsidRPr="00C945E3">
        <w:t>, que es el Secretario General de la UIT, el FD</w:t>
      </w:r>
      <w:r w:rsidRPr="00C945E3">
        <w:noBreakHyphen/>
        <w:t>TIC financiará hasta el 25 por ciento de la contribución en efectivo del proyecto. Con carácter excepcional, financia más del 25 por ciento. Esta financiación inicial proporcionada por el FD</w:t>
      </w:r>
      <w:r w:rsidRPr="00C945E3">
        <w:noBreakHyphen/>
        <w:t>TIC tiene por objeto captar fondos extrapresupuestarios recaudados mediante la movilización de recursos en metálico y, en algunos casos, contribuciones en especie para financiar proyectos en los planos nacional, regional e internacional.</w:t>
      </w:r>
    </w:p>
    <w:p w14:paraId="7D117864" w14:textId="77777777" w:rsidR="00C945E3" w:rsidRPr="00C945E3" w:rsidRDefault="00C945E3" w:rsidP="00C945E3">
      <w:r w:rsidRPr="00C945E3">
        <w:t>2.2</w:t>
      </w:r>
      <w:r w:rsidRPr="00C945E3">
        <w:tab/>
        <w:t>Las propuestas de proyectos, respaldadas por las contribuciones en efectivo y en especie de los asociados, se presentan al Comité Directivo del FD-TIC para que las considere para su financiación. Las propuestas de proyectos se evalúan para garantizar que cumplen, entre otros, los siguientes criterios de selección y admisibilidad:</w:t>
      </w:r>
    </w:p>
    <w:p w14:paraId="2244876C" w14:textId="48EFA278" w:rsidR="00C945E3" w:rsidRPr="00C945E3" w:rsidRDefault="001D76CA" w:rsidP="001D76CA">
      <w:pPr>
        <w:pStyle w:val="enumlev1"/>
        <w:rPr>
          <w:lang w:val="es-ES"/>
        </w:rPr>
      </w:pPr>
      <w:r>
        <w:t>•</w:t>
      </w:r>
      <w:r>
        <w:tab/>
      </w:r>
      <w:r w:rsidR="00C945E3" w:rsidRPr="00C945E3">
        <w:t>Entre los beneficiarios del proyecto deberá figurar al menos uno o más países de entre los países menos adelantados (PMA), pequeños Estados insulares en desarrollo (PEID), países en desarrollo sin litoral (PDSL), países con economías en transición y países con necesidades especiales</w:t>
      </w:r>
      <w:r w:rsidR="00C945E3" w:rsidRPr="00C945E3">
        <w:rPr>
          <w:lang w:val="es-ES"/>
        </w:rPr>
        <w:t>.</w:t>
      </w:r>
    </w:p>
    <w:p w14:paraId="3A0BEDB6" w14:textId="1589A8AE" w:rsidR="00C945E3" w:rsidRPr="00C945E3" w:rsidRDefault="001D76CA" w:rsidP="001D76CA">
      <w:pPr>
        <w:pStyle w:val="enumlev1"/>
        <w:rPr>
          <w:lang w:val="es-ES"/>
        </w:rPr>
      </w:pPr>
      <w:r>
        <w:t>•</w:t>
      </w:r>
      <w:r>
        <w:tab/>
      </w:r>
      <w:r w:rsidR="00C945E3" w:rsidRPr="00C945E3">
        <w:t>El proyecto deberá corresponder a una de las categorías/temas adoptados por la Conferencia Mundial de Desarrollo de las Telecomunicaciones (CMDT) o a cualquier otro tema que el Comité Directivo del FD-TIC considere importante</w:t>
      </w:r>
      <w:r w:rsidR="00C945E3" w:rsidRPr="00C945E3">
        <w:rPr>
          <w:lang w:val="es-ES"/>
        </w:rPr>
        <w:t>.</w:t>
      </w:r>
    </w:p>
    <w:p w14:paraId="76AB30C9" w14:textId="1E31B61B" w:rsidR="00C945E3" w:rsidRPr="00C945E3" w:rsidRDefault="00C945E3" w:rsidP="00C945E3">
      <w:bookmarkStart w:id="6" w:name="dnote"/>
      <w:bookmarkEnd w:id="6"/>
      <w:r w:rsidRPr="00C945E3">
        <w:t>2.3</w:t>
      </w:r>
      <w:r w:rsidRPr="00C945E3">
        <w:tab/>
        <w:t>El Comité Directivo del FD-TIC: a) examina y aprueba los proyectos FD-TIC presentados; b) aprueba el importe de financiación que habrá de atribuir a los proyectos FD-TIC; y c) supervisa la implementación y los resultados presupuestarios de los proyectos FD-TIC.</w:t>
      </w:r>
    </w:p>
    <w:p w14:paraId="207B8EC6" w14:textId="382401AB" w:rsidR="00C945E3" w:rsidRPr="00EA1CED" w:rsidRDefault="001D76CA" w:rsidP="001D76CA">
      <w:pPr>
        <w:pStyle w:val="Heading1"/>
        <w:rPr>
          <w:lang w:val="es-ES"/>
        </w:rPr>
      </w:pPr>
      <w:r w:rsidRPr="00EA1CED">
        <w:rPr>
          <w:lang w:val="es-ES"/>
        </w:rPr>
        <w:t>3</w:t>
      </w:r>
      <w:r w:rsidRPr="00EA1CED">
        <w:rPr>
          <w:lang w:val="es-ES"/>
        </w:rPr>
        <w:tab/>
      </w:r>
      <w:proofErr w:type="gramStart"/>
      <w:r w:rsidR="00C945E3" w:rsidRPr="00EA1CED">
        <w:rPr>
          <w:lang w:val="es-ES"/>
        </w:rPr>
        <w:t>Progres</w:t>
      </w:r>
      <w:r w:rsidR="00EA1CED" w:rsidRPr="00EA1CED">
        <w:rPr>
          <w:lang w:val="es-ES"/>
        </w:rPr>
        <w:t>o</w:t>
      </w:r>
      <w:proofErr w:type="gramEnd"/>
      <w:r w:rsidR="00C945E3" w:rsidRPr="00EA1CED">
        <w:rPr>
          <w:lang w:val="es-ES"/>
        </w:rPr>
        <w:t xml:space="preserve"> </w:t>
      </w:r>
      <w:r w:rsidR="00EA1CED" w:rsidRPr="00EA1CED">
        <w:rPr>
          <w:lang w:val="es-ES"/>
        </w:rPr>
        <w:t>del</w:t>
      </w:r>
      <w:r w:rsidR="00C945E3" w:rsidRPr="00EA1CED">
        <w:rPr>
          <w:lang w:val="es-ES"/>
        </w:rPr>
        <w:t xml:space="preserve"> FD-TIC</w:t>
      </w:r>
    </w:p>
    <w:p w14:paraId="3F21103B" w14:textId="77777777" w:rsidR="00C945E3" w:rsidRPr="00C945E3" w:rsidRDefault="00C945E3" w:rsidP="00C945E3">
      <w:r w:rsidRPr="00C945E3">
        <w:t xml:space="preserve">Se puede acceder a una página web informativa sobre el FD-TIC y otros proyectos, en la que se puede buscar por país, región, ámbito de acción y estado del proyecto (en curso y ejecutado), desde </w:t>
      </w:r>
      <w:hyperlink r:id="rId13" w:history="1">
        <w:r w:rsidRPr="00C945E3">
          <w:rPr>
            <w:rStyle w:val="Hyperlink"/>
          </w:rPr>
          <w:t>www.itu.int/en/ITU-D/Projects</w:t>
        </w:r>
      </w:hyperlink>
      <w:r w:rsidRPr="00C945E3">
        <w:t>.</w:t>
      </w:r>
    </w:p>
    <w:p w14:paraId="72787A27" w14:textId="0AB04C7B" w:rsidR="00C945E3" w:rsidRPr="00C945E3" w:rsidRDefault="00C945E3" w:rsidP="00C945E3">
      <w:r w:rsidRPr="00C945E3">
        <w:t>3.1</w:t>
      </w:r>
      <w:r w:rsidRPr="00C945E3">
        <w:tab/>
        <w:t xml:space="preserve">Al mes de marzo de 2023, había 13 proyectos del FD-TIC en curso (enumerados en el </w:t>
      </w:r>
      <w:hyperlink w:anchor="Annex2" w:history="1">
        <w:r w:rsidRPr="00C945E3">
          <w:rPr>
            <w:rStyle w:val="Hyperlink"/>
          </w:rPr>
          <w:t>Anexo 2</w:t>
        </w:r>
      </w:hyperlink>
      <w:r w:rsidRPr="00C945E3">
        <w:t>). En la Figura 1 se desglosan por región.</w:t>
      </w:r>
    </w:p>
    <w:p w14:paraId="51C8D6B7" w14:textId="35EA1844" w:rsidR="003F7316" w:rsidRPr="003F7316" w:rsidRDefault="003F7316" w:rsidP="003F7316">
      <w:pPr>
        <w:pStyle w:val="Figure"/>
      </w:pPr>
      <w:r>
        <w:rPr>
          <w:noProof/>
        </w:rPr>
        <w:lastRenderedPageBreak/>
        <w:drawing>
          <wp:inline distT="0" distB="0" distL="0" distR="0" wp14:anchorId="18924C40" wp14:editId="63BBC7BA">
            <wp:extent cx="4054475" cy="2621280"/>
            <wp:effectExtent l="0" t="0" r="317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4475" cy="2621280"/>
                    </a:xfrm>
                    <a:prstGeom prst="rect">
                      <a:avLst/>
                    </a:prstGeom>
                    <a:noFill/>
                  </pic:spPr>
                </pic:pic>
              </a:graphicData>
            </a:graphic>
          </wp:inline>
        </w:drawing>
      </w:r>
    </w:p>
    <w:p w14:paraId="12FB6F4D" w14:textId="04BA2566" w:rsidR="00C945E3" w:rsidRPr="00C945E3" w:rsidRDefault="00C945E3" w:rsidP="001D76CA">
      <w:pPr>
        <w:pStyle w:val="Normalaftertitle"/>
      </w:pPr>
      <w:r w:rsidRPr="00C945E3">
        <w:t>3.2</w:t>
      </w:r>
      <w:r w:rsidRPr="00C945E3">
        <w:tab/>
        <w:t>Desde 2012, han recibido financiación del FD-TIC un total de 26 proyectos. En 2022, se financió un proyecto sobre "Reducción de la brecha digital de género para las mujeres empresarias". La Figura</w:t>
      </w:r>
      <w:r w:rsidR="00EA1CED">
        <w:t> </w:t>
      </w:r>
      <w:r w:rsidRPr="00C945E3">
        <w:t>2.1 presenta la situación de estos proyectos, mientras que la Figura</w:t>
      </w:r>
      <w:r w:rsidR="00EA1CED">
        <w:t> </w:t>
      </w:r>
      <w:r w:rsidRPr="00C945E3">
        <w:t>2.2 presenta las modalidades de financiación. La Figura</w:t>
      </w:r>
      <w:r w:rsidR="00EA1CED">
        <w:t> </w:t>
      </w:r>
      <w:r w:rsidRPr="00C945E3">
        <w:t>2.3 muestra la distribución de la financiación de los proyectos por regiones. Estas cifras demuestran la importancia del</w:t>
      </w:r>
      <w:r w:rsidR="00EA1CED">
        <w:t> </w:t>
      </w:r>
      <w:r w:rsidRPr="00C945E3">
        <w:t>FD</w:t>
      </w:r>
      <w:r w:rsidR="00EA1CED">
        <w:noBreakHyphen/>
      </w:r>
      <w:r w:rsidRPr="00C945E3">
        <w:t>TIC como instrumento esencial para secundar los esfuerzos de la UIT en la recaudación de fondos para proyectos. Las contribuciones externas en efectivo también vienen determinadas por las prioridades de los asociados financiadores, y las asignaciones del FD-TIC se han determinado en función de los fondos externos disponibles para cofinanciar los proyectos.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8"/>
        <w:gridCol w:w="4503"/>
      </w:tblGrid>
      <w:tr w:rsidR="00BD1CDA" w:rsidRPr="00C945E3" w14:paraId="26ACC964" w14:textId="77777777" w:rsidTr="00EA1CED">
        <w:tc>
          <w:tcPr>
            <w:tcW w:w="4568" w:type="dxa"/>
            <w:vAlign w:val="center"/>
          </w:tcPr>
          <w:p w14:paraId="5BAD5E78" w14:textId="05D21074" w:rsidR="00BD1CDA" w:rsidRPr="00C945E3" w:rsidRDefault="00BD1CDA" w:rsidP="00BD1CDA">
            <w:pPr>
              <w:pStyle w:val="Figure"/>
            </w:pPr>
            <w:r>
              <w:rPr>
                <w:noProof/>
              </w:rPr>
              <w:lastRenderedPageBreak/>
              <w:drawing>
                <wp:inline distT="0" distB="0" distL="0" distR="0" wp14:anchorId="2F93372E" wp14:editId="2B20CBFA">
                  <wp:extent cx="2828766" cy="14488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3581" cy="1456468"/>
                          </a:xfrm>
                          <a:prstGeom prst="rect">
                            <a:avLst/>
                          </a:prstGeom>
                          <a:noFill/>
                        </pic:spPr>
                      </pic:pic>
                    </a:graphicData>
                  </a:graphic>
                </wp:inline>
              </w:drawing>
            </w:r>
          </w:p>
        </w:tc>
        <w:tc>
          <w:tcPr>
            <w:tcW w:w="4503" w:type="dxa"/>
            <w:vAlign w:val="center"/>
          </w:tcPr>
          <w:p w14:paraId="250E0A45" w14:textId="73737331" w:rsidR="00BD1CDA" w:rsidRPr="00C945E3" w:rsidRDefault="00BD1CDA" w:rsidP="00BD1CDA">
            <w:pPr>
              <w:pStyle w:val="Figure"/>
            </w:pPr>
            <w:r>
              <w:rPr>
                <w:noProof/>
              </w:rPr>
              <w:drawing>
                <wp:inline distT="0" distB="0" distL="0" distR="0" wp14:anchorId="4F0F9B93" wp14:editId="1E60039D">
                  <wp:extent cx="2755094" cy="1705534"/>
                  <wp:effectExtent l="0" t="0" r="762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025" cy="1713539"/>
                          </a:xfrm>
                          <a:prstGeom prst="rect">
                            <a:avLst/>
                          </a:prstGeom>
                          <a:noFill/>
                        </pic:spPr>
                      </pic:pic>
                    </a:graphicData>
                  </a:graphic>
                </wp:inline>
              </w:drawing>
            </w:r>
          </w:p>
        </w:tc>
      </w:tr>
    </w:tbl>
    <w:p w14:paraId="33CE169C" w14:textId="467260FA" w:rsidR="00BD1CDA" w:rsidRDefault="00BD1CDA" w:rsidP="00BD1CDA">
      <w:pPr>
        <w:pStyle w:val="Figure"/>
      </w:pPr>
      <w:r>
        <w:rPr>
          <w:noProof/>
        </w:rPr>
        <w:drawing>
          <wp:inline distT="0" distB="0" distL="0" distR="0" wp14:anchorId="14A885AD" wp14:editId="332FA8FB">
            <wp:extent cx="5932170" cy="33166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2170" cy="3316605"/>
                    </a:xfrm>
                    <a:prstGeom prst="rect">
                      <a:avLst/>
                    </a:prstGeom>
                    <a:noFill/>
                  </pic:spPr>
                </pic:pic>
              </a:graphicData>
            </a:graphic>
          </wp:inline>
        </w:drawing>
      </w:r>
    </w:p>
    <w:p w14:paraId="34B7CF9E" w14:textId="77777777" w:rsidR="00C945E3" w:rsidRPr="00C945E3" w:rsidRDefault="00C945E3" w:rsidP="006A0C0A">
      <w:pPr>
        <w:pStyle w:val="Normalaftertitle"/>
      </w:pPr>
      <w:r w:rsidRPr="00C945E3">
        <w:t>3.3</w:t>
      </w:r>
      <w:r w:rsidRPr="00C945E3">
        <w:tab/>
        <w:t xml:space="preserve">La BDT seguirá supervisando los proyectos restantes para garantizar su efectiva ejecución. El </w:t>
      </w:r>
      <w:r w:rsidRPr="00EA1CED">
        <w:t>Comité Directivo del</w:t>
      </w:r>
      <w:r w:rsidRPr="00C945E3">
        <w:t xml:space="preserve"> FD-TIC seguirá examinando las propuestas de proyecto y apoyará los proyectos seleccionados en los distintos ámbitos de acción, con especial atención a las Iniciativas Regionales aprobadas por la CMDT-22, teniendo en cuenta las reglas y criterios establecidos en las </w:t>
      </w:r>
      <w:r w:rsidRPr="00EA1CED">
        <w:t>reglas y procedimientos del FD-TIC</w:t>
      </w:r>
      <w:r w:rsidRPr="00C945E3">
        <w:t xml:space="preserve"> y dentro de los límites de la Cuenta de Capital del FD-TIC.</w:t>
      </w:r>
    </w:p>
    <w:p w14:paraId="0AA4A0C4" w14:textId="4A738CF6" w:rsidR="00C945E3" w:rsidRPr="00C945E3" w:rsidRDefault="001D76CA" w:rsidP="001D76CA">
      <w:pPr>
        <w:pStyle w:val="Heading1"/>
      </w:pPr>
      <w:bookmarkStart w:id="7" w:name="_Hlk129943685"/>
      <w:r>
        <w:t>4</w:t>
      </w:r>
      <w:r>
        <w:tab/>
      </w:r>
      <w:proofErr w:type="gramStart"/>
      <w:r w:rsidR="00C945E3" w:rsidRPr="00C945E3">
        <w:t>Evolución</w:t>
      </w:r>
      <w:proofErr w:type="gramEnd"/>
      <w:r w:rsidR="00C945E3" w:rsidRPr="00C945E3">
        <w:t xml:space="preserve"> de la Cuenta de Capital del FD-TIC</w:t>
      </w:r>
    </w:p>
    <w:p w14:paraId="68B833CD" w14:textId="3815D095" w:rsidR="00C945E3" w:rsidRPr="00C945E3" w:rsidRDefault="00C945E3" w:rsidP="00C945E3">
      <w:r w:rsidRPr="00C945E3">
        <w:t>4.1</w:t>
      </w:r>
      <w:r w:rsidRPr="00C945E3">
        <w:tab/>
        <w:t>Los ingresos en concepto de intereses de la Cuenta de Capital del FD-TIC a finales de</w:t>
      </w:r>
      <w:r w:rsidR="006A0C0A">
        <w:t> </w:t>
      </w:r>
      <w:r w:rsidRPr="00C945E3">
        <w:t>2022 y los intereses de los proyectos ascienden a un total de 80 290</w:t>
      </w:r>
      <w:r w:rsidR="00EA1CED">
        <w:t>,</w:t>
      </w:r>
      <w:r w:rsidRPr="00C945E3">
        <w:t>97</w:t>
      </w:r>
      <w:r w:rsidR="00EA1CED">
        <w:t> </w:t>
      </w:r>
      <w:r w:rsidRPr="00C945E3">
        <w:t>USD.</w:t>
      </w:r>
    </w:p>
    <w:p w14:paraId="7DA82CF0" w14:textId="30442D69" w:rsidR="00C945E3" w:rsidRPr="00C945E3" w:rsidRDefault="00C945E3" w:rsidP="00C945E3">
      <w:r w:rsidRPr="00C945E3">
        <w:t>4.2</w:t>
      </w:r>
      <w:r w:rsidRPr="00C945E3">
        <w:tab/>
        <w:t>Al mes de marzo de 2023, el saldo disponible en la Cuenta de Capital del FD-TIC ascendía a 2 771 506</w:t>
      </w:r>
      <w:r w:rsidR="00EA1CED">
        <w:t>,</w:t>
      </w:r>
      <w:r w:rsidRPr="00C945E3">
        <w:t>48</w:t>
      </w:r>
      <w:r w:rsidR="00EA1CED">
        <w:t> </w:t>
      </w:r>
      <w:r w:rsidRPr="00C945E3">
        <w:t>USD (véase la Figura</w:t>
      </w:r>
      <w:r w:rsidR="008437F1">
        <w:t> </w:t>
      </w:r>
      <w:r w:rsidRPr="00C945E3">
        <w:t>4), mientras que el Fondo de Operaciones de las Exposiciones (FOEX) se elevaba a 4 636 073</w:t>
      </w:r>
      <w:r w:rsidR="008437F1">
        <w:t>,</w:t>
      </w:r>
      <w:r w:rsidRPr="00C945E3">
        <w:t>95</w:t>
      </w:r>
      <w:r w:rsidR="008437F1">
        <w:t> </w:t>
      </w:r>
      <w:r w:rsidRPr="00C945E3">
        <w:t>CHF.</w:t>
      </w:r>
    </w:p>
    <w:p w14:paraId="1C365E94" w14:textId="12665571" w:rsidR="00EA1CED" w:rsidRPr="00EA1CED" w:rsidRDefault="00EA1CED" w:rsidP="00EA1CED">
      <w:pPr>
        <w:pStyle w:val="Figure"/>
      </w:pPr>
      <w:bookmarkStart w:id="8" w:name="_Hlk65835106"/>
      <w:bookmarkEnd w:id="7"/>
      <w:r>
        <w:rPr>
          <w:noProof/>
        </w:rPr>
        <w:lastRenderedPageBreak/>
        <w:drawing>
          <wp:inline distT="0" distB="0" distL="0" distR="0" wp14:anchorId="7547446A" wp14:editId="7AE88971">
            <wp:extent cx="4971600" cy="2552400"/>
            <wp:effectExtent l="0" t="0" r="63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1600" cy="2552400"/>
                    </a:xfrm>
                    <a:prstGeom prst="rect">
                      <a:avLst/>
                    </a:prstGeom>
                    <a:noFill/>
                  </pic:spPr>
                </pic:pic>
              </a:graphicData>
            </a:graphic>
          </wp:inline>
        </w:drawing>
      </w:r>
    </w:p>
    <w:p w14:paraId="6840DC0A" w14:textId="465BF073" w:rsidR="00C945E3" w:rsidRPr="00C945E3" w:rsidRDefault="00C945E3" w:rsidP="006A0C0A">
      <w:pPr>
        <w:pStyle w:val="Normalaftertitle"/>
      </w:pPr>
      <w:r w:rsidRPr="00C945E3">
        <w:t>4.3</w:t>
      </w:r>
      <w:r w:rsidRPr="00C945E3">
        <w:tab/>
        <w:t xml:space="preserve">La Resolución 11 (Rev. Dubái, 2018) de la Conferencia de Plenipotenciarios, relativa a los eventos ITU Telecom, fue derogada por la Conferencia de Plenipotenciarios de 2022 (Bucarest, 2022). Asimismo, la Conferencia también aprobó la recomendación (véanse las </w:t>
      </w:r>
      <w:hyperlink r:id="rId19" w:history="1">
        <w:r w:rsidRPr="00C945E3">
          <w:rPr>
            <w:rStyle w:val="Hyperlink"/>
            <w:bCs/>
          </w:rPr>
          <w:t>Actas de la Sexta Sesión Plenaria</w:t>
        </w:r>
      </w:hyperlink>
      <w:r w:rsidRPr="00C945E3">
        <w:t xml:space="preserve"> (sección 2.3)) de </w:t>
      </w:r>
      <w:r w:rsidR="001D76CA">
        <w:t>"</w:t>
      </w:r>
      <w:r w:rsidRPr="00C945E3">
        <w:t>derogar la Resolución 11 (Rev.</w:t>
      </w:r>
      <w:r w:rsidR="00C40CD6">
        <w:t> </w:t>
      </w:r>
      <w:r w:rsidRPr="00C945E3">
        <w:t>Dubái,</w:t>
      </w:r>
      <w:r w:rsidR="00C40CD6">
        <w:t> </w:t>
      </w:r>
      <w:r w:rsidRPr="00C945E3">
        <w:t>2018) sobre eventos ITU Telecom y, en consecuencia, que la Plenaria encargue al Consejo, en su reunión ordinaria, que transfiera el saldo restante del Fondo de Operaciones de las Exposiciones al Fondo para el Desarrollo de las TIC y encargue al Secretario General y a los Directores de las Oficinas que sigan elaborando iniciativas para alentar, aumentar y fomentar la participación de las pymes y de todas las demás partes interesadas en los principales eventos y foros de la UIT</w:t>
      </w:r>
      <w:bookmarkEnd w:id="8"/>
      <w:r w:rsidR="001D76CA">
        <w:t>"</w:t>
      </w:r>
      <w:r w:rsidR="00207B28" w:rsidRPr="00C945E3">
        <w:t>.</w:t>
      </w:r>
    </w:p>
    <w:p w14:paraId="1B464F4A" w14:textId="77777777" w:rsidR="00C945E3" w:rsidRPr="00C945E3" w:rsidRDefault="00C945E3" w:rsidP="006A0C0A">
      <w:r w:rsidRPr="00C945E3">
        <w:t>Por consiguiente, se ruega al Consejo que apruebe la transferencia de 1,5 millones CHF del FOEX a la cuenta de capital del FD-TIC. Una vez se hayan saldado todas las obligaciones financieras de ITU Telecom y efectuado el cierre contable definitivo, se informará al Consejo en su reunión de 2024 sobre el saldo restante del FOEX.</w:t>
      </w:r>
    </w:p>
    <w:p w14:paraId="735C93AF" w14:textId="35860C2B" w:rsidR="00C945E3" w:rsidRPr="00C945E3" w:rsidRDefault="001D76CA" w:rsidP="001D76CA">
      <w:pPr>
        <w:pStyle w:val="Heading1"/>
      </w:pPr>
      <w:r>
        <w:t>5</w:t>
      </w:r>
      <w:r>
        <w:tab/>
      </w:r>
      <w:proofErr w:type="gramStart"/>
      <w:r w:rsidR="00C945E3" w:rsidRPr="00C945E3">
        <w:t>Próximas</w:t>
      </w:r>
      <w:proofErr w:type="gramEnd"/>
      <w:r w:rsidR="00C945E3" w:rsidRPr="00C945E3">
        <w:t xml:space="preserve"> etapas</w:t>
      </w:r>
    </w:p>
    <w:p w14:paraId="419A9D8E" w14:textId="2B218FA1" w:rsidR="00C945E3" w:rsidRPr="00C945E3" w:rsidRDefault="00C945E3" w:rsidP="00C945E3">
      <w:r w:rsidRPr="00C945E3">
        <w:t>5.1</w:t>
      </w:r>
      <w:r w:rsidRPr="00C945E3">
        <w:tab/>
        <w:t>Se analizarán y actualizarán periódicamente los progresos en la ejecución de los proyectos financiados por el FD-TIC (</w:t>
      </w:r>
      <w:hyperlink w:anchor="Annex2" w:history="1">
        <w:r w:rsidRPr="00C945E3">
          <w:rPr>
            <w:rStyle w:val="Hyperlink"/>
          </w:rPr>
          <w:t>Anexo 2</w:t>
        </w:r>
      </w:hyperlink>
      <w:r w:rsidRPr="00C945E3">
        <w:t xml:space="preserve">) en la dirección </w:t>
      </w:r>
      <w:hyperlink r:id="rId20" w:history="1">
        <w:r w:rsidRPr="00C945E3">
          <w:rPr>
            <w:rStyle w:val="Hyperlink"/>
          </w:rPr>
          <w:t>www.itu.int/en/ITU-D/Projects/ICT-DF.aspx</w:t>
        </w:r>
      </w:hyperlink>
      <w:r w:rsidRPr="00C945E3">
        <w:t>.</w:t>
      </w:r>
    </w:p>
    <w:p w14:paraId="639B2986" w14:textId="77777777" w:rsidR="00C945E3" w:rsidRPr="00C945E3" w:rsidRDefault="00C945E3" w:rsidP="00C945E3">
      <w:r w:rsidRPr="00C945E3">
        <w:t>5.2</w:t>
      </w:r>
      <w:r w:rsidRPr="00C945E3">
        <w:tab/>
        <w:t>Habida cuenta de que el FD-TIC se rige por la demanda y tiene por objeto aportar la financiación inicial, el Comité Directivo del FD-TIC seguirá estudiando propuestas de proyecto sobre la base de las reglas y criterios, manteniéndose al mismo tiempo dentro de los límites de la Cuenta de Capital del FD-TIC, para apoyar el desarrollo de las telecomunicaciones/TIC en los Estados Miembros de la UIT y contribuir al logro de los Objetivos de Desarrollo Sostenible.</w:t>
      </w:r>
    </w:p>
    <w:p w14:paraId="5294EAD2" w14:textId="77777777" w:rsidR="00C945E3" w:rsidRPr="00C945E3" w:rsidRDefault="00C945E3" w:rsidP="00C945E3">
      <w:r w:rsidRPr="00C945E3">
        <w:t>5.3</w:t>
      </w:r>
      <w:r w:rsidRPr="00C945E3">
        <w:tab/>
        <w:t>Para garantizar la sostenibilidad a largo plazo y la continuidad futura del FD-TIC, se insta a los Miembros de la UIT a que consideren la posibilidad de realizar nuevas contribuciones voluntarias a la Cuenta de Capital del FD-TIC, que ha demostrado su utilidad para subvencionar proyectos de desarrollo.</w:t>
      </w:r>
    </w:p>
    <w:p w14:paraId="36015EC5" w14:textId="5BF1103B" w:rsidR="00C945E3" w:rsidRPr="00C945E3" w:rsidRDefault="00C945E3" w:rsidP="00C945E3">
      <w:r w:rsidRPr="00C945E3">
        <w:lastRenderedPageBreak/>
        <w:t>5.4</w:t>
      </w:r>
      <w:r w:rsidRPr="00C945E3">
        <w:tab/>
        <w:t xml:space="preserve">Tras la derogación de la Resolución 11 (Rev. </w:t>
      </w:r>
      <w:r w:rsidR="006A0C0A" w:rsidRPr="00C945E3">
        <w:t>Dubái</w:t>
      </w:r>
      <w:r w:rsidRPr="00C945E3">
        <w:t>, 2018) sobre eventos ITU Telecom en la Conferencia de Plenipotenciarios (Bucarest, 2022), se ruega al Consejo que apruebe el proyecto de Resolución adjunto (</w:t>
      </w:r>
      <w:hyperlink w:anchor="Annex1" w:history="1">
        <w:r w:rsidRPr="00C945E3">
          <w:rPr>
            <w:rStyle w:val="Hyperlink"/>
          </w:rPr>
          <w:t>Anexo 1</w:t>
        </w:r>
      </w:hyperlink>
      <w:r w:rsidRPr="00C945E3">
        <w:t>) relativo a la transferencia de 1,5 millones CHF del FOEX a la Cuenta de Capital del FD-TIC.</w:t>
      </w:r>
    </w:p>
    <w:p w14:paraId="6D9D754B" w14:textId="77777777" w:rsidR="00C945E3" w:rsidRPr="00C945E3" w:rsidRDefault="00C945E3" w:rsidP="00C945E3">
      <w:r w:rsidRPr="00C945E3">
        <w:t xml:space="preserve">Una vez se hayan saldado todas las obligaciones financieras de ITU Telecom y efectuado el cierre contable definitivo, se informará al Consejo en su reunión de 2024 sobre el saldo restante del FOEX. Se invita asimismo al Consejo a que </w:t>
      </w:r>
      <w:r w:rsidRPr="00C945E3">
        <w:rPr>
          <w:b/>
          <w:bCs/>
        </w:rPr>
        <w:t>tome nota</w:t>
      </w:r>
      <w:r w:rsidRPr="00C945E3">
        <w:t xml:space="preserve"> del presente informe y formule las recomendaciones que estime oportunas.</w:t>
      </w:r>
    </w:p>
    <w:p w14:paraId="4CA9B442" w14:textId="77777777" w:rsidR="00C945E3" w:rsidRPr="00C945E3" w:rsidRDefault="00C945E3" w:rsidP="00C945E3">
      <w:r w:rsidRPr="00C945E3">
        <w:br w:type="page"/>
      </w:r>
    </w:p>
    <w:p w14:paraId="2575251D" w14:textId="0A1B9FA2" w:rsidR="00C945E3" w:rsidRPr="00C945E3" w:rsidRDefault="00C945E3" w:rsidP="001D76CA">
      <w:pPr>
        <w:pStyle w:val="AnnexNo"/>
      </w:pPr>
      <w:bookmarkStart w:id="9" w:name="Annex1"/>
      <w:r w:rsidRPr="00C945E3">
        <w:lastRenderedPageBreak/>
        <w:t>A</w:t>
      </w:r>
      <w:r w:rsidR="001D76CA">
        <w:t>N</w:t>
      </w:r>
      <w:r w:rsidRPr="00C945E3">
        <w:t>EXO 1</w:t>
      </w:r>
      <w:bookmarkEnd w:id="9"/>
    </w:p>
    <w:p w14:paraId="1A1D9AE9" w14:textId="77777777" w:rsidR="00C945E3" w:rsidRPr="00C945E3" w:rsidRDefault="00C945E3" w:rsidP="001D76CA">
      <w:pPr>
        <w:pStyle w:val="ResNo"/>
      </w:pPr>
      <w:r w:rsidRPr="00C945E3">
        <w:t>PROYECTO DE RESOLUCIÓN [...]</w:t>
      </w:r>
    </w:p>
    <w:p w14:paraId="7CCC9A28" w14:textId="77777777" w:rsidR="00C945E3" w:rsidRPr="00C945E3" w:rsidRDefault="00C945E3" w:rsidP="001D76CA">
      <w:pPr>
        <w:pStyle w:val="Restitle"/>
      </w:pPr>
      <w:r w:rsidRPr="00C945E3">
        <w:t xml:space="preserve">Fondo para el Desarrollo de las Tecnologías de la Información </w:t>
      </w:r>
      <w:r w:rsidRPr="00C945E3">
        <w:br/>
        <w:t xml:space="preserve">y la Comunicación </w:t>
      </w:r>
    </w:p>
    <w:p w14:paraId="5042F59A" w14:textId="77777777" w:rsidR="00C945E3" w:rsidRPr="00C945E3" w:rsidRDefault="00C945E3" w:rsidP="001D76CA">
      <w:pPr>
        <w:pStyle w:val="Normalaftertitle"/>
      </w:pPr>
      <w:r w:rsidRPr="00C945E3">
        <w:t>El Consejo,</w:t>
      </w:r>
    </w:p>
    <w:p w14:paraId="33D50590" w14:textId="77777777" w:rsidR="00C945E3" w:rsidRPr="00C945E3" w:rsidRDefault="00C945E3" w:rsidP="001D76CA">
      <w:pPr>
        <w:pStyle w:val="Call"/>
      </w:pPr>
      <w:r w:rsidRPr="00C945E3">
        <w:t>en vista de</w:t>
      </w:r>
    </w:p>
    <w:p w14:paraId="0E433F61" w14:textId="2B8037D0" w:rsidR="00C945E3" w:rsidRPr="00C945E3" w:rsidRDefault="00C945E3" w:rsidP="00C945E3">
      <w:r w:rsidRPr="00C945E3">
        <w:t xml:space="preserve">la derogación de la </w:t>
      </w:r>
      <w:hyperlink r:id="rId21" w:history="1">
        <w:r w:rsidRPr="00C945E3">
          <w:rPr>
            <w:rStyle w:val="Hyperlink"/>
          </w:rPr>
          <w:t>Resolución 11 (Rev. Dubái, 2018)</w:t>
        </w:r>
      </w:hyperlink>
      <w:r w:rsidRPr="00C945E3">
        <w:t xml:space="preserve"> relativa a los eventos ITU Telecom y de las </w:t>
      </w:r>
      <w:hyperlink r:id="rId22" w:history="1">
        <w:r w:rsidRPr="00C945E3">
          <w:rPr>
            <w:rStyle w:val="Hyperlink"/>
            <w:bCs/>
          </w:rPr>
          <w:t>Actas de la Decimosexta Sesión Plenaria</w:t>
        </w:r>
      </w:hyperlink>
      <w:r w:rsidRPr="00C945E3">
        <w:rPr>
          <w:bCs/>
        </w:rPr>
        <w:t xml:space="preserve"> </w:t>
      </w:r>
      <w:r w:rsidRPr="00C945E3">
        <w:t>de la Conferencia de Plenipotenciarios (Bucarest,</w:t>
      </w:r>
      <w:r w:rsidR="001D76CA">
        <w:t> </w:t>
      </w:r>
      <w:r w:rsidRPr="00C945E3">
        <w:t>2022),</w:t>
      </w:r>
    </w:p>
    <w:p w14:paraId="44E32C74" w14:textId="77777777" w:rsidR="00C945E3" w:rsidRPr="00C945E3" w:rsidRDefault="00C945E3" w:rsidP="001D76CA">
      <w:pPr>
        <w:pStyle w:val="Call"/>
      </w:pPr>
      <w:r w:rsidRPr="00C945E3">
        <w:t>habiendo examinado</w:t>
      </w:r>
    </w:p>
    <w:p w14:paraId="5A2D2B2A" w14:textId="77777777" w:rsidR="00C945E3" w:rsidRPr="00C945E3" w:rsidRDefault="00C945E3" w:rsidP="00C945E3">
      <w:r w:rsidRPr="00C945E3">
        <w:t xml:space="preserve">el informe del </w:t>
      </w:r>
      <w:proofErr w:type="gramStart"/>
      <w:r w:rsidRPr="00C945E3">
        <w:t>Secretario General</w:t>
      </w:r>
      <w:proofErr w:type="gramEnd"/>
      <w:r w:rsidRPr="00C945E3">
        <w:t xml:space="preserve"> sobre la situación del Fondo para el Desarrollo de las Tecnologías de la Información y la Comunicación (FD-TIC),</w:t>
      </w:r>
    </w:p>
    <w:p w14:paraId="11DDDFF9" w14:textId="77777777" w:rsidR="00C945E3" w:rsidRPr="00C945E3" w:rsidRDefault="00C945E3" w:rsidP="001D76CA">
      <w:pPr>
        <w:pStyle w:val="Call"/>
      </w:pPr>
      <w:r w:rsidRPr="00C945E3">
        <w:t>observando</w:t>
      </w:r>
    </w:p>
    <w:p w14:paraId="07E614A6" w14:textId="77777777" w:rsidR="00C945E3" w:rsidRPr="00C945E3" w:rsidRDefault="00C945E3" w:rsidP="00C945E3">
      <w:r w:rsidRPr="00C945E3">
        <w:t>la Resolución 1111 del Consejo (reunión de 1997) en la que se encomiendan las decisiones estratégicas, la aprobación de proyectos, la atribución de fondos y la supervisión de la ejecución de proyectos siguiendo los procedimientos en vigor, a un Comité Directivo que informará al Consejo sobre la ejecución de los proyectos,</w:t>
      </w:r>
    </w:p>
    <w:p w14:paraId="20B2D8D5" w14:textId="77777777" w:rsidR="00C945E3" w:rsidRPr="00C945E3" w:rsidRDefault="00C945E3" w:rsidP="001D76CA">
      <w:pPr>
        <w:pStyle w:val="Call"/>
      </w:pPr>
      <w:r w:rsidRPr="00C945E3">
        <w:t>resuelve</w:t>
      </w:r>
    </w:p>
    <w:p w14:paraId="004BED4C" w14:textId="77777777" w:rsidR="00C945E3" w:rsidRDefault="00C945E3" w:rsidP="00C945E3">
      <w:r w:rsidRPr="00C945E3">
        <w:t xml:space="preserve">aprobar la transferencia de 1,5 millones CHF del </w:t>
      </w:r>
      <w:r w:rsidRPr="00C945E3">
        <w:rPr>
          <w:lang w:val="es-ES"/>
        </w:rPr>
        <w:t xml:space="preserve">Fondo de Operaciones de las Exposiciones (FOEX) </w:t>
      </w:r>
      <w:r w:rsidRPr="00C945E3">
        <w:t>a la cuenta de capital del FD-TIC. Una vez se hayan saldado todas las obligaciones financieras de ITU Telecom y efectuado el cierre contable definitivo, se informará al Consejo en su reunión de 2024 sobre el saldo restante del FOEX.</w:t>
      </w:r>
    </w:p>
    <w:p w14:paraId="145838E7" w14:textId="77777777" w:rsidR="00C945E3" w:rsidRPr="00C945E3" w:rsidRDefault="00C945E3" w:rsidP="00C945E3"/>
    <w:p w14:paraId="7D0A0A77" w14:textId="77777777" w:rsidR="00C945E3" w:rsidRDefault="00C945E3">
      <w:pPr>
        <w:sectPr w:rsidR="00C945E3" w:rsidSect="00207B28">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pPr>
    </w:p>
    <w:p w14:paraId="0FA68859" w14:textId="77777777" w:rsidR="001D76CA" w:rsidRPr="001D76CA" w:rsidRDefault="001D76CA" w:rsidP="001D76CA">
      <w:pPr>
        <w:pStyle w:val="AnnexNo"/>
      </w:pPr>
      <w:bookmarkStart w:id="11" w:name="Annex2"/>
      <w:bookmarkEnd w:id="11"/>
      <w:r w:rsidRPr="001D76CA">
        <w:lastRenderedPageBreak/>
        <w:t>ANEXO 2</w:t>
      </w:r>
    </w:p>
    <w:p w14:paraId="02C9667F" w14:textId="16BB32F1" w:rsidR="001D76CA" w:rsidRPr="001D76CA" w:rsidRDefault="0084247E" w:rsidP="001D76CA">
      <w:pPr>
        <w:pStyle w:val="Annextitle"/>
        <w:rPr>
          <w:u w:val="single"/>
        </w:rPr>
      </w:pPr>
      <w:hyperlink r:id="rId26" w:history="1">
        <w:r w:rsidR="001D76CA" w:rsidRPr="001D76CA">
          <w:rPr>
            <w:rStyle w:val="Hyperlink"/>
          </w:rPr>
          <w:t>PROYECTOS DEL FD-TIC EN CURSO</w:t>
        </w:r>
      </w:hyperlink>
      <w:r w:rsidR="001D76CA" w:rsidRPr="001D76CA">
        <w:t xml:space="preserve"> </w:t>
      </w:r>
      <w:r w:rsidR="001D76CA" w:rsidRPr="001D76CA">
        <w:rPr>
          <w:bCs/>
        </w:rPr>
        <w:t>(4º trimestre de 2022)</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966"/>
        <w:gridCol w:w="1211"/>
        <w:gridCol w:w="1043"/>
        <w:gridCol w:w="1043"/>
        <w:gridCol w:w="1682"/>
        <w:gridCol w:w="2579"/>
        <w:gridCol w:w="2067"/>
      </w:tblGrid>
      <w:tr w:rsidR="001D76CA" w:rsidRPr="001D76CA" w14:paraId="5A82D627" w14:textId="77777777" w:rsidTr="00354811">
        <w:trPr>
          <w:trHeight w:val="404"/>
          <w:tblHeader/>
        </w:trPr>
        <w:tc>
          <w:tcPr>
            <w:tcW w:w="1555" w:type="dxa"/>
            <w:shd w:val="clear" w:color="auto" w:fill="D9D9D9" w:themeFill="background1" w:themeFillShade="D9"/>
          </w:tcPr>
          <w:p w14:paraId="036DD767" w14:textId="77777777" w:rsidR="001D76CA" w:rsidRPr="006A0C0A" w:rsidRDefault="001D76CA" w:rsidP="001D76CA">
            <w:pPr>
              <w:pStyle w:val="Tablehead"/>
              <w:rPr>
                <w:sz w:val="20"/>
              </w:rPr>
            </w:pPr>
            <w:proofErr w:type="spellStart"/>
            <w:r w:rsidRPr="006A0C0A">
              <w:rPr>
                <w:sz w:val="20"/>
              </w:rPr>
              <w:t>Nº</w:t>
            </w:r>
            <w:proofErr w:type="spellEnd"/>
            <w:r w:rsidRPr="006A0C0A">
              <w:rPr>
                <w:sz w:val="20"/>
              </w:rPr>
              <w:t xml:space="preserve"> proyecto</w:t>
            </w:r>
          </w:p>
        </w:tc>
        <w:tc>
          <w:tcPr>
            <w:tcW w:w="1842" w:type="dxa"/>
            <w:shd w:val="clear" w:color="auto" w:fill="D9D9D9" w:themeFill="background1" w:themeFillShade="D9"/>
          </w:tcPr>
          <w:p w14:paraId="27ED45EA" w14:textId="77777777" w:rsidR="001D76CA" w:rsidRPr="006A0C0A" w:rsidRDefault="001D76CA" w:rsidP="001D76CA">
            <w:pPr>
              <w:pStyle w:val="Tablehead"/>
              <w:rPr>
                <w:sz w:val="20"/>
              </w:rPr>
            </w:pPr>
            <w:r w:rsidRPr="006A0C0A">
              <w:rPr>
                <w:sz w:val="20"/>
              </w:rPr>
              <w:t>Título</w:t>
            </w:r>
          </w:p>
        </w:tc>
        <w:tc>
          <w:tcPr>
            <w:tcW w:w="966" w:type="dxa"/>
            <w:shd w:val="clear" w:color="auto" w:fill="D9D9D9" w:themeFill="background1" w:themeFillShade="D9"/>
          </w:tcPr>
          <w:p w14:paraId="549FF505" w14:textId="77777777" w:rsidR="001D76CA" w:rsidRPr="006A0C0A" w:rsidRDefault="001D76CA" w:rsidP="001D76CA">
            <w:pPr>
              <w:pStyle w:val="Tablehead"/>
              <w:rPr>
                <w:sz w:val="20"/>
              </w:rPr>
            </w:pPr>
            <w:r w:rsidRPr="006A0C0A">
              <w:rPr>
                <w:sz w:val="20"/>
              </w:rPr>
              <w:t>Fecha de inicio</w:t>
            </w:r>
          </w:p>
        </w:tc>
        <w:tc>
          <w:tcPr>
            <w:tcW w:w="1211" w:type="dxa"/>
            <w:shd w:val="clear" w:color="auto" w:fill="D9D9D9" w:themeFill="background1" w:themeFillShade="D9"/>
          </w:tcPr>
          <w:p w14:paraId="1787954D" w14:textId="77777777" w:rsidR="001D76CA" w:rsidRPr="006A0C0A" w:rsidRDefault="001D76CA" w:rsidP="001D76CA">
            <w:pPr>
              <w:pStyle w:val="Tablehead"/>
              <w:rPr>
                <w:sz w:val="20"/>
              </w:rPr>
            </w:pPr>
            <w:r w:rsidRPr="006A0C0A">
              <w:rPr>
                <w:sz w:val="20"/>
              </w:rPr>
              <w:t>Fecha de finalización</w:t>
            </w:r>
          </w:p>
        </w:tc>
        <w:tc>
          <w:tcPr>
            <w:tcW w:w="1043" w:type="dxa"/>
            <w:shd w:val="clear" w:color="auto" w:fill="D9D9D9" w:themeFill="background1" w:themeFillShade="D9"/>
          </w:tcPr>
          <w:p w14:paraId="477769EA" w14:textId="77777777" w:rsidR="001D76CA" w:rsidRPr="006A0C0A" w:rsidRDefault="001D76CA" w:rsidP="001D76CA">
            <w:pPr>
              <w:pStyle w:val="Tablehead"/>
              <w:rPr>
                <w:sz w:val="20"/>
              </w:rPr>
            </w:pPr>
            <w:r w:rsidRPr="006A0C0A">
              <w:rPr>
                <w:sz w:val="20"/>
              </w:rPr>
              <w:t>Región</w:t>
            </w:r>
          </w:p>
        </w:tc>
        <w:tc>
          <w:tcPr>
            <w:tcW w:w="1043" w:type="dxa"/>
            <w:shd w:val="clear" w:color="auto" w:fill="D9D9D9" w:themeFill="background1" w:themeFillShade="D9"/>
          </w:tcPr>
          <w:p w14:paraId="4B26FFA9" w14:textId="77777777" w:rsidR="001D76CA" w:rsidRPr="006A0C0A" w:rsidRDefault="001D76CA" w:rsidP="001D76CA">
            <w:pPr>
              <w:pStyle w:val="Tablehead"/>
              <w:rPr>
                <w:sz w:val="20"/>
              </w:rPr>
            </w:pPr>
            <w:r w:rsidRPr="006A0C0A">
              <w:rPr>
                <w:sz w:val="20"/>
              </w:rPr>
              <w:t>Fecha de firma</w:t>
            </w:r>
          </w:p>
        </w:tc>
        <w:tc>
          <w:tcPr>
            <w:tcW w:w="1682" w:type="dxa"/>
            <w:shd w:val="clear" w:color="auto" w:fill="D9D9D9" w:themeFill="background1" w:themeFillShade="D9"/>
          </w:tcPr>
          <w:p w14:paraId="322AE570" w14:textId="77777777" w:rsidR="001D76CA" w:rsidRPr="006A0C0A" w:rsidRDefault="001D76CA" w:rsidP="001D76CA">
            <w:pPr>
              <w:pStyle w:val="Tablehead"/>
              <w:rPr>
                <w:sz w:val="20"/>
              </w:rPr>
            </w:pPr>
            <w:r w:rsidRPr="006A0C0A">
              <w:rPr>
                <w:sz w:val="20"/>
              </w:rPr>
              <w:t>Asociados</w:t>
            </w:r>
          </w:p>
        </w:tc>
        <w:tc>
          <w:tcPr>
            <w:tcW w:w="2579" w:type="dxa"/>
            <w:shd w:val="clear" w:color="auto" w:fill="D9D9D9" w:themeFill="background1" w:themeFillShade="D9"/>
          </w:tcPr>
          <w:p w14:paraId="32B0DADF" w14:textId="77777777" w:rsidR="001D76CA" w:rsidRPr="006A0C0A" w:rsidRDefault="001D76CA" w:rsidP="001D76CA">
            <w:pPr>
              <w:pStyle w:val="Tablehead"/>
              <w:rPr>
                <w:sz w:val="20"/>
              </w:rPr>
            </w:pPr>
            <w:r w:rsidRPr="006A0C0A">
              <w:rPr>
                <w:sz w:val="20"/>
              </w:rPr>
              <w:t xml:space="preserve">Presupuesto </w:t>
            </w:r>
            <w:r w:rsidRPr="006A0C0A">
              <w:rPr>
                <w:sz w:val="20"/>
              </w:rPr>
              <w:br/>
              <w:t>firmado</w:t>
            </w:r>
          </w:p>
        </w:tc>
        <w:tc>
          <w:tcPr>
            <w:tcW w:w="2067" w:type="dxa"/>
            <w:shd w:val="clear" w:color="auto" w:fill="D9D9D9" w:themeFill="background1" w:themeFillShade="D9"/>
          </w:tcPr>
          <w:p w14:paraId="45C9670A" w14:textId="77777777" w:rsidR="001D76CA" w:rsidRPr="006A0C0A" w:rsidRDefault="001D76CA" w:rsidP="001D76CA">
            <w:pPr>
              <w:pStyle w:val="Tablehead"/>
              <w:rPr>
                <w:sz w:val="20"/>
              </w:rPr>
            </w:pPr>
            <w:r w:rsidRPr="006A0C0A">
              <w:rPr>
                <w:sz w:val="20"/>
              </w:rPr>
              <w:t>Presupuesto restante</w:t>
            </w:r>
            <w:r w:rsidRPr="006A0C0A">
              <w:rPr>
                <w:sz w:val="20"/>
              </w:rPr>
              <w:br/>
            </w:r>
            <w:r w:rsidRPr="006A0C0A">
              <w:rPr>
                <w:bCs/>
                <w:sz w:val="20"/>
              </w:rPr>
              <w:t>(después de los compromisos)</w:t>
            </w:r>
          </w:p>
        </w:tc>
      </w:tr>
      <w:tr w:rsidR="00354811" w:rsidRPr="001D76CA" w14:paraId="66F5A8C9" w14:textId="77777777" w:rsidTr="00354811">
        <w:trPr>
          <w:trHeight w:val="404"/>
        </w:trPr>
        <w:tc>
          <w:tcPr>
            <w:tcW w:w="1555" w:type="dxa"/>
          </w:tcPr>
          <w:p w14:paraId="685E891B" w14:textId="77777777" w:rsidR="001D76CA" w:rsidRPr="006A0C0A" w:rsidRDefault="001D76CA" w:rsidP="001D76CA">
            <w:pPr>
              <w:pStyle w:val="Tabletext"/>
              <w:rPr>
                <w:sz w:val="20"/>
              </w:rPr>
            </w:pPr>
            <w:r w:rsidRPr="006A0C0A">
              <w:rPr>
                <w:sz w:val="20"/>
              </w:rPr>
              <w:t>7CUB18004</w:t>
            </w:r>
          </w:p>
        </w:tc>
        <w:tc>
          <w:tcPr>
            <w:tcW w:w="1842" w:type="dxa"/>
          </w:tcPr>
          <w:p w14:paraId="0DBEC314" w14:textId="57AEA12C" w:rsidR="001D76CA" w:rsidRPr="001D76CA" w:rsidRDefault="001D76CA" w:rsidP="001D76CA">
            <w:pPr>
              <w:pStyle w:val="Tabletext"/>
              <w:rPr>
                <w:sz w:val="20"/>
              </w:rPr>
            </w:pPr>
            <w:r w:rsidRPr="001D76CA">
              <w:rPr>
                <w:sz w:val="20"/>
              </w:rPr>
              <w:t xml:space="preserve">Monitoreo Del Espectro </w:t>
            </w:r>
            <w:r w:rsidR="006A0C0A" w:rsidRPr="006A0C0A">
              <w:rPr>
                <w:sz w:val="20"/>
              </w:rPr>
              <w:t>Radioeléctrico</w:t>
            </w:r>
          </w:p>
        </w:tc>
        <w:tc>
          <w:tcPr>
            <w:tcW w:w="966" w:type="dxa"/>
          </w:tcPr>
          <w:p w14:paraId="6A4E89D0" w14:textId="5DF338B8" w:rsidR="001D76CA" w:rsidRPr="001D76CA" w:rsidRDefault="001D76CA" w:rsidP="00354811">
            <w:pPr>
              <w:pStyle w:val="Tabletext"/>
              <w:jc w:val="center"/>
              <w:rPr>
                <w:sz w:val="20"/>
              </w:rPr>
            </w:pPr>
            <w:r w:rsidRPr="001D76CA">
              <w:rPr>
                <w:sz w:val="20"/>
              </w:rPr>
              <w:t xml:space="preserve">Junio </w:t>
            </w:r>
            <w:r w:rsidR="006A0C0A">
              <w:rPr>
                <w:sz w:val="20"/>
              </w:rPr>
              <w:br/>
            </w:r>
            <w:r w:rsidRPr="006A0C0A">
              <w:rPr>
                <w:sz w:val="20"/>
              </w:rPr>
              <w:t>de</w:t>
            </w:r>
            <w:r w:rsidR="006A0C0A">
              <w:rPr>
                <w:sz w:val="20"/>
              </w:rPr>
              <w:t xml:space="preserve"> </w:t>
            </w:r>
            <w:r w:rsidRPr="001D76CA">
              <w:rPr>
                <w:sz w:val="20"/>
              </w:rPr>
              <w:t>2018</w:t>
            </w:r>
          </w:p>
        </w:tc>
        <w:tc>
          <w:tcPr>
            <w:tcW w:w="1211" w:type="dxa"/>
          </w:tcPr>
          <w:p w14:paraId="6209EF90" w14:textId="61E5020A" w:rsidR="001D76CA" w:rsidRPr="001D76CA" w:rsidRDefault="001D76CA" w:rsidP="00354811">
            <w:pPr>
              <w:pStyle w:val="Tabletext"/>
              <w:jc w:val="center"/>
              <w:rPr>
                <w:sz w:val="20"/>
              </w:rPr>
            </w:pPr>
            <w:r w:rsidRPr="001D76CA">
              <w:rPr>
                <w:sz w:val="20"/>
              </w:rPr>
              <w:t>Mar</w:t>
            </w:r>
            <w:r w:rsidRPr="006A0C0A">
              <w:rPr>
                <w:sz w:val="20"/>
              </w:rPr>
              <w:t xml:space="preserve">zo </w:t>
            </w:r>
            <w:r w:rsidR="00354811">
              <w:rPr>
                <w:sz w:val="20"/>
              </w:rPr>
              <w:br/>
            </w:r>
            <w:r w:rsidRPr="006A0C0A">
              <w:rPr>
                <w:sz w:val="20"/>
              </w:rPr>
              <w:t xml:space="preserve">de </w:t>
            </w:r>
            <w:r w:rsidRPr="001D76CA">
              <w:rPr>
                <w:sz w:val="20"/>
              </w:rPr>
              <w:t>2023</w:t>
            </w:r>
          </w:p>
        </w:tc>
        <w:tc>
          <w:tcPr>
            <w:tcW w:w="1043" w:type="dxa"/>
          </w:tcPr>
          <w:p w14:paraId="323862F2" w14:textId="77777777" w:rsidR="001D76CA" w:rsidRPr="001D76CA" w:rsidRDefault="001D76CA" w:rsidP="001D76CA">
            <w:pPr>
              <w:pStyle w:val="Tabletext"/>
              <w:rPr>
                <w:sz w:val="20"/>
              </w:rPr>
            </w:pPr>
            <w:r w:rsidRPr="001D76CA">
              <w:rPr>
                <w:sz w:val="20"/>
              </w:rPr>
              <w:t>Américas</w:t>
            </w:r>
          </w:p>
        </w:tc>
        <w:tc>
          <w:tcPr>
            <w:tcW w:w="1043" w:type="dxa"/>
          </w:tcPr>
          <w:p w14:paraId="3838AC84" w14:textId="27F52317" w:rsidR="001D76CA" w:rsidRPr="001D76CA" w:rsidRDefault="001D76CA" w:rsidP="00354811">
            <w:pPr>
              <w:pStyle w:val="Tabletext"/>
              <w:jc w:val="center"/>
              <w:rPr>
                <w:sz w:val="20"/>
              </w:rPr>
            </w:pPr>
            <w:r w:rsidRPr="001D76CA">
              <w:rPr>
                <w:sz w:val="20"/>
              </w:rPr>
              <w:t xml:space="preserve">Mayo </w:t>
            </w:r>
            <w:r w:rsidR="006A0C0A">
              <w:rPr>
                <w:sz w:val="20"/>
              </w:rPr>
              <w:br/>
            </w:r>
            <w:r w:rsidRPr="006A0C0A">
              <w:rPr>
                <w:sz w:val="20"/>
              </w:rPr>
              <w:t>de</w:t>
            </w:r>
            <w:r w:rsidR="006A0C0A">
              <w:rPr>
                <w:sz w:val="20"/>
              </w:rPr>
              <w:t xml:space="preserve"> </w:t>
            </w:r>
            <w:r w:rsidRPr="001D76CA">
              <w:rPr>
                <w:sz w:val="20"/>
              </w:rPr>
              <w:t>2018</w:t>
            </w:r>
          </w:p>
        </w:tc>
        <w:tc>
          <w:tcPr>
            <w:tcW w:w="1682" w:type="dxa"/>
          </w:tcPr>
          <w:p w14:paraId="713F0C2E" w14:textId="77777777" w:rsidR="001D76CA" w:rsidRPr="001D76CA" w:rsidRDefault="001D76CA" w:rsidP="00354811">
            <w:pPr>
              <w:pStyle w:val="Tabletext"/>
              <w:jc w:val="center"/>
              <w:rPr>
                <w:sz w:val="20"/>
              </w:rPr>
            </w:pPr>
            <w:r w:rsidRPr="001D76CA">
              <w:rPr>
                <w:sz w:val="20"/>
              </w:rPr>
              <w:t>Cuba</w:t>
            </w:r>
          </w:p>
        </w:tc>
        <w:tc>
          <w:tcPr>
            <w:tcW w:w="2579" w:type="dxa"/>
          </w:tcPr>
          <w:p w14:paraId="1AC344D0" w14:textId="7AFAF9B8" w:rsidR="001D76CA" w:rsidRPr="001D76CA" w:rsidRDefault="001D76CA" w:rsidP="001D76CA">
            <w:pPr>
              <w:pStyle w:val="Tabletext"/>
              <w:rPr>
                <w:sz w:val="20"/>
              </w:rPr>
            </w:pPr>
            <w:proofErr w:type="spellStart"/>
            <w:r w:rsidRPr="001D76CA">
              <w:rPr>
                <w:sz w:val="20"/>
              </w:rPr>
              <w:t>MoC</w:t>
            </w:r>
            <w:proofErr w:type="spellEnd"/>
            <w:r w:rsidRPr="001D76CA">
              <w:rPr>
                <w:sz w:val="20"/>
              </w:rPr>
              <w:t xml:space="preserve"> Cuba: 132 320 USD</w:t>
            </w:r>
            <w:r w:rsidRPr="001D76CA">
              <w:rPr>
                <w:sz w:val="20"/>
              </w:rPr>
              <w:br/>
              <w:t>FD-TIC: 123 087 USD</w:t>
            </w:r>
            <w:r w:rsidRPr="001D76CA">
              <w:rPr>
                <w:sz w:val="20"/>
              </w:rPr>
              <w:br/>
              <w:t>Plan Operacional de la UIT: 120 087 USD</w:t>
            </w:r>
          </w:p>
        </w:tc>
        <w:tc>
          <w:tcPr>
            <w:tcW w:w="2067" w:type="dxa"/>
          </w:tcPr>
          <w:p w14:paraId="50339C07" w14:textId="7F9C0647" w:rsidR="001D76CA" w:rsidRPr="001D76CA" w:rsidRDefault="001D76CA" w:rsidP="00354811">
            <w:pPr>
              <w:pStyle w:val="Tabletext"/>
              <w:jc w:val="center"/>
              <w:rPr>
                <w:sz w:val="20"/>
              </w:rPr>
            </w:pPr>
            <w:r w:rsidRPr="001D76CA">
              <w:rPr>
                <w:sz w:val="20"/>
              </w:rPr>
              <w:t>118 772</w:t>
            </w:r>
            <w:r w:rsidR="00354811">
              <w:rPr>
                <w:sz w:val="20"/>
              </w:rPr>
              <w:t> </w:t>
            </w:r>
            <w:r w:rsidRPr="001D76CA">
              <w:rPr>
                <w:sz w:val="20"/>
              </w:rPr>
              <w:t>USD</w:t>
            </w:r>
          </w:p>
        </w:tc>
      </w:tr>
      <w:tr w:rsidR="00354811" w:rsidRPr="001D76CA" w14:paraId="7898E915" w14:textId="77777777" w:rsidTr="00354811">
        <w:trPr>
          <w:trHeight w:val="404"/>
        </w:trPr>
        <w:tc>
          <w:tcPr>
            <w:tcW w:w="1555" w:type="dxa"/>
          </w:tcPr>
          <w:p w14:paraId="7959049A" w14:textId="77777777" w:rsidR="001D76CA" w:rsidRPr="001D76CA" w:rsidRDefault="001D76CA" w:rsidP="001D76CA">
            <w:pPr>
              <w:pStyle w:val="Tabletext"/>
              <w:rPr>
                <w:sz w:val="20"/>
              </w:rPr>
            </w:pPr>
            <w:r w:rsidRPr="001D76CA">
              <w:rPr>
                <w:sz w:val="20"/>
              </w:rPr>
              <w:t>7GLO03043</w:t>
            </w:r>
          </w:p>
        </w:tc>
        <w:tc>
          <w:tcPr>
            <w:tcW w:w="1842" w:type="dxa"/>
          </w:tcPr>
          <w:p w14:paraId="67128320" w14:textId="77777777" w:rsidR="001D76CA" w:rsidRPr="001D76CA" w:rsidRDefault="001D76CA" w:rsidP="001D76CA">
            <w:pPr>
              <w:pStyle w:val="Tabletext"/>
              <w:rPr>
                <w:sz w:val="20"/>
              </w:rPr>
            </w:pPr>
            <w:r w:rsidRPr="001D76CA">
              <w:rPr>
                <w:sz w:val="20"/>
              </w:rPr>
              <w:t>Desarrollo de las telecomunicaciones rurales en los países menos adelantados</w:t>
            </w:r>
          </w:p>
        </w:tc>
        <w:tc>
          <w:tcPr>
            <w:tcW w:w="966" w:type="dxa"/>
          </w:tcPr>
          <w:p w14:paraId="4C3D5424" w14:textId="3A2EA4D6" w:rsidR="001D76CA" w:rsidRPr="001D76CA" w:rsidRDefault="001D76CA" w:rsidP="00354811">
            <w:pPr>
              <w:pStyle w:val="Tabletext"/>
              <w:jc w:val="center"/>
              <w:rPr>
                <w:sz w:val="20"/>
              </w:rPr>
            </w:pPr>
            <w:r w:rsidRPr="001D76CA">
              <w:rPr>
                <w:sz w:val="20"/>
              </w:rPr>
              <w:t xml:space="preserve">Enero </w:t>
            </w:r>
            <w:r w:rsidR="006A0C0A">
              <w:rPr>
                <w:sz w:val="20"/>
              </w:rPr>
              <w:br/>
            </w:r>
            <w:r w:rsidRPr="006A0C0A">
              <w:rPr>
                <w:sz w:val="20"/>
              </w:rPr>
              <w:t xml:space="preserve">de </w:t>
            </w:r>
            <w:r w:rsidRPr="001D76CA">
              <w:rPr>
                <w:sz w:val="20"/>
              </w:rPr>
              <w:t>2003</w:t>
            </w:r>
          </w:p>
        </w:tc>
        <w:tc>
          <w:tcPr>
            <w:tcW w:w="1211" w:type="dxa"/>
          </w:tcPr>
          <w:p w14:paraId="67D1CA09" w14:textId="56D3C116" w:rsidR="001D76CA" w:rsidRPr="001D76CA" w:rsidRDefault="001D76CA" w:rsidP="00354811">
            <w:pPr>
              <w:pStyle w:val="Tabletext"/>
              <w:jc w:val="center"/>
              <w:rPr>
                <w:sz w:val="20"/>
              </w:rPr>
            </w:pPr>
            <w:r w:rsidRPr="001D76CA">
              <w:rPr>
                <w:sz w:val="20"/>
              </w:rPr>
              <w:t xml:space="preserve">Agosto </w:t>
            </w:r>
            <w:r w:rsidR="006A0C0A">
              <w:rPr>
                <w:sz w:val="20"/>
              </w:rPr>
              <w:br/>
            </w:r>
            <w:r w:rsidRPr="006A0C0A">
              <w:rPr>
                <w:sz w:val="20"/>
              </w:rPr>
              <w:t xml:space="preserve">de </w:t>
            </w:r>
            <w:r w:rsidRPr="001D76CA">
              <w:rPr>
                <w:sz w:val="20"/>
              </w:rPr>
              <w:t>2024</w:t>
            </w:r>
          </w:p>
        </w:tc>
        <w:tc>
          <w:tcPr>
            <w:tcW w:w="1043" w:type="dxa"/>
          </w:tcPr>
          <w:p w14:paraId="764096C1" w14:textId="77777777" w:rsidR="001D76CA" w:rsidRPr="001D76CA" w:rsidRDefault="001D76CA" w:rsidP="001D76CA">
            <w:pPr>
              <w:pStyle w:val="Tabletext"/>
              <w:rPr>
                <w:sz w:val="20"/>
              </w:rPr>
            </w:pPr>
            <w:proofErr w:type="spellStart"/>
            <w:r w:rsidRPr="001D76CA">
              <w:rPr>
                <w:sz w:val="20"/>
              </w:rPr>
              <w:t>Multirre-gional</w:t>
            </w:r>
            <w:proofErr w:type="spellEnd"/>
          </w:p>
        </w:tc>
        <w:tc>
          <w:tcPr>
            <w:tcW w:w="1043" w:type="dxa"/>
          </w:tcPr>
          <w:p w14:paraId="26E46200" w14:textId="51F6BAA3" w:rsidR="001D76CA" w:rsidRPr="001D76CA" w:rsidRDefault="001D76CA" w:rsidP="00354811">
            <w:pPr>
              <w:pStyle w:val="Tabletext"/>
              <w:jc w:val="center"/>
              <w:rPr>
                <w:sz w:val="20"/>
              </w:rPr>
            </w:pPr>
            <w:r w:rsidRPr="001D76CA">
              <w:rPr>
                <w:sz w:val="20"/>
              </w:rPr>
              <w:t>Dic</w:t>
            </w:r>
            <w:r w:rsidR="00354811">
              <w:rPr>
                <w:sz w:val="20"/>
              </w:rPr>
              <w:t>.</w:t>
            </w:r>
            <w:r w:rsidRPr="006A0C0A">
              <w:rPr>
                <w:sz w:val="20"/>
              </w:rPr>
              <w:t xml:space="preserve"> </w:t>
            </w:r>
            <w:r w:rsidR="006A0C0A">
              <w:rPr>
                <w:sz w:val="20"/>
              </w:rPr>
              <w:br/>
            </w:r>
            <w:r w:rsidRPr="006A0C0A">
              <w:rPr>
                <w:sz w:val="20"/>
              </w:rPr>
              <w:t>de</w:t>
            </w:r>
            <w:r w:rsidR="006A0C0A">
              <w:rPr>
                <w:sz w:val="20"/>
              </w:rPr>
              <w:t xml:space="preserve"> </w:t>
            </w:r>
            <w:r w:rsidRPr="001D76CA">
              <w:rPr>
                <w:sz w:val="20"/>
              </w:rPr>
              <w:t>2002</w:t>
            </w:r>
          </w:p>
        </w:tc>
        <w:tc>
          <w:tcPr>
            <w:tcW w:w="1682" w:type="dxa"/>
          </w:tcPr>
          <w:p w14:paraId="22906574" w14:textId="77777777" w:rsidR="001D76CA" w:rsidRPr="001D76CA" w:rsidRDefault="001D76CA" w:rsidP="00354811">
            <w:pPr>
              <w:pStyle w:val="Tabletext"/>
              <w:jc w:val="center"/>
              <w:rPr>
                <w:sz w:val="20"/>
              </w:rPr>
            </w:pPr>
          </w:p>
        </w:tc>
        <w:tc>
          <w:tcPr>
            <w:tcW w:w="2579" w:type="dxa"/>
          </w:tcPr>
          <w:p w14:paraId="1890E99C" w14:textId="34062979" w:rsidR="001D76CA" w:rsidRPr="001D76CA" w:rsidRDefault="001D76CA" w:rsidP="001D76CA">
            <w:pPr>
              <w:pStyle w:val="Tabletext"/>
              <w:rPr>
                <w:sz w:val="20"/>
              </w:rPr>
            </w:pPr>
            <w:r w:rsidRPr="001D76CA">
              <w:rPr>
                <w:sz w:val="20"/>
              </w:rPr>
              <w:t xml:space="preserve">FD-TIC: </w:t>
            </w:r>
            <w:r w:rsidRPr="001D76CA">
              <w:rPr>
                <w:sz w:val="20"/>
              </w:rPr>
              <w:br/>
              <w:t>Saldo (01</w:t>
            </w:r>
            <w:r w:rsidR="00354811">
              <w:rPr>
                <w:sz w:val="20"/>
              </w:rPr>
              <w:t>/</w:t>
            </w:r>
            <w:r w:rsidRPr="001D76CA">
              <w:rPr>
                <w:sz w:val="20"/>
              </w:rPr>
              <w:t>01</w:t>
            </w:r>
            <w:r w:rsidR="00354811">
              <w:rPr>
                <w:sz w:val="20"/>
              </w:rPr>
              <w:t>/</w:t>
            </w:r>
            <w:r w:rsidRPr="001D76CA">
              <w:rPr>
                <w:sz w:val="20"/>
              </w:rPr>
              <w:t>10): 509 035</w:t>
            </w:r>
            <w:r w:rsidR="00354811">
              <w:rPr>
                <w:sz w:val="20"/>
              </w:rPr>
              <w:t> </w:t>
            </w:r>
            <w:r w:rsidRPr="001D76CA">
              <w:rPr>
                <w:sz w:val="20"/>
              </w:rPr>
              <w:t>USD</w:t>
            </w:r>
          </w:p>
          <w:p w14:paraId="0A5ED0AE" w14:textId="221AD60D" w:rsidR="001D76CA" w:rsidRPr="001D76CA" w:rsidRDefault="001D76CA" w:rsidP="001D76CA">
            <w:pPr>
              <w:pStyle w:val="Tabletext"/>
              <w:rPr>
                <w:sz w:val="20"/>
              </w:rPr>
            </w:pPr>
            <w:r w:rsidRPr="001D76CA">
              <w:rPr>
                <w:sz w:val="20"/>
              </w:rPr>
              <w:t>Asignación adiciona</w:t>
            </w:r>
            <w:r w:rsidR="00354811">
              <w:rPr>
                <w:sz w:val="20"/>
              </w:rPr>
              <w:t>l</w:t>
            </w:r>
            <w:r w:rsidRPr="001D76CA">
              <w:rPr>
                <w:sz w:val="20"/>
              </w:rPr>
              <w:t xml:space="preserve"> del FD</w:t>
            </w:r>
            <w:r w:rsidR="00354811">
              <w:rPr>
                <w:sz w:val="20"/>
              </w:rPr>
              <w:noBreakHyphen/>
            </w:r>
            <w:r w:rsidRPr="001D76CA">
              <w:rPr>
                <w:sz w:val="20"/>
              </w:rPr>
              <w:t>TIC (15</w:t>
            </w:r>
            <w:r w:rsidR="00354811">
              <w:rPr>
                <w:sz w:val="20"/>
              </w:rPr>
              <w:t>/</w:t>
            </w:r>
            <w:r w:rsidRPr="001D76CA">
              <w:rPr>
                <w:sz w:val="20"/>
              </w:rPr>
              <w:t>01</w:t>
            </w:r>
            <w:r w:rsidR="00354811">
              <w:rPr>
                <w:sz w:val="20"/>
              </w:rPr>
              <w:t>/</w:t>
            </w:r>
            <w:r w:rsidRPr="001D76CA">
              <w:rPr>
                <w:sz w:val="20"/>
              </w:rPr>
              <w:t>10): 1 000 000</w:t>
            </w:r>
            <w:r w:rsidR="00354811">
              <w:rPr>
                <w:sz w:val="20"/>
              </w:rPr>
              <w:t> </w:t>
            </w:r>
            <w:r w:rsidRPr="001D76CA">
              <w:rPr>
                <w:sz w:val="20"/>
              </w:rPr>
              <w:t>USD</w:t>
            </w:r>
          </w:p>
          <w:p w14:paraId="72784FDE" w14:textId="63D984CD" w:rsidR="001D76CA" w:rsidRPr="001D76CA" w:rsidRDefault="001D76CA" w:rsidP="001D76CA">
            <w:pPr>
              <w:pStyle w:val="Tabletext"/>
              <w:rPr>
                <w:sz w:val="20"/>
              </w:rPr>
            </w:pPr>
            <w:r w:rsidRPr="001D76CA">
              <w:rPr>
                <w:sz w:val="20"/>
              </w:rPr>
              <w:t>Asignación adiciona</w:t>
            </w:r>
            <w:r w:rsidR="00354811">
              <w:rPr>
                <w:sz w:val="20"/>
              </w:rPr>
              <w:t>l</w:t>
            </w:r>
            <w:r w:rsidRPr="001D76CA">
              <w:rPr>
                <w:sz w:val="20"/>
              </w:rPr>
              <w:t xml:space="preserve"> del FD</w:t>
            </w:r>
            <w:r w:rsidR="00354811">
              <w:rPr>
                <w:sz w:val="20"/>
              </w:rPr>
              <w:noBreakHyphen/>
            </w:r>
            <w:r w:rsidRPr="001D76CA">
              <w:rPr>
                <w:sz w:val="20"/>
              </w:rPr>
              <w:t>TIC (14</w:t>
            </w:r>
            <w:r w:rsidR="00354811">
              <w:rPr>
                <w:sz w:val="20"/>
              </w:rPr>
              <w:t>/</w:t>
            </w:r>
            <w:r w:rsidRPr="001D76CA">
              <w:rPr>
                <w:sz w:val="20"/>
              </w:rPr>
              <w:t>11</w:t>
            </w:r>
            <w:r w:rsidR="00354811">
              <w:rPr>
                <w:sz w:val="20"/>
              </w:rPr>
              <w:t>/</w:t>
            </w:r>
            <w:r w:rsidRPr="001D76CA">
              <w:rPr>
                <w:sz w:val="20"/>
              </w:rPr>
              <w:t>13): 1 000 000</w:t>
            </w:r>
            <w:r w:rsidR="00354811">
              <w:rPr>
                <w:sz w:val="20"/>
              </w:rPr>
              <w:t> </w:t>
            </w:r>
            <w:r w:rsidRPr="001D76CA">
              <w:rPr>
                <w:sz w:val="20"/>
              </w:rPr>
              <w:t>USD</w:t>
            </w:r>
          </w:p>
        </w:tc>
        <w:tc>
          <w:tcPr>
            <w:tcW w:w="2067" w:type="dxa"/>
          </w:tcPr>
          <w:p w14:paraId="0C9CDB62" w14:textId="6B53CB88" w:rsidR="001D76CA" w:rsidRPr="001D76CA" w:rsidRDefault="001D76CA" w:rsidP="00354811">
            <w:pPr>
              <w:pStyle w:val="Tabletext"/>
              <w:jc w:val="center"/>
              <w:rPr>
                <w:sz w:val="20"/>
              </w:rPr>
            </w:pPr>
            <w:r w:rsidRPr="001D76CA">
              <w:rPr>
                <w:sz w:val="20"/>
              </w:rPr>
              <w:t>635 245</w:t>
            </w:r>
            <w:r w:rsidR="00354811">
              <w:rPr>
                <w:sz w:val="20"/>
              </w:rPr>
              <w:t> </w:t>
            </w:r>
            <w:r w:rsidRPr="001D76CA">
              <w:rPr>
                <w:sz w:val="20"/>
              </w:rPr>
              <w:t>USD</w:t>
            </w:r>
          </w:p>
        </w:tc>
      </w:tr>
      <w:tr w:rsidR="00354811" w:rsidRPr="001D76CA" w14:paraId="422F871F" w14:textId="77777777" w:rsidTr="00354811">
        <w:trPr>
          <w:trHeight w:val="404"/>
        </w:trPr>
        <w:tc>
          <w:tcPr>
            <w:tcW w:w="1555" w:type="dxa"/>
          </w:tcPr>
          <w:p w14:paraId="1D32CA76" w14:textId="77777777" w:rsidR="001D76CA" w:rsidRPr="001D76CA" w:rsidRDefault="001D76CA" w:rsidP="001D76CA">
            <w:pPr>
              <w:pStyle w:val="Tabletext"/>
              <w:rPr>
                <w:sz w:val="20"/>
              </w:rPr>
            </w:pPr>
            <w:r w:rsidRPr="001D76CA">
              <w:rPr>
                <w:sz w:val="20"/>
              </w:rPr>
              <w:t>7OMA13005</w:t>
            </w:r>
          </w:p>
        </w:tc>
        <w:tc>
          <w:tcPr>
            <w:tcW w:w="1842" w:type="dxa"/>
          </w:tcPr>
          <w:p w14:paraId="408DBFD9" w14:textId="77777777" w:rsidR="001D76CA" w:rsidRPr="001D76CA" w:rsidRDefault="001D76CA" w:rsidP="001D76CA">
            <w:pPr>
              <w:pStyle w:val="Tabletext"/>
              <w:rPr>
                <w:sz w:val="20"/>
              </w:rPr>
            </w:pPr>
            <w:r w:rsidRPr="001D76CA">
              <w:rPr>
                <w:sz w:val="20"/>
              </w:rPr>
              <w:t>Establecimiento de un Centro de Innovación sobre Ciberseguridad para la Región Árabe</w:t>
            </w:r>
          </w:p>
        </w:tc>
        <w:tc>
          <w:tcPr>
            <w:tcW w:w="966" w:type="dxa"/>
          </w:tcPr>
          <w:p w14:paraId="1905BD67" w14:textId="190AB334" w:rsidR="001D76CA" w:rsidRPr="001D76CA" w:rsidRDefault="001D76CA" w:rsidP="00354811">
            <w:pPr>
              <w:pStyle w:val="Tabletext"/>
              <w:jc w:val="center"/>
              <w:rPr>
                <w:sz w:val="20"/>
              </w:rPr>
            </w:pPr>
            <w:r w:rsidRPr="001D76CA">
              <w:rPr>
                <w:sz w:val="20"/>
              </w:rPr>
              <w:t xml:space="preserve">Febrero </w:t>
            </w:r>
            <w:r w:rsidRPr="006A0C0A">
              <w:rPr>
                <w:sz w:val="20"/>
              </w:rPr>
              <w:t xml:space="preserve">de </w:t>
            </w:r>
            <w:r w:rsidRPr="001D76CA">
              <w:rPr>
                <w:sz w:val="20"/>
              </w:rPr>
              <w:t>2013</w:t>
            </w:r>
          </w:p>
        </w:tc>
        <w:tc>
          <w:tcPr>
            <w:tcW w:w="1211" w:type="dxa"/>
          </w:tcPr>
          <w:p w14:paraId="0C3FDC88" w14:textId="2BE6C149" w:rsidR="001D76CA" w:rsidRPr="001D76CA" w:rsidRDefault="001D76CA" w:rsidP="00354811">
            <w:pPr>
              <w:pStyle w:val="Tabletext"/>
              <w:jc w:val="center"/>
              <w:rPr>
                <w:sz w:val="20"/>
              </w:rPr>
            </w:pPr>
            <w:r w:rsidRPr="001D76CA">
              <w:rPr>
                <w:sz w:val="20"/>
              </w:rPr>
              <w:t xml:space="preserve">Sep. </w:t>
            </w:r>
            <w:r w:rsidR="006A0C0A">
              <w:rPr>
                <w:sz w:val="20"/>
              </w:rPr>
              <w:br/>
            </w:r>
            <w:r w:rsidRPr="006A0C0A">
              <w:rPr>
                <w:sz w:val="20"/>
              </w:rPr>
              <w:t>de</w:t>
            </w:r>
            <w:r w:rsidR="006A0C0A">
              <w:rPr>
                <w:sz w:val="20"/>
              </w:rPr>
              <w:t xml:space="preserve"> </w:t>
            </w:r>
            <w:r w:rsidRPr="001D76CA">
              <w:rPr>
                <w:sz w:val="20"/>
              </w:rPr>
              <w:t>2030</w:t>
            </w:r>
          </w:p>
        </w:tc>
        <w:tc>
          <w:tcPr>
            <w:tcW w:w="1043" w:type="dxa"/>
          </w:tcPr>
          <w:p w14:paraId="08FC0528" w14:textId="77777777" w:rsidR="001D76CA" w:rsidRPr="001D76CA" w:rsidRDefault="001D76CA" w:rsidP="001D76CA">
            <w:pPr>
              <w:pStyle w:val="Tabletext"/>
              <w:rPr>
                <w:sz w:val="20"/>
              </w:rPr>
            </w:pPr>
            <w:r w:rsidRPr="001D76CA">
              <w:rPr>
                <w:sz w:val="20"/>
              </w:rPr>
              <w:t>Estados Árabes</w:t>
            </w:r>
          </w:p>
        </w:tc>
        <w:tc>
          <w:tcPr>
            <w:tcW w:w="1043" w:type="dxa"/>
          </w:tcPr>
          <w:p w14:paraId="475E8867" w14:textId="0ABE3C7F" w:rsidR="001D76CA" w:rsidRPr="001D76CA" w:rsidRDefault="001D76CA" w:rsidP="00354811">
            <w:pPr>
              <w:pStyle w:val="Tabletext"/>
              <w:jc w:val="center"/>
              <w:rPr>
                <w:sz w:val="20"/>
              </w:rPr>
            </w:pPr>
            <w:r w:rsidRPr="001D76CA">
              <w:rPr>
                <w:sz w:val="20"/>
              </w:rPr>
              <w:t xml:space="preserve">Dic. </w:t>
            </w:r>
            <w:r w:rsidR="006A0C0A">
              <w:rPr>
                <w:sz w:val="20"/>
              </w:rPr>
              <w:br/>
            </w:r>
            <w:r w:rsidRPr="006A0C0A">
              <w:rPr>
                <w:sz w:val="20"/>
              </w:rPr>
              <w:t>de</w:t>
            </w:r>
            <w:r w:rsidR="006A0C0A">
              <w:rPr>
                <w:sz w:val="20"/>
              </w:rPr>
              <w:t xml:space="preserve"> </w:t>
            </w:r>
            <w:r w:rsidRPr="001D76CA">
              <w:rPr>
                <w:sz w:val="20"/>
              </w:rPr>
              <w:t>2012</w:t>
            </w:r>
          </w:p>
        </w:tc>
        <w:tc>
          <w:tcPr>
            <w:tcW w:w="1682" w:type="dxa"/>
          </w:tcPr>
          <w:p w14:paraId="10A3AC17" w14:textId="77777777" w:rsidR="001D76CA" w:rsidRPr="001D76CA" w:rsidRDefault="001D76CA" w:rsidP="00354811">
            <w:pPr>
              <w:pStyle w:val="Tabletext"/>
              <w:jc w:val="center"/>
              <w:rPr>
                <w:sz w:val="20"/>
              </w:rPr>
            </w:pPr>
            <w:r w:rsidRPr="001D76CA">
              <w:rPr>
                <w:sz w:val="20"/>
              </w:rPr>
              <w:t>Omán</w:t>
            </w:r>
          </w:p>
        </w:tc>
        <w:tc>
          <w:tcPr>
            <w:tcW w:w="2579" w:type="dxa"/>
          </w:tcPr>
          <w:p w14:paraId="720DAB92" w14:textId="28F34611" w:rsidR="001D76CA" w:rsidRPr="001D76CA" w:rsidRDefault="001D76CA" w:rsidP="001D76CA">
            <w:pPr>
              <w:pStyle w:val="Tabletext"/>
              <w:rPr>
                <w:sz w:val="20"/>
              </w:rPr>
            </w:pPr>
            <w:r w:rsidRPr="001D76CA">
              <w:rPr>
                <w:sz w:val="20"/>
              </w:rPr>
              <w:t>Omán: 2 000 000</w:t>
            </w:r>
            <w:r w:rsidR="00354811">
              <w:rPr>
                <w:sz w:val="20"/>
              </w:rPr>
              <w:t> </w:t>
            </w:r>
            <w:r w:rsidR="00354811" w:rsidRPr="001D76CA">
              <w:rPr>
                <w:sz w:val="20"/>
              </w:rPr>
              <w:t>USD</w:t>
            </w:r>
          </w:p>
          <w:p w14:paraId="117BE93E" w14:textId="311201F7" w:rsidR="001D76CA" w:rsidRPr="001D76CA" w:rsidRDefault="001D76CA" w:rsidP="001D76CA">
            <w:pPr>
              <w:pStyle w:val="Tabletext"/>
              <w:rPr>
                <w:sz w:val="20"/>
              </w:rPr>
            </w:pPr>
            <w:r w:rsidRPr="001D76CA">
              <w:rPr>
                <w:sz w:val="20"/>
              </w:rPr>
              <w:t>FD-TIC: 752 500</w:t>
            </w:r>
            <w:r w:rsidR="00354811">
              <w:rPr>
                <w:sz w:val="20"/>
              </w:rPr>
              <w:t> USD</w:t>
            </w:r>
          </w:p>
        </w:tc>
        <w:tc>
          <w:tcPr>
            <w:tcW w:w="2067" w:type="dxa"/>
          </w:tcPr>
          <w:p w14:paraId="59AFA3E6" w14:textId="3CC5E35C" w:rsidR="001D76CA" w:rsidRPr="001D76CA" w:rsidRDefault="001D76CA" w:rsidP="00354811">
            <w:pPr>
              <w:pStyle w:val="Tabletext"/>
              <w:jc w:val="center"/>
              <w:rPr>
                <w:sz w:val="20"/>
              </w:rPr>
            </w:pPr>
            <w:r w:rsidRPr="001D76CA">
              <w:rPr>
                <w:sz w:val="20"/>
              </w:rPr>
              <w:t>157 153 CHF</w:t>
            </w:r>
          </w:p>
        </w:tc>
      </w:tr>
      <w:tr w:rsidR="00354811" w:rsidRPr="001D76CA" w14:paraId="0BC262D6" w14:textId="77777777" w:rsidTr="00354811">
        <w:trPr>
          <w:cantSplit/>
          <w:trHeight w:val="404"/>
        </w:trPr>
        <w:tc>
          <w:tcPr>
            <w:tcW w:w="1555" w:type="dxa"/>
          </w:tcPr>
          <w:p w14:paraId="345F7E90" w14:textId="77777777" w:rsidR="001D76CA" w:rsidRPr="001D76CA" w:rsidRDefault="001D76CA" w:rsidP="001D76CA">
            <w:pPr>
              <w:pStyle w:val="Tabletext"/>
              <w:rPr>
                <w:sz w:val="20"/>
              </w:rPr>
            </w:pPr>
            <w:r w:rsidRPr="001D76CA">
              <w:rPr>
                <w:sz w:val="20"/>
              </w:rPr>
              <w:lastRenderedPageBreak/>
              <w:t>9RAF18089</w:t>
            </w:r>
          </w:p>
        </w:tc>
        <w:tc>
          <w:tcPr>
            <w:tcW w:w="1842" w:type="dxa"/>
          </w:tcPr>
          <w:p w14:paraId="4E872D08" w14:textId="77777777" w:rsidR="001D76CA" w:rsidRPr="001D76CA" w:rsidRDefault="001D76CA" w:rsidP="001D76CA">
            <w:pPr>
              <w:pStyle w:val="Tabletext"/>
              <w:rPr>
                <w:sz w:val="20"/>
              </w:rPr>
            </w:pPr>
            <w:r w:rsidRPr="001D76CA">
              <w:rPr>
                <w:sz w:val="20"/>
              </w:rPr>
              <w:t>Acuerdo de delegación para la acción entre PRIDA y la UIT</w:t>
            </w:r>
          </w:p>
        </w:tc>
        <w:tc>
          <w:tcPr>
            <w:tcW w:w="966" w:type="dxa"/>
          </w:tcPr>
          <w:p w14:paraId="32D77A20" w14:textId="674AC32E" w:rsidR="001D76CA" w:rsidRPr="001D76CA" w:rsidRDefault="001D76CA" w:rsidP="00354811">
            <w:pPr>
              <w:pStyle w:val="Tabletext"/>
              <w:jc w:val="center"/>
              <w:rPr>
                <w:sz w:val="20"/>
              </w:rPr>
            </w:pPr>
            <w:r w:rsidRPr="001D76CA">
              <w:rPr>
                <w:sz w:val="20"/>
              </w:rPr>
              <w:t>Dic.</w:t>
            </w:r>
            <w:r w:rsidRPr="006A0C0A">
              <w:rPr>
                <w:sz w:val="20"/>
              </w:rPr>
              <w:t xml:space="preserve"> </w:t>
            </w:r>
            <w:r w:rsidR="006A0C0A">
              <w:rPr>
                <w:sz w:val="20"/>
              </w:rPr>
              <w:br/>
            </w:r>
            <w:r w:rsidRPr="006A0C0A">
              <w:rPr>
                <w:sz w:val="20"/>
              </w:rPr>
              <w:t>de</w:t>
            </w:r>
            <w:r w:rsidR="006A0C0A">
              <w:rPr>
                <w:sz w:val="20"/>
              </w:rPr>
              <w:t xml:space="preserve"> </w:t>
            </w:r>
            <w:r w:rsidRPr="001D76CA">
              <w:rPr>
                <w:sz w:val="20"/>
              </w:rPr>
              <w:t>2018</w:t>
            </w:r>
          </w:p>
        </w:tc>
        <w:tc>
          <w:tcPr>
            <w:tcW w:w="1211" w:type="dxa"/>
          </w:tcPr>
          <w:p w14:paraId="0F74FEE3" w14:textId="750DE3EF" w:rsidR="001D76CA" w:rsidRPr="001D76CA" w:rsidRDefault="001D76CA" w:rsidP="00354811">
            <w:pPr>
              <w:pStyle w:val="Tabletext"/>
              <w:jc w:val="center"/>
              <w:rPr>
                <w:sz w:val="20"/>
              </w:rPr>
            </w:pPr>
            <w:r w:rsidRPr="001D76CA">
              <w:rPr>
                <w:sz w:val="20"/>
              </w:rPr>
              <w:t>Mayo</w:t>
            </w:r>
            <w:r w:rsidRPr="001D76CA">
              <w:rPr>
                <w:sz w:val="20"/>
              </w:rPr>
              <w:br/>
            </w:r>
            <w:r w:rsidRPr="006A0C0A">
              <w:rPr>
                <w:sz w:val="20"/>
              </w:rPr>
              <w:t>de</w:t>
            </w:r>
            <w:r w:rsidRPr="001D76CA">
              <w:rPr>
                <w:sz w:val="20"/>
              </w:rPr>
              <w:t xml:space="preserve"> 2023</w:t>
            </w:r>
          </w:p>
        </w:tc>
        <w:tc>
          <w:tcPr>
            <w:tcW w:w="1043" w:type="dxa"/>
          </w:tcPr>
          <w:p w14:paraId="1662F51A" w14:textId="77777777" w:rsidR="001D76CA" w:rsidRPr="001D76CA" w:rsidRDefault="001D76CA" w:rsidP="001D76CA">
            <w:pPr>
              <w:pStyle w:val="Tabletext"/>
              <w:rPr>
                <w:sz w:val="20"/>
              </w:rPr>
            </w:pPr>
            <w:r w:rsidRPr="001D76CA">
              <w:rPr>
                <w:sz w:val="20"/>
              </w:rPr>
              <w:t>África</w:t>
            </w:r>
          </w:p>
        </w:tc>
        <w:tc>
          <w:tcPr>
            <w:tcW w:w="1043" w:type="dxa"/>
          </w:tcPr>
          <w:p w14:paraId="6D61A77B" w14:textId="35E73280" w:rsidR="001D76CA" w:rsidRPr="001D76CA" w:rsidRDefault="001D76CA" w:rsidP="00354811">
            <w:pPr>
              <w:pStyle w:val="Tabletext"/>
              <w:jc w:val="center"/>
              <w:rPr>
                <w:sz w:val="20"/>
              </w:rPr>
            </w:pPr>
            <w:r w:rsidRPr="001D76CA">
              <w:rPr>
                <w:sz w:val="20"/>
              </w:rPr>
              <w:t xml:space="preserve">Nov. </w:t>
            </w:r>
            <w:r w:rsidR="006A0C0A">
              <w:rPr>
                <w:sz w:val="20"/>
              </w:rPr>
              <w:br/>
            </w:r>
            <w:r w:rsidRPr="006A0C0A">
              <w:rPr>
                <w:sz w:val="20"/>
              </w:rPr>
              <w:t>de</w:t>
            </w:r>
            <w:r w:rsidR="006A0C0A">
              <w:rPr>
                <w:sz w:val="20"/>
              </w:rPr>
              <w:t xml:space="preserve"> </w:t>
            </w:r>
            <w:r w:rsidRPr="001D76CA">
              <w:rPr>
                <w:sz w:val="20"/>
              </w:rPr>
              <w:t>2018</w:t>
            </w:r>
          </w:p>
        </w:tc>
        <w:tc>
          <w:tcPr>
            <w:tcW w:w="1682" w:type="dxa"/>
          </w:tcPr>
          <w:p w14:paraId="56630CFF" w14:textId="77777777" w:rsidR="001D76CA" w:rsidRPr="001D76CA" w:rsidRDefault="001D76CA" w:rsidP="00354811">
            <w:pPr>
              <w:pStyle w:val="Tabletext"/>
              <w:jc w:val="center"/>
              <w:rPr>
                <w:sz w:val="20"/>
              </w:rPr>
            </w:pPr>
            <w:r w:rsidRPr="001D76CA">
              <w:rPr>
                <w:sz w:val="20"/>
              </w:rPr>
              <w:t>EU</w:t>
            </w:r>
          </w:p>
        </w:tc>
        <w:tc>
          <w:tcPr>
            <w:tcW w:w="2579" w:type="dxa"/>
          </w:tcPr>
          <w:p w14:paraId="30F68175" w14:textId="091273C2" w:rsidR="001D76CA" w:rsidRPr="001D76CA" w:rsidRDefault="001D76CA" w:rsidP="001D76CA">
            <w:pPr>
              <w:pStyle w:val="Tabletext"/>
              <w:rPr>
                <w:sz w:val="20"/>
                <w:lang w:val="fr-FR"/>
              </w:rPr>
            </w:pPr>
            <w:proofErr w:type="gramStart"/>
            <w:r w:rsidRPr="001D76CA">
              <w:rPr>
                <w:sz w:val="20"/>
                <w:lang w:val="fr-FR"/>
              </w:rPr>
              <w:t>EU:</w:t>
            </w:r>
            <w:proofErr w:type="gramEnd"/>
            <w:r w:rsidRPr="001D76CA">
              <w:rPr>
                <w:sz w:val="20"/>
                <w:lang w:val="fr-FR"/>
              </w:rPr>
              <w:t xml:space="preserve"> 5 000 000</w:t>
            </w:r>
            <w:r w:rsidR="00354811" w:rsidRPr="00354811">
              <w:rPr>
                <w:sz w:val="20"/>
                <w:lang w:val="fr-FR"/>
              </w:rPr>
              <w:t> </w:t>
            </w:r>
            <w:r w:rsidR="00354811">
              <w:rPr>
                <w:sz w:val="20"/>
                <w:lang w:val="fr-FR"/>
              </w:rPr>
              <w:t>EUR</w:t>
            </w:r>
          </w:p>
          <w:p w14:paraId="7BD131C7" w14:textId="6F718B68" w:rsidR="001D76CA" w:rsidRPr="001D76CA" w:rsidRDefault="001D76CA" w:rsidP="001D76CA">
            <w:pPr>
              <w:pStyle w:val="Tabletext"/>
              <w:rPr>
                <w:sz w:val="20"/>
                <w:lang w:val="fr-FR"/>
              </w:rPr>
            </w:pPr>
            <w:r w:rsidRPr="001D76CA">
              <w:rPr>
                <w:sz w:val="20"/>
                <w:lang w:val="fr-FR"/>
              </w:rPr>
              <w:t>FD-</w:t>
            </w:r>
            <w:proofErr w:type="gramStart"/>
            <w:r w:rsidRPr="001D76CA">
              <w:rPr>
                <w:sz w:val="20"/>
                <w:lang w:val="fr-FR"/>
              </w:rPr>
              <w:t>TIC:</w:t>
            </w:r>
            <w:proofErr w:type="gramEnd"/>
            <w:r w:rsidRPr="001D76CA">
              <w:rPr>
                <w:sz w:val="20"/>
                <w:lang w:val="fr-FR"/>
              </w:rPr>
              <w:t xml:space="preserve"> 500 000</w:t>
            </w:r>
            <w:r w:rsidR="00354811">
              <w:rPr>
                <w:sz w:val="20"/>
                <w:lang w:val="fr-FR"/>
              </w:rPr>
              <w:t> EUR</w:t>
            </w:r>
          </w:p>
        </w:tc>
        <w:tc>
          <w:tcPr>
            <w:tcW w:w="2067" w:type="dxa"/>
          </w:tcPr>
          <w:p w14:paraId="236F9C0D" w14:textId="0EB01BC3" w:rsidR="001D76CA" w:rsidRPr="001D76CA" w:rsidRDefault="001D76CA" w:rsidP="00354811">
            <w:pPr>
              <w:pStyle w:val="Tabletext"/>
              <w:jc w:val="center"/>
              <w:rPr>
                <w:sz w:val="20"/>
              </w:rPr>
            </w:pPr>
            <w:r w:rsidRPr="001D76CA">
              <w:rPr>
                <w:sz w:val="20"/>
              </w:rPr>
              <w:t>3 803 007 EUR</w:t>
            </w:r>
          </w:p>
        </w:tc>
      </w:tr>
      <w:tr w:rsidR="00354811" w:rsidRPr="001D76CA" w14:paraId="1140AC14" w14:textId="77777777" w:rsidTr="00354811">
        <w:trPr>
          <w:trHeight w:val="404"/>
        </w:trPr>
        <w:tc>
          <w:tcPr>
            <w:tcW w:w="1555" w:type="dxa"/>
          </w:tcPr>
          <w:p w14:paraId="3B56637D" w14:textId="77777777" w:rsidR="001D76CA" w:rsidRPr="001D76CA" w:rsidRDefault="001D76CA" w:rsidP="001D76CA">
            <w:pPr>
              <w:pStyle w:val="Tabletext"/>
              <w:rPr>
                <w:sz w:val="20"/>
              </w:rPr>
            </w:pPr>
            <w:r w:rsidRPr="001D76CA">
              <w:rPr>
                <w:sz w:val="20"/>
              </w:rPr>
              <w:t>7GLO20106</w:t>
            </w:r>
          </w:p>
        </w:tc>
        <w:tc>
          <w:tcPr>
            <w:tcW w:w="1842" w:type="dxa"/>
          </w:tcPr>
          <w:p w14:paraId="7C3391A4" w14:textId="77777777" w:rsidR="001D76CA" w:rsidRPr="001D76CA" w:rsidRDefault="001D76CA" w:rsidP="001D76CA">
            <w:pPr>
              <w:pStyle w:val="Tabletext"/>
              <w:rPr>
                <w:sz w:val="20"/>
              </w:rPr>
            </w:pPr>
            <w:r w:rsidRPr="001D76CA">
              <w:rPr>
                <w:sz w:val="20"/>
              </w:rPr>
              <w:t>Mejora del ecosistema digital y de las capacidades digitales para el empoderamiento económico de las mujeres en los PMA</w:t>
            </w:r>
          </w:p>
        </w:tc>
        <w:tc>
          <w:tcPr>
            <w:tcW w:w="966" w:type="dxa"/>
          </w:tcPr>
          <w:p w14:paraId="61673B9C" w14:textId="02469767" w:rsidR="001D76CA" w:rsidRPr="001D76CA" w:rsidRDefault="001D76CA" w:rsidP="00354811">
            <w:pPr>
              <w:pStyle w:val="Tabletext"/>
              <w:jc w:val="center"/>
              <w:rPr>
                <w:sz w:val="20"/>
              </w:rPr>
            </w:pPr>
            <w:r w:rsidRPr="001D76CA">
              <w:rPr>
                <w:sz w:val="20"/>
              </w:rPr>
              <w:t>Julio</w:t>
            </w:r>
            <w:r w:rsidRPr="006A0C0A">
              <w:rPr>
                <w:sz w:val="20"/>
              </w:rPr>
              <w:t xml:space="preserve"> </w:t>
            </w:r>
            <w:r w:rsidR="006A0C0A">
              <w:rPr>
                <w:sz w:val="20"/>
              </w:rPr>
              <w:br/>
            </w:r>
            <w:r w:rsidRPr="006A0C0A">
              <w:rPr>
                <w:sz w:val="20"/>
              </w:rPr>
              <w:t>de</w:t>
            </w:r>
            <w:r w:rsidR="006A0C0A">
              <w:rPr>
                <w:sz w:val="20"/>
              </w:rPr>
              <w:t xml:space="preserve"> </w:t>
            </w:r>
            <w:r w:rsidRPr="001D76CA">
              <w:rPr>
                <w:sz w:val="20"/>
              </w:rPr>
              <w:t>2020</w:t>
            </w:r>
          </w:p>
        </w:tc>
        <w:tc>
          <w:tcPr>
            <w:tcW w:w="1211" w:type="dxa"/>
          </w:tcPr>
          <w:p w14:paraId="5066B367" w14:textId="71FE186D" w:rsidR="001D76CA" w:rsidRPr="001D76CA" w:rsidRDefault="001D76CA" w:rsidP="00354811">
            <w:pPr>
              <w:pStyle w:val="Tabletext"/>
              <w:jc w:val="center"/>
              <w:rPr>
                <w:sz w:val="20"/>
              </w:rPr>
            </w:pPr>
            <w:r w:rsidRPr="001D76CA">
              <w:rPr>
                <w:sz w:val="20"/>
              </w:rPr>
              <w:t xml:space="preserve">Abril </w:t>
            </w:r>
            <w:r w:rsidR="00354811">
              <w:rPr>
                <w:sz w:val="20"/>
              </w:rPr>
              <w:br/>
            </w:r>
            <w:r w:rsidRPr="006A0C0A">
              <w:rPr>
                <w:sz w:val="20"/>
              </w:rPr>
              <w:t xml:space="preserve">de </w:t>
            </w:r>
            <w:r w:rsidRPr="001D76CA">
              <w:rPr>
                <w:sz w:val="20"/>
              </w:rPr>
              <w:t>2023</w:t>
            </w:r>
          </w:p>
        </w:tc>
        <w:tc>
          <w:tcPr>
            <w:tcW w:w="1043" w:type="dxa"/>
          </w:tcPr>
          <w:p w14:paraId="0EFD4732" w14:textId="77777777" w:rsidR="001D76CA" w:rsidRPr="001D76CA" w:rsidRDefault="001D76CA" w:rsidP="001D76CA">
            <w:pPr>
              <w:pStyle w:val="Tabletext"/>
              <w:rPr>
                <w:sz w:val="20"/>
              </w:rPr>
            </w:pPr>
            <w:proofErr w:type="spellStart"/>
            <w:r w:rsidRPr="001D76CA">
              <w:rPr>
                <w:sz w:val="20"/>
              </w:rPr>
              <w:t>Multirre-gional</w:t>
            </w:r>
            <w:proofErr w:type="spellEnd"/>
          </w:p>
        </w:tc>
        <w:tc>
          <w:tcPr>
            <w:tcW w:w="1043" w:type="dxa"/>
          </w:tcPr>
          <w:p w14:paraId="25A0F54C" w14:textId="7D6A44EC" w:rsidR="001D76CA" w:rsidRPr="001D76CA" w:rsidRDefault="001D76CA" w:rsidP="00354811">
            <w:pPr>
              <w:pStyle w:val="Tabletext"/>
              <w:jc w:val="center"/>
              <w:rPr>
                <w:sz w:val="20"/>
              </w:rPr>
            </w:pPr>
            <w:r w:rsidRPr="001D76CA">
              <w:rPr>
                <w:sz w:val="20"/>
              </w:rPr>
              <w:t xml:space="preserve">Julio </w:t>
            </w:r>
            <w:r w:rsidR="006A0C0A">
              <w:rPr>
                <w:sz w:val="20"/>
              </w:rPr>
              <w:br/>
            </w:r>
            <w:r w:rsidRPr="006A0C0A">
              <w:rPr>
                <w:sz w:val="20"/>
              </w:rPr>
              <w:t>de</w:t>
            </w:r>
            <w:r w:rsidR="006A0C0A">
              <w:rPr>
                <w:sz w:val="20"/>
              </w:rPr>
              <w:t xml:space="preserve"> </w:t>
            </w:r>
            <w:r w:rsidRPr="001D76CA">
              <w:rPr>
                <w:sz w:val="20"/>
              </w:rPr>
              <w:t>2020</w:t>
            </w:r>
          </w:p>
        </w:tc>
        <w:tc>
          <w:tcPr>
            <w:tcW w:w="1682" w:type="dxa"/>
          </w:tcPr>
          <w:p w14:paraId="2AEF3DED" w14:textId="77777777" w:rsidR="001D76CA" w:rsidRPr="001D76CA" w:rsidRDefault="001D76CA" w:rsidP="00354811">
            <w:pPr>
              <w:pStyle w:val="Tabletext"/>
              <w:jc w:val="center"/>
              <w:rPr>
                <w:sz w:val="20"/>
              </w:rPr>
            </w:pPr>
            <w:r w:rsidRPr="001D76CA">
              <w:rPr>
                <w:sz w:val="20"/>
              </w:rPr>
              <w:t>EIF, UNOPS</w:t>
            </w:r>
          </w:p>
        </w:tc>
        <w:tc>
          <w:tcPr>
            <w:tcW w:w="2579" w:type="dxa"/>
          </w:tcPr>
          <w:p w14:paraId="3727745B" w14:textId="6310D901" w:rsidR="001D76CA" w:rsidRPr="0084247E" w:rsidRDefault="001D76CA" w:rsidP="001D76CA">
            <w:pPr>
              <w:pStyle w:val="Tabletext"/>
              <w:rPr>
                <w:sz w:val="20"/>
                <w:lang w:val="en-GB"/>
              </w:rPr>
            </w:pPr>
            <w:r w:rsidRPr="0084247E">
              <w:rPr>
                <w:sz w:val="20"/>
                <w:lang w:val="en-GB"/>
              </w:rPr>
              <w:t>EIF: 798 104</w:t>
            </w:r>
            <w:r w:rsidR="00354811" w:rsidRPr="0084247E">
              <w:rPr>
                <w:sz w:val="20"/>
                <w:lang w:val="en-GB"/>
              </w:rPr>
              <w:t> USD</w:t>
            </w:r>
          </w:p>
          <w:p w14:paraId="7FA796EE" w14:textId="79BFC948" w:rsidR="001D76CA" w:rsidRPr="0084247E" w:rsidRDefault="001D76CA" w:rsidP="001D76CA">
            <w:pPr>
              <w:pStyle w:val="Tabletext"/>
              <w:rPr>
                <w:sz w:val="20"/>
                <w:lang w:val="en-GB"/>
              </w:rPr>
            </w:pPr>
            <w:r w:rsidRPr="0084247E">
              <w:rPr>
                <w:sz w:val="20"/>
                <w:lang w:val="en-GB"/>
              </w:rPr>
              <w:t>FD-TIC:</w:t>
            </w:r>
            <w:r w:rsidR="00354811" w:rsidRPr="0084247E">
              <w:rPr>
                <w:sz w:val="20"/>
                <w:lang w:val="en-GB"/>
              </w:rPr>
              <w:t xml:space="preserve"> </w:t>
            </w:r>
            <w:r w:rsidRPr="0084247E">
              <w:rPr>
                <w:sz w:val="20"/>
                <w:lang w:val="en-GB"/>
              </w:rPr>
              <w:t>430 245</w:t>
            </w:r>
            <w:r w:rsidR="00354811" w:rsidRPr="0084247E">
              <w:rPr>
                <w:sz w:val="20"/>
                <w:lang w:val="en-GB"/>
              </w:rPr>
              <w:t> USD</w:t>
            </w:r>
          </w:p>
        </w:tc>
        <w:tc>
          <w:tcPr>
            <w:tcW w:w="2067" w:type="dxa"/>
          </w:tcPr>
          <w:p w14:paraId="5B561A6D" w14:textId="1D61EE03" w:rsidR="001D76CA" w:rsidRPr="001D76CA" w:rsidRDefault="001D76CA" w:rsidP="00354811">
            <w:pPr>
              <w:pStyle w:val="Tabletext"/>
              <w:jc w:val="center"/>
              <w:rPr>
                <w:sz w:val="20"/>
              </w:rPr>
            </w:pPr>
            <w:r w:rsidRPr="001D76CA">
              <w:rPr>
                <w:sz w:val="20"/>
              </w:rPr>
              <w:t>309 284 USD</w:t>
            </w:r>
          </w:p>
        </w:tc>
      </w:tr>
      <w:tr w:rsidR="00354811" w:rsidRPr="001D76CA" w14:paraId="3AD9F964" w14:textId="77777777" w:rsidTr="00354811">
        <w:trPr>
          <w:trHeight w:val="404"/>
        </w:trPr>
        <w:tc>
          <w:tcPr>
            <w:tcW w:w="1555" w:type="dxa"/>
          </w:tcPr>
          <w:p w14:paraId="791644FE" w14:textId="77777777" w:rsidR="001D76CA" w:rsidRPr="001D76CA" w:rsidRDefault="001D76CA" w:rsidP="001D76CA">
            <w:pPr>
              <w:pStyle w:val="Tabletext"/>
              <w:rPr>
                <w:sz w:val="20"/>
              </w:rPr>
            </w:pPr>
            <w:r w:rsidRPr="001D76CA">
              <w:rPr>
                <w:sz w:val="20"/>
              </w:rPr>
              <w:t>7GLO20108</w:t>
            </w:r>
          </w:p>
        </w:tc>
        <w:tc>
          <w:tcPr>
            <w:tcW w:w="1842" w:type="dxa"/>
          </w:tcPr>
          <w:p w14:paraId="6661BA49" w14:textId="77777777" w:rsidR="001D76CA" w:rsidRPr="001D76CA" w:rsidRDefault="001D76CA" w:rsidP="001D76CA">
            <w:pPr>
              <w:pStyle w:val="Tabletext"/>
              <w:rPr>
                <w:sz w:val="20"/>
              </w:rPr>
            </w:pPr>
            <w:r w:rsidRPr="001D76CA">
              <w:rPr>
                <w:sz w:val="20"/>
              </w:rPr>
              <w:t>Fomento de las competencias digitales a través de los Centros de Transformación Digital</w:t>
            </w:r>
          </w:p>
        </w:tc>
        <w:tc>
          <w:tcPr>
            <w:tcW w:w="966" w:type="dxa"/>
          </w:tcPr>
          <w:p w14:paraId="4E345FA8" w14:textId="6E88FAD1" w:rsidR="001D76CA" w:rsidRPr="001D76CA" w:rsidRDefault="001D76CA" w:rsidP="00354811">
            <w:pPr>
              <w:pStyle w:val="Tabletext"/>
              <w:jc w:val="center"/>
              <w:rPr>
                <w:sz w:val="20"/>
              </w:rPr>
            </w:pPr>
            <w:r w:rsidRPr="001D76CA">
              <w:rPr>
                <w:sz w:val="20"/>
              </w:rPr>
              <w:t xml:space="preserve">Enero </w:t>
            </w:r>
            <w:r w:rsidR="006A0C0A">
              <w:rPr>
                <w:sz w:val="20"/>
              </w:rPr>
              <w:br/>
            </w:r>
            <w:r w:rsidRPr="006A0C0A">
              <w:rPr>
                <w:sz w:val="20"/>
              </w:rPr>
              <w:t>de</w:t>
            </w:r>
            <w:r w:rsidR="006A0C0A">
              <w:rPr>
                <w:sz w:val="20"/>
              </w:rPr>
              <w:t xml:space="preserve"> </w:t>
            </w:r>
            <w:r w:rsidRPr="001D76CA">
              <w:rPr>
                <w:sz w:val="20"/>
              </w:rPr>
              <w:t>2021</w:t>
            </w:r>
          </w:p>
        </w:tc>
        <w:tc>
          <w:tcPr>
            <w:tcW w:w="1211" w:type="dxa"/>
          </w:tcPr>
          <w:p w14:paraId="4A468167" w14:textId="0CCA46FF" w:rsidR="001D76CA" w:rsidRPr="001D76CA" w:rsidRDefault="001D76CA" w:rsidP="00354811">
            <w:pPr>
              <w:pStyle w:val="Tabletext"/>
              <w:jc w:val="center"/>
              <w:rPr>
                <w:sz w:val="20"/>
              </w:rPr>
            </w:pPr>
            <w:r w:rsidRPr="001D76CA">
              <w:rPr>
                <w:sz w:val="20"/>
              </w:rPr>
              <w:t xml:space="preserve">Dic. </w:t>
            </w:r>
            <w:r w:rsidR="00354811">
              <w:rPr>
                <w:sz w:val="20"/>
              </w:rPr>
              <w:br/>
            </w:r>
            <w:r w:rsidRPr="006A0C0A">
              <w:rPr>
                <w:sz w:val="20"/>
              </w:rPr>
              <w:t>de</w:t>
            </w:r>
            <w:r w:rsidR="00354811">
              <w:rPr>
                <w:sz w:val="20"/>
              </w:rPr>
              <w:t xml:space="preserve"> </w:t>
            </w:r>
            <w:r w:rsidRPr="001D76CA">
              <w:rPr>
                <w:sz w:val="20"/>
              </w:rPr>
              <w:t>2023</w:t>
            </w:r>
          </w:p>
        </w:tc>
        <w:tc>
          <w:tcPr>
            <w:tcW w:w="1043" w:type="dxa"/>
          </w:tcPr>
          <w:p w14:paraId="0DDF304D" w14:textId="47BA77D8" w:rsidR="001D76CA" w:rsidRPr="001D76CA" w:rsidRDefault="001D76CA" w:rsidP="001D76CA">
            <w:pPr>
              <w:pStyle w:val="Tabletext"/>
              <w:rPr>
                <w:sz w:val="20"/>
              </w:rPr>
            </w:pPr>
            <w:proofErr w:type="spellStart"/>
            <w:r w:rsidRPr="001D76CA">
              <w:rPr>
                <w:sz w:val="20"/>
              </w:rPr>
              <w:t>Multi</w:t>
            </w:r>
            <w:r w:rsidR="006A0C0A" w:rsidRPr="006A0C0A">
              <w:rPr>
                <w:sz w:val="20"/>
              </w:rPr>
              <w:t>r</w:t>
            </w:r>
            <w:r w:rsidRPr="001D76CA">
              <w:rPr>
                <w:sz w:val="20"/>
              </w:rPr>
              <w:t>re</w:t>
            </w:r>
            <w:r w:rsidR="006A0C0A">
              <w:rPr>
                <w:sz w:val="20"/>
              </w:rPr>
              <w:t>-</w:t>
            </w:r>
            <w:r w:rsidRPr="001D76CA">
              <w:rPr>
                <w:sz w:val="20"/>
              </w:rPr>
              <w:t>gional</w:t>
            </w:r>
            <w:proofErr w:type="spellEnd"/>
          </w:p>
        </w:tc>
        <w:tc>
          <w:tcPr>
            <w:tcW w:w="1043" w:type="dxa"/>
          </w:tcPr>
          <w:p w14:paraId="464CB252" w14:textId="1DB814A5" w:rsidR="001D76CA" w:rsidRPr="001D76CA" w:rsidRDefault="001D76CA" w:rsidP="00354811">
            <w:pPr>
              <w:pStyle w:val="Tabletext"/>
              <w:jc w:val="center"/>
              <w:rPr>
                <w:sz w:val="20"/>
              </w:rPr>
            </w:pPr>
            <w:r w:rsidRPr="001D76CA">
              <w:rPr>
                <w:sz w:val="20"/>
              </w:rPr>
              <w:t xml:space="preserve">Nov. </w:t>
            </w:r>
            <w:r w:rsidR="006A0C0A">
              <w:rPr>
                <w:sz w:val="20"/>
              </w:rPr>
              <w:br/>
            </w:r>
            <w:r w:rsidRPr="006A0C0A">
              <w:rPr>
                <w:sz w:val="20"/>
              </w:rPr>
              <w:t>de</w:t>
            </w:r>
            <w:r w:rsidR="006A0C0A">
              <w:rPr>
                <w:sz w:val="20"/>
              </w:rPr>
              <w:t xml:space="preserve"> </w:t>
            </w:r>
            <w:r w:rsidRPr="001D76CA">
              <w:rPr>
                <w:sz w:val="20"/>
              </w:rPr>
              <w:t>2020</w:t>
            </w:r>
          </w:p>
        </w:tc>
        <w:tc>
          <w:tcPr>
            <w:tcW w:w="1682" w:type="dxa"/>
          </w:tcPr>
          <w:p w14:paraId="0761BE0C" w14:textId="77777777" w:rsidR="001D76CA" w:rsidRPr="001D76CA" w:rsidRDefault="001D76CA" w:rsidP="00354811">
            <w:pPr>
              <w:pStyle w:val="Tabletext"/>
              <w:jc w:val="center"/>
              <w:rPr>
                <w:sz w:val="20"/>
              </w:rPr>
            </w:pPr>
            <w:r w:rsidRPr="001D76CA">
              <w:rPr>
                <w:sz w:val="20"/>
              </w:rPr>
              <w:t>NORAD</w:t>
            </w:r>
          </w:p>
        </w:tc>
        <w:tc>
          <w:tcPr>
            <w:tcW w:w="2579" w:type="dxa"/>
          </w:tcPr>
          <w:p w14:paraId="4BC4860F" w14:textId="77777777" w:rsidR="001D76CA" w:rsidRPr="0084247E" w:rsidRDefault="001D76CA" w:rsidP="001D76CA">
            <w:pPr>
              <w:pStyle w:val="Tabletext"/>
              <w:rPr>
                <w:sz w:val="20"/>
                <w:lang w:val="en-GB"/>
              </w:rPr>
            </w:pPr>
            <w:r w:rsidRPr="0084247E">
              <w:rPr>
                <w:sz w:val="20"/>
                <w:lang w:val="en-GB"/>
              </w:rPr>
              <w:t>NORAD: 3 008 468 CHF</w:t>
            </w:r>
          </w:p>
          <w:p w14:paraId="4D57D407" w14:textId="6EA3AABA" w:rsidR="001D76CA" w:rsidRPr="0084247E" w:rsidRDefault="001D76CA" w:rsidP="001D76CA">
            <w:pPr>
              <w:pStyle w:val="Tabletext"/>
              <w:rPr>
                <w:sz w:val="20"/>
                <w:lang w:val="en-GB"/>
              </w:rPr>
            </w:pPr>
            <w:r w:rsidRPr="0084247E">
              <w:rPr>
                <w:sz w:val="20"/>
                <w:lang w:val="en-GB"/>
              </w:rPr>
              <w:t>FD-TIC: 759 024 CHF</w:t>
            </w:r>
          </w:p>
        </w:tc>
        <w:tc>
          <w:tcPr>
            <w:tcW w:w="2067" w:type="dxa"/>
          </w:tcPr>
          <w:p w14:paraId="3D6DDD92" w14:textId="50F49945" w:rsidR="001D76CA" w:rsidRPr="001D76CA" w:rsidRDefault="001D76CA" w:rsidP="00354811">
            <w:pPr>
              <w:pStyle w:val="Tabletext"/>
              <w:jc w:val="center"/>
              <w:rPr>
                <w:sz w:val="20"/>
              </w:rPr>
            </w:pPr>
            <w:r w:rsidRPr="001D76CA">
              <w:rPr>
                <w:sz w:val="20"/>
              </w:rPr>
              <w:t>1 707 601 USD</w:t>
            </w:r>
          </w:p>
        </w:tc>
      </w:tr>
      <w:tr w:rsidR="00354811" w:rsidRPr="001D76CA" w14:paraId="1E4F8D88" w14:textId="77777777" w:rsidTr="00354811">
        <w:trPr>
          <w:trHeight w:val="404"/>
        </w:trPr>
        <w:tc>
          <w:tcPr>
            <w:tcW w:w="1555" w:type="dxa"/>
          </w:tcPr>
          <w:p w14:paraId="57413284" w14:textId="77777777" w:rsidR="001D76CA" w:rsidRPr="001D76CA" w:rsidRDefault="001D76CA" w:rsidP="001D76CA">
            <w:pPr>
              <w:pStyle w:val="Tabletext"/>
              <w:rPr>
                <w:sz w:val="20"/>
              </w:rPr>
            </w:pPr>
            <w:r w:rsidRPr="001D76CA">
              <w:rPr>
                <w:sz w:val="20"/>
              </w:rPr>
              <w:t>7RAF21102</w:t>
            </w:r>
          </w:p>
        </w:tc>
        <w:tc>
          <w:tcPr>
            <w:tcW w:w="1842" w:type="dxa"/>
          </w:tcPr>
          <w:p w14:paraId="7B3BCCD6" w14:textId="77777777" w:rsidR="001D76CA" w:rsidRPr="001D76CA" w:rsidRDefault="001D76CA" w:rsidP="001D76CA">
            <w:pPr>
              <w:pStyle w:val="Tabletext"/>
              <w:rPr>
                <w:sz w:val="20"/>
              </w:rPr>
            </w:pPr>
            <w:r w:rsidRPr="001D76CA">
              <w:rPr>
                <w:sz w:val="20"/>
              </w:rPr>
              <w:t>Comparación de las TIC en África central</w:t>
            </w:r>
          </w:p>
        </w:tc>
        <w:tc>
          <w:tcPr>
            <w:tcW w:w="966" w:type="dxa"/>
          </w:tcPr>
          <w:p w14:paraId="402E3A9C" w14:textId="634F6AF2" w:rsidR="001D76CA" w:rsidRPr="001D76CA" w:rsidRDefault="001D76CA" w:rsidP="00354811">
            <w:pPr>
              <w:pStyle w:val="Tabletext"/>
              <w:jc w:val="center"/>
              <w:rPr>
                <w:sz w:val="20"/>
              </w:rPr>
            </w:pPr>
            <w:r w:rsidRPr="001D76CA">
              <w:rPr>
                <w:sz w:val="20"/>
              </w:rPr>
              <w:t>Junio</w:t>
            </w:r>
            <w:r w:rsidRPr="006A0C0A">
              <w:rPr>
                <w:sz w:val="20"/>
              </w:rPr>
              <w:t xml:space="preserve"> </w:t>
            </w:r>
            <w:r w:rsidR="006A0C0A">
              <w:rPr>
                <w:sz w:val="20"/>
              </w:rPr>
              <w:br/>
            </w:r>
            <w:r w:rsidRPr="006A0C0A">
              <w:rPr>
                <w:sz w:val="20"/>
              </w:rPr>
              <w:t>de</w:t>
            </w:r>
            <w:r w:rsidR="006A0C0A">
              <w:rPr>
                <w:sz w:val="20"/>
              </w:rPr>
              <w:t xml:space="preserve"> </w:t>
            </w:r>
            <w:r w:rsidRPr="001D76CA">
              <w:rPr>
                <w:sz w:val="20"/>
              </w:rPr>
              <w:t>2021</w:t>
            </w:r>
          </w:p>
        </w:tc>
        <w:tc>
          <w:tcPr>
            <w:tcW w:w="1211" w:type="dxa"/>
          </w:tcPr>
          <w:p w14:paraId="488B38BB" w14:textId="7144920B" w:rsidR="001D76CA" w:rsidRPr="001D76CA" w:rsidRDefault="001D76CA" w:rsidP="00354811">
            <w:pPr>
              <w:pStyle w:val="Tabletext"/>
              <w:jc w:val="center"/>
              <w:rPr>
                <w:sz w:val="20"/>
              </w:rPr>
            </w:pPr>
            <w:r w:rsidRPr="001D76CA">
              <w:rPr>
                <w:sz w:val="20"/>
              </w:rPr>
              <w:t>Dic.</w:t>
            </w:r>
            <w:r w:rsidRPr="006A0C0A">
              <w:rPr>
                <w:sz w:val="20"/>
              </w:rPr>
              <w:t xml:space="preserve"> </w:t>
            </w:r>
            <w:r w:rsidRPr="001D76CA">
              <w:rPr>
                <w:sz w:val="20"/>
              </w:rPr>
              <w:t> </w:t>
            </w:r>
            <w:r w:rsidR="00354811">
              <w:rPr>
                <w:sz w:val="20"/>
              </w:rPr>
              <w:br/>
            </w:r>
            <w:r w:rsidRPr="006A0C0A">
              <w:rPr>
                <w:sz w:val="20"/>
              </w:rPr>
              <w:t>de</w:t>
            </w:r>
            <w:r w:rsidR="00354811">
              <w:rPr>
                <w:sz w:val="20"/>
              </w:rPr>
              <w:t xml:space="preserve"> </w:t>
            </w:r>
            <w:r w:rsidRPr="001D76CA">
              <w:rPr>
                <w:sz w:val="20"/>
              </w:rPr>
              <w:t>2023</w:t>
            </w:r>
          </w:p>
        </w:tc>
        <w:tc>
          <w:tcPr>
            <w:tcW w:w="1043" w:type="dxa"/>
          </w:tcPr>
          <w:p w14:paraId="200C3168" w14:textId="77777777" w:rsidR="001D76CA" w:rsidRPr="001D76CA" w:rsidRDefault="001D76CA" w:rsidP="001D76CA">
            <w:pPr>
              <w:pStyle w:val="Tabletext"/>
              <w:rPr>
                <w:sz w:val="20"/>
              </w:rPr>
            </w:pPr>
            <w:r w:rsidRPr="001D76CA">
              <w:rPr>
                <w:sz w:val="20"/>
              </w:rPr>
              <w:t>África</w:t>
            </w:r>
          </w:p>
        </w:tc>
        <w:tc>
          <w:tcPr>
            <w:tcW w:w="1043" w:type="dxa"/>
          </w:tcPr>
          <w:p w14:paraId="0ED02399" w14:textId="6FBA6CA7" w:rsidR="001D76CA" w:rsidRPr="001D76CA" w:rsidRDefault="006A0C0A" w:rsidP="00354811">
            <w:pPr>
              <w:pStyle w:val="Tabletext"/>
              <w:jc w:val="center"/>
              <w:rPr>
                <w:sz w:val="20"/>
              </w:rPr>
            </w:pPr>
            <w:r w:rsidRPr="006A0C0A">
              <w:rPr>
                <w:sz w:val="20"/>
              </w:rPr>
              <w:t xml:space="preserve">Junio </w:t>
            </w:r>
            <w:r>
              <w:rPr>
                <w:sz w:val="20"/>
              </w:rPr>
              <w:br/>
            </w:r>
            <w:r w:rsidRPr="006A0C0A">
              <w:rPr>
                <w:sz w:val="20"/>
              </w:rPr>
              <w:t>de</w:t>
            </w:r>
            <w:r>
              <w:rPr>
                <w:sz w:val="20"/>
              </w:rPr>
              <w:t xml:space="preserve"> </w:t>
            </w:r>
            <w:r w:rsidR="001D76CA" w:rsidRPr="001D76CA">
              <w:rPr>
                <w:sz w:val="20"/>
              </w:rPr>
              <w:t>2021</w:t>
            </w:r>
          </w:p>
        </w:tc>
        <w:tc>
          <w:tcPr>
            <w:tcW w:w="1682" w:type="dxa"/>
          </w:tcPr>
          <w:p w14:paraId="61F25CA0" w14:textId="77777777" w:rsidR="001D76CA" w:rsidRPr="001D76CA" w:rsidRDefault="001D76CA" w:rsidP="00354811">
            <w:pPr>
              <w:pStyle w:val="Tabletext"/>
              <w:jc w:val="center"/>
              <w:rPr>
                <w:sz w:val="20"/>
              </w:rPr>
            </w:pPr>
            <w:r w:rsidRPr="001D76CA">
              <w:rPr>
                <w:sz w:val="20"/>
              </w:rPr>
              <w:t>COFED</w:t>
            </w:r>
          </w:p>
        </w:tc>
        <w:tc>
          <w:tcPr>
            <w:tcW w:w="2579" w:type="dxa"/>
          </w:tcPr>
          <w:p w14:paraId="29D8613C" w14:textId="17D98FCB" w:rsidR="001D76CA" w:rsidRPr="0084247E" w:rsidRDefault="001D76CA" w:rsidP="001D76CA">
            <w:pPr>
              <w:pStyle w:val="Tabletext"/>
              <w:rPr>
                <w:sz w:val="20"/>
                <w:lang w:val="fr-FR"/>
              </w:rPr>
            </w:pPr>
            <w:r w:rsidRPr="0084247E">
              <w:rPr>
                <w:sz w:val="20"/>
                <w:lang w:val="fr-FR"/>
              </w:rPr>
              <w:t>COFED (EU</w:t>
            </w:r>
            <w:proofErr w:type="gramStart"/>
            <w:r w:rsidRPr="0084247E">
              <w:rPr>
                <w:sz w:val="20"/>
                <w:lang w:val="fr-FR"/>
              </w:rPr>
              <w:t>):</w:t>
            </w:r>
            <w:proofErr w:type="gramEnd"/>
            <w:r w:rsidRPr="0084247E">
              <w:rPr>
                <w:sz w:val="20"/>
                <w:lang w:val="fr-FR"/>
              </w:rPr>
              <w:t xml:space="preserve"> 1 000 000 EUR</w:t>
            </w:r>
          </w:p>
          <w:p w14:paraId="6D16FEFB" w14:textId="106E19B8" w:rsidR="001D76CA" w:rsidRPr="0084247E" w:rsidRDefault="001D76CA" w:rsidP="001D76CA">
            <w:pPr>
              <w:pStyle w:val="Tabletext"/>
              <w:rPr>
                <w:sz w:val="20"/>
                <w:lang w:val="fr-FR"/>
              </w:rPr>
            </w:pPr>
            <w:r w:rsidRPr="0084247E">
              <w:rPr>
                <w:sz w:val="20"/>
                <w:lang w:val="fr-FR"/>
              </w:rPr>
              <w:t>FD-</w:t>
            </w:r>
            <w:proofErr w:type="gramStart"/>
            <w:r w:rsidRPr="0084247E">
              <w:rPr>
                <w:sz w:val="20"/>
                <w:lang w:val="fr-FR"/>
              </w:rPr>
              <w:t>TIC:</w:t>
            </w:r>
            <w:proofErr w:type="gramEnd"/>
            <w:r w:rsidRPr="0084247E">
              <w:rPr>
                <w:sz w:val="20"/>
                <w:lang w:val="fr-FR"/>
              </w:rPr>
              <w:t xml:space="preserve"> 300 000 EUR</w:t>
            </w:r>
          </w:p>
        </w:tc>
        <w:tc>
          <w:tcPr>
            <w:tcW w:w="2067" w:type="dxa"/>
          </w:tcPr>
          <w:p w14:paraId="2640C844" w14:textId="52A8BE0A" w:rsidR="001D76CA" w:rsidRPr="001D76CA" w:rsidRDefault="001D76CA" w:rsidP="00354811">
            <w:pPr>
              <w:pStyle w:val="Tabletext"/>
              <w:jc w:val="center"/>
              <w:rPr>
                <w:sz w:val="20"/>
              </w:rPr>
            </w:pPr>
            <w:r w:rsidRPr="001D76CA">
              <w:rPr>
                <w:sz w:val="20"/>
              </w:rPr>
              <w:t>1 134 495 EUR</w:t>
            </w:r>
          </w:p>
        </w:tc>
      </w:tr>
      <w:tr w:rsidR="00354811" w:rsidRPr="001D76CA" w14:paraId="00A9BA33" w14:textId="77777777" w:rsidTr="00354811">
        <w:trPr>
          <w:trHeight w:val="404"/>
        </w:trPr>
        <w:tc>
          <w:tcPr>
            <w:tcW w:w="1555" w:type="dxa"/>
          </w:tcPr>
          <w:p w14:paraId="6CF5500D" w14:textId="77777777" w:rsidR="001D76CA" w:rsidRPr="001D76CA" w:rsidRDefault="001D76CA" w:rsidP="001D76CA">
            <w:pPr>
              <w:pStyle w:val="Tabletext"/>
              <w:rPr>
                <w:sz w:val="20"/>
              </w:rPr>
            </w:pPr>
            <w:r w:rsidRPr="001D76CA">
              <w:rPr>
                <w:sz w:val="20"/>
              </w:rPr>
              <w:t>9GLO21116</w:t>
            </w:r>
          </w:p>
        </w:tc>
        <w:tc>
          <w:tcPr>
            <w:tcW w:w="1842" w:type="dxa"/>
          </w:tcPr>
          <w:p w14:paraId="1A0D0507" w14:textId="77777777" w:rsidR="001D76CA" w:rsidRPr="001D76CA" w:rsidRDefault="001D76CA" w:rsidP="001D76CA">
            <w:pPr>
              <w:pStyle w:val="Tabletext"/>
              <w:rPr>
                <w:sz w:val="20"/>
              </w:rPr>
            </w:pPr>
            <w:r w:rsidRPr="001D76CA">
              <w:rPr>
                <w:sz w:val="20"/>
              </w:rPr>
              <w:t>Giga y el proyecto DAP – Promover una política y una reglamentación propicias (PMA)</w:t>
            </w:r>
          </w:p>
        </w:tc>
        <w:tc>
          <w:tcPr>
            <w:tcW w:w="966" w:type="dxa"/>
          </w:tcPr>
          <w:p w14:paraId="00868C3A" w14:textId="7ED42D93" w:rsidR="001D76CA" w:rsidRPr="001D76CA" w:rsidRDefault="001D76CA" w:rsidP="00354811">
            <w:pPr>
              <w:pStyle w:val="Tabletext"/>
              <w:jc w:val="center"/>
              <w:rPr>
                <w:sz w:val="20"/>
              </w:rPr>
            </w:pPr>
            <w:r w:rsidRPr="001D76CA">
              <w:rPr>
                <w:sz w:val="20"/>
              </w:rPr>
              <w:t>Marzo</w:t>
            </w:r>
            <w:r w:rsidR="006A0C0A">
              <w:rPr>
                <w:sz w:val="20"/>
              </w:rPr>
              <w:t xml:space="preserve"> </w:t>
            </w:r>
            <w:r w:rsidR="006A0C0A">
              <w:rPr>
                <w:sz w:val="20"/>
              </w:rPr>
              <w:br/>
            </w:r>
            <w:r w:rsidRPr="006A0C0A">
              <w:rPr>
                <w:sz w:val="20"/>
              </w:rPr>
              <w:t>de</w:t>
            </w:r>
            <w:r w:rsidR="006A0C0A">
              <w:rPr>
                <w:sz w:val="20"/>
              </w:rPr>
              <w:t xml:space="preserve"> </w:t>
            </w:r>
            <w:r w:rsidRPr="001D76CA">
              <w:rPr>
                <w:sz w:val="20"/>
              </w:rPr>
              <w:t>2021</w:t>
            </w:r>
          </w:p>
        </w:tc>
        <w:tc>
          <w:tcPr>
            <w:tcW w:w="1211" w:type="dxa"/>
          </w:tcPr>
          <w:p w14:paraId="44BE46C4" w14:textId="6ADD5972" w:rsidR="001D76CA" w:rsidRPr="001D76CA" w:rsidRDefault="001D76CA" w:rsidP="00354811">
            <w:pPr>
              <w:pStyle w:val="Tabletext"/>
              <w:jc w:val="center"/>
              <w:rPr>
                <w:sz w:val="20"/>
              </w:rPr>
            </w:pPr>
            <w:r w:rsidRPr="001D76CA">
              <w:rPr>
                <w:sz w:val="20"/>
              </w:rPr>
              <w:t xml:space="preserve">Marzo </w:t>
            </w:r>
            <w:r w:rsidR="00354811">
              <w:rPr>
                <w:sz w:val="20"/>
              </w:rPr>
              <w:br/>
            </w:r>
            <w:r w:rsidRPr="006A0C0A">
              <w:rPr>
                <w:sz w:val="20"/>
              </w:rPr>
              <w:t xml:space="preserve">de </w:t>
            </w:r>
            <w:r w:rsidRPr="001D76CA">
              <w:rPr>
                <w:sz w:val="20"/>
              </w:rPr>
              <w:t>2023</w:t>
            </w:r>
          </w:p>
        </w:tc>
        <w:tc>
          <w:tcPr>
            <w:tcW w:w="1043" w:type="dxa"/>
          </w:tcPr>
          <w:p w14:paraId="52ADA1CC" w14:textId="6D40D93D" w:rsidR="001D76CA" w:rsidRPr="001D76CA" w:rsidRDefault="001D76CA" w:rsidP="001D76CA">
            <w:pPr>
              <w:pStyle w:val="Tabletext"/>
              <w:rPr>
                <w:sz w:val="20"/>
              </w:rPr>
            </w:pPr>
            <w:proofErr w:type="spellStart"/>
            <w:r w:rsidRPr="001D76CA">
              <w:rPr>
                <w:sz w:val="20"/>
              </w:rPr>
              <w:t>Multir</w:t>
            </w:r>
            <w:r w:rsidR="006A0C0A">
              <w:rPr>
                <w:sz w:val="20"/>
              </w:rPr>
              <w:t>r</w:t>
            </w:r>
            <w:r w:rsidRPr="001D76CA">
              <w:rPr>
                <w:sz w:val="20"/>
              </w:rPr>
              <w:t>e</w:t>
            </w:r>
            <w:r w:rsidR="006A0C0A">
              <w:rPr>
                <w:sz w:val="20"/>
              </w:rPr>
              <w:t>-</w:t>
            </w:r>
            <w:r w:rsidRPr="001D76CA">
              <w:rPr>
                <w:sz w:val="20"/>
              </w:rPr>
              <w:t>gional</w:t>
            </w:r>
            <w:proofErr w:type="spellEnd"/>
          </w:p>
        </w:tc>
        <w:tc>
          <w:tcPr>
            <w:tcW w:w="1043" w:type="dxa"/>
          </w:tcPr>
          <w:p w14:paraId="6A24F72F" w14:textId="5DE7263F" w:rsidR="001D76CA" w:rsidRPr="001D76CA" w:rsidRDefault="001D76CA" w:rsidP="00354811">
            <w:pPr>
              <w:pStyle w:val="Tabletext"/>
              <w:jc w:val="center"/>
              <w:rPr>
                <w:sz w:val="20"/>
              </w:rPr>
            </w:pPr>
            <w:r w:rsidRPr="001D76CA">
              <w:rPr>
                <w:sz w:val="20"/>
              </w:rPr>
              <w:t xml:space="preserve">Marzo </w:t>
            </w:r>
            <w:r w:rsidR="006A0C0A">
              <w:rPr>
                <w:sz w:val="20"/>
              </w:rPr>
              <w:br/>
            </w:r>
            <w:r w:rsidRPr="006A0C0A">
              <w:rPr>
                <w:sz w:val="20"/>
              </w:rPr>
              <w:t xml:space="preserve">de </w:t>
            </w:r>
            <w:r w:rsidRPr="001D76CA">
              <w:rPr>
                <w:sz w:val="20"/>
              </w:rPr>
              <w:t>2021</w:t>
            </w:r>
          </w:p>
        </w:tc>
        <w:tc>
          <w:tcPr>
            <w:tcW w:w="1682" w:type="dxa"/>
          </w:tcPr>
          <w:p w14:paraId="272BAB61" w14:textId="77777777" w:rsidR="001D76CA" w:rsidRPr="001D76CA" w:rsidRDefault="001D76CA" w:rsidP="00354811">
            <w:pPr>
              <w:pStyle w:val="Tabletext"/>
              <w:jc w:val="center"/>
              <w:rPr>
                <w:sz w:val="20"/>
              </w:rPr>
            </w:pPr>
            <w:r w:rsidRPr="001D76CA">
              <w:rPr>
                <w:sz w:val="20"/>
              </w:rPr>
              <w:t>Ministerio de Relaciones Exteriores, del Commonwealth y de Desarrollo (FCDO) del Reino Unido</w:t>
            </w:r>
          </w:p>
        </w:tc>
        <w:tc>
          <w:tcPr>
            <w:tcW w:w="2579" w:type="dxa"/>
          </w:tcPr>
          <w:p w14:paraId="515A71E4" w14:textId="77777777" w:rsidR="001D76CA" w:rsidRPr="0084247E" w:rsidRDefault="001D76CA" w:rsidP="001D76CA">
            <w:pPr>
              <w:pStyle w:val="Tabletext"/>
              <w:rPr>
                <w:sz w:val="20"/>
                <w:lang w:val="en-GB"/>
              </w:rPr>
            </w:pPr>
            <w:r w:rsidRPr="0084247E">
              <w:rPr>
                <w:sz w:val="20"/>
                <w:lang w:val="en-GB"/>
              </w:rPr>
              <w:t>FCDO: 1 427 648 GBP</w:t>
            </w:r>
          </w:p>
          <w:p w14:paraId="15D026E0" w14:textId="48BD4DB2" w:rsidR="001D76CA" w:rsidRPr="0084247E" w:rsidRDefault="001D76CA" w:rsidP="001D76CA">
            <w:pPr>
              <w:pStyle w:val="Tabletext"/>
              <w:rPr>
                <w:sz w:val="20"/>
                <w:lang w:val="en-GB"/>
              </w:rPr>
            </w:pPr>
            <w:r w:rsidRPr="0084247E">
              <w:rPr>
                <w:sz w:val="20"/>
                <w:lang w:val="en-GB"/>
              </w:rPr>
              <w:t>FD-TIC: 276 000 USD</w:t>
            </w:r>
          </w:p>
        </w:tc>
        <w:tc>
          <w:tcPr>
            <w:tcW w:w="2067" w:type="dxa"/>
          </w:tcPr>
          <w:p w14:paraId="6D701A31" w14:textId="2E8F5489" w:rsidR="001D76CA" w:rsidRPr="001D76CA" w:rsidRDefault="001D76CA" w:rsidP="00354811">
            <w:pPr>
              <w:pStyle w:val="Tabletext"/>
              <w:jc w:val="center"/>
              <w:rPr>
                <w:sz w:val="20"/>
              </w:rPr>
            </w:pPr>
            <w:r w:rsidRPr="001D76CA">
              <w:rPr>
                <w:sz w:val="20"/>
              </w:rPr>
              <w:t>582 798 USD</w:t>
            </w:r>
          </w:p>
        </w:tc>
      </w:tr>
      <w:tr w:rsidR="00354811" w:rsidRPr="001D76CA" w14:paraId="5FAA2150" w14:textId="77777777" w:rsidTr="00354811">
        <w:trPr>
          <w:cantSplit/>
          <w:trHeight w:val="404"/>
        </w:trPr>
        <w:tc>
          <w:tcPr>
            <w:tcW w:w="1555" w:type="dxa"/>
          </w:tcPr>
          <w:p w14:paraId="0A58D554" w14:textId="77777777" w:rsidR="001D76CA" w:rsidRPr="001D76CA" w:rsidRDefault="001D76CA" w:rsidP="001D76CA">
            <w:pPr>
              <w:pStyle w:val="Tabletext"/>
              <w:rPr>
                <w:sz w:val="20"/>
              </w:rPr>
            </w:pPr>
            <w:r w:rsidRPr="001D76CA">
              <w:rPr>
                <w:sz w:val="20"/>
              </w:rPr>
              <w:lastRenderedPageBreak/>
              <w:t>9GLO21112</w:t>
            </w:r>
          </w:p>
        </w:tc>
        <w:tc>
          <w:tcPr>
            <w:tcW w:w="1842" w:type="dxa"/>
          </w:tcPr>
          <w:p w14:paraId="0CFC9DBC" w14:textId="77777777" w:rsidR="001D76CA" w:rsidRPr="001D76CA" w:rsidRDefault="001D76CA" w:rsidP="001D76CA">
            <w:pPr>
              <w:pStyle w:val="Tabletext"/>
              <w:rPr>
                <w:sz w:val="20"/>
              </w:rPr>
            </w:pPr>
            <w:r w:rsidRPr="001D76CA">
              <w:rPr>
                <w:sz w:val="20"/>
              </w:rPr>
              <w:t>Crear un ciberespacio seguro y próspero para la infancia</w:t>
            </w:r>
          </w:p>
        </w:tc>
        <w:tc>
          <w:tcPr>
            <w:tcW w:w="966" w:type="dxa"/>
          </w:tcPr>
          <w:p w14:paraId="523BE656" w14:textId="65870291" w:rsidR="001D76CA" w:rsidRPr="001D76CA" w:rsidRDefault="001D76CA" w:rsidP="00354811">
            <w:pPr>
              <w:pStyle w:val="Tabletext"/>
              <w:jc w:val="center"/>
              <w:rPr>
                <w:sz w:val="20"/>
              </w:rPr>
            </w:pPr>
            <w:r w:rsidRPr="001D76CA">
              <w:rPr>
                <w:sz w:val="20"/>
              </w:rPr>
              <w:t>Agosto</w:t>
            </w:r>
            <w:r w:rsidR="006A0C0A">
              <w:rPr>
                <w:sz w:val="20"/>
              </w:rPr>
              <w:t xml:space="preserve"> </w:t>
            </w:r>
            <w:r w:rsidRPr="001D76CA">
              <w:rPr>
                <w:sz w:val="20"/>
              </w:rPr>
              <w:br/>
            </w:r>
            <w:r w:rsidRPr="006A0C0A">
              <w:rPr>
                <w:sz w:val="20"/>
              </w:rPr>
              <w:t xml:space="preserve">de </w:t>
            </w:r>
            <w:r w:rsidRPr="001D76CA">
              <w:rPr>
                <w:sz w:val="20"/>
              </w:rPr>
              <w:t>2021</w:t>
            </w:r>
          </w:p>
        </w:tc>
        <w:tc>
          <w:tcPr>
            <w:tcW w:w="1211" w:type="dxa"/>
          </w:tcPr>
          <w:p w14:paraId="5F0059CE" w14:textId="28B49114" w:rsidR="001D76CA" w:rsidRPr="001D76CA" w:rsidRDefault="001D76CA" w:rsidP="00354811">
            <w:pPr>
              <w:pStyle w:val="Tabletext"/>
              <w:jc w:val="center"/>
              <w:rPr>
                <w:sz w:val="20"/>
              </w:rPr>
            </w:pPr>
            <w:r w:rsidRPr="001D76CA">
              <w:rPr>
                <w:sz w:val="20"/>
              </w:rPr>
              <w:t xml:space="preserve">Dic. </w:t>
            </w:r>
            <w:r w:rsidR="006A0C0A">
              <w:rPr>
                <w:sz w:val="20"/>
              </w:rPr>
              <w:br/>
            </w:r>
            <w:r w:rsidRPr="006A0C0A">
              <w:rPr>
                <w:sz w:val="20"/>
              </w:rPr>
              <w:t>de</w:t>
            </w:r>
            <w:r w:rsidR="006A0C0A">
              <w:rPr>
                <w:sz w:val="20"/>
              </w:rPr>
              <w:t xml:space="preserve"> </w:t>
            </w:r>
            <w:r w:rsidRPr="001D76CA">
              <w:rPr>
                <w:sz w:val="20"/>
              </w:rPr>
              <w:t>2024</w:t>
            </w:r>
          </w:p>
        </w:tc>
        <w:tc>
          <w:tcPr>
            <w:tcW w:w="1043" w:type="dxa"/>
          </w:tcPr>
          <w:p w14:paraId="3733D8F1" w14:textId="04786353" w:rsidR="001D76CA" w:rsidRPr="001D76CA" w:rsidRDefault="001D76CA" w:rsidP="001D76CA">
            <w:pPr>
              <w:pStyle w:val="Tabletext"/>
              <w:rPr>
                <w:sz w:val="20"/>
              </w:rPr>
            </w:pPr>
            <w:proofErr w:type="spellStart"/>
            <w:r w:rsidRPr="001D76CA">
              <w:rPr>
                <w:sz w:val="20"/>
              </w:rPr>
              <w:t>Multir</w:t>
            </w:r>
            <w:r w:rsidR="006A0C0A">
              <w:rPr>
                <w:sz w:val="20"/>
              </w:rPr>
              <w:t>r</w:t>
            </w:r>
            <w:r w:rsidRPr="001D76CA">
              <w:rPr>
                <w:sz w:val="20"/>
              </w:rPr>
              <w:t>e</w:t>
            </w:r>
            <w:r w:rsidR="006A0C0A">
              <w:rPr>
                <w:sz w:val="20"/>
              </w:rPr>
              <w:t>-</w:t>
            </w:r>
            <w:r w:rsidRPr="001D76CA">
              <w:rPr>
                <w:sz w:val="20"/>
              </w:rPr>
              <w:t>gional</w:t>
            </w:r>
            <w:proofErr w:type="spellEnd"/>
          </w:p>
        </w:tc>
        <w:tc>
          <w:tcPr>
            <w:tcW w:w="1043" w:type="dxa"/>
          </w:tcPr>
          <w:p w14:paraId="5B1675E8" w14:textId="1CA2AE59" w:rsidR="001D76CA" w:rsidRPr="001D76CA" w:rsidRDefault="001D76CA" w:rsidP="00354811">
            <w:pPr>
              <w:pStyle w:val="Tabletext"/>
              <w:jc w:val="center"/>
              <w:rPr>
                <w:sz w:val="20"/>
              </w:rPr>
            </w:pPr>
            <w:r w:rsidRPr="001D76CA">
              <w:rPr>
                <w:sz w:val="20"/>
              </w:rPr>
              <w:t>Agosto</w:t>
            </w:r>
            <w:r w:rsidR="006A0C0A">
              <w:rPr>
                <w:sz w:val="20"/>
              </w:rPr>
              <w:t xml:space="preserve"> </w:t>
            </w:r>
            <w:r w:rsidRPr="001D76CA">
              <w:rPr>
                <w:sz w:val="20"/>
              </w:rPr>
              <w:br/>
            </w:r>
            <w:r w:rsidRPr="006A0C0A">
              <w:rPr>
                <w:sz w:val="20"/>
              </w:rPr>
              <w:t xml:space="preserve">de </w:t>
            </w:r>
            <w:r w:rsidRPr="001D76CA">
              <w:rPr>
                <w:sz w:val="20"/>
              </w:rPr>
              <w:t>2021</w:t>
            </w:r>
          </w:p>
        </w:tc>
        <w:tc>
          <w:tcPr>
            <w:tcW w:w="1682" w:type="dxa"/>
          </w:tcPr>
          <w:p w14:paraId="07B635C1" w14:textId="77777777" w:rsidR="001D76CA" w:rsidRPr="001D76CA" w:rsidRDefault="001D76CA" w:rsidP="00354811">
            <w:pPr>
              <w:pStyle w:val="Tabletext"/>
              <w:jc w:val="center"/>
              <w:rPr>
                <w:sz w:val="20"/>
              </w:rPr>
            </w:pPr>
            <w:r w:rsidRPr="001D76CA">
              <w:rPr>
                <w:sz w:val="20"/>
              </w:rPr>
              <w:t>NCA-Arabia Saudita</w:t>
            </w:r>
          </w:p>
        </w:tc>
        <w:tc>
          <w:tcPr>
            <w:tcW w:w="2579" w:type="dxa"/>
          </w:tcPr>
          <w:p w14:paraId="7438D2E0" w14:textId="10CED9FB" w:rsidR="001D76CA" w:rsidRPr="001D76CA" w:rsidRDefault="001D76CA" w:rsidP="001D76CA">
            <w:pPr>
              <w:pStyle w:val="Tabletext"/>
              <w:rPr>
                <w:sz w:val="20"/>
              </w:rPr>
            </w:pPr>
            <w:r w:rsidRPr="001D76CA">
              <w:rPr>
                <w:sz w:val="20"/>
              </w:rPr>
              <w:t>NCA-Arabia Saudita: </w:t>
            </w:r>
            <w:r w:rsidRPr="001D76CA">
              <w:rPr>
                <w:sz w:val="20"/>
              </w:rPr>
              <w:br/>
              <w:t>1 612 500</w:t>
            </w:r>
            <w:r w:rsidR="00354811">
              <w:rPr>
                <w:sz w:val="20"/>
              </w:rPr>
              <w:t> USD</w:t>
            </w:r>
          </w:p>
          <w:p w14:paraId="42FECA32" w14:textId="77777777" w:rsidR="001D76CA" w:rsidRPr="001D76CA" w:rsidRDefault="001D76CA" w:rsidP="001D76CA">
            <w:pPr>
              <w:pStyle w:val="Tabletext"/>
              <w:rPr>
                <w:sz w:val="20"/>
              </w:rPr>
            </w:pPr>
            <w:r w:rsidRPr="001D76CA">
              <w:rPr>
                <w:sz w:val="20"/>
              </w:rPr>
              <w:t>FD-TIC: 400 000 USD </w:t>
            </w:r>
          </w:p>
        </w:tc>
        <w:tc>
          <w:tcPr>
            <w:tcW w:w="2067" w:type="dxa"/>
          </w:tcPr>
          <w:p w14:paraId="439FAC84" w14:textId="77F38EB6" w:rsidR="001D76CA" w:rsidRPr="001D76CA" w:rsidRDefault="001D76CA" w:rsidP="00354811">
            <w:pPr>
              <w:pStyle w:val="Tabletext"/>
              <w:jc w:val="center"/>
              <w:rPr>
                <w:sz w:val="20"/>
              </w:rPr>
            </w:pPr>
            <w:r w:rsidRPr="001D76CA">
              <w:rPr>
                <w:sz w:val="20"/>
              </w:rPr>
              <w:t>835 997 CHF</w:t>
            </w:r>
          </w:p>
        </w:tc>
      </w:tr>
      <w:tr w:rsidR="00354811" w:rsidRPr="001D76CA" w14:paraId="013A7B23" w14:textId="77777777" w:rsidTr="00354811">
        <w:trPr>
          <w:trHeight w:val="810"/>
        </w:trPr>
        <w:tc>
          <w:tcPr>
            <w:tcW w:w="1555" w:type="dxa"/>
          </w:tcPr>
          <w:p w14:paraId="1CCCE058" w14:textId="77777777" w:rsidR="001D76CA" w:rsidRPr="001D76CA" w:rsidRDefault="001D76CA" w:rsidP="001D76CA">
            <w:pPr>
              <w:pStyle w:val="Tabletext"/>
              <w:rPr>
                <w:sz w:val="20"/>
              </w:rPr>
            </w:pPr>
            <w:r w:rsidRPr="001D76CA">
              <w:rPr>
                <w:sz w:val="20"/>
              </w:rPr>
              <w:t>2GLO20104-03</w:t>
            </w:r>
          </w:p>
        </w:tc>
        <w:tc>
          <w:tcPr>
            <w:tcW w:w="1842" w:type="dxa"/>
          </w:tcPr>
          <w:p w14:paraId="7AC7411E" w14:textId="77777777" w:rsidR="001D76CA" w:rsidRPr="001D76CA" w:rsidRDefault="001D76CA" w:rsidP="001D76CA">
            <w:pPr>
              <w:pStyle w:val="Tabletext"/>
              <w:rPr>
                <w:sz w:val="20"/>
              </w:rPr>
            </w:pPr>
            <w:r w:rsidRPr="001D76CA">
              <w:rPr>
                <w:sz w:val="20"/>
              </w:rPr>
              <w:t>Segunda fase de GIGA</w:t>
            </w:r>
          </w:p>
        </w:tc>
        <w:tc>
          <w:tcPr>
            <w:tcW w:w="966" w:type="dxa"/>
          </w:tcPr>
          <w:p w14:paraId="491A2218" w14:textId="3BAFE23D" w:rsidR="001D76CA" w:rsidRPr="001D76CA" w:rsidRDefault="001D76CA" w:rsidP="00354811">
            <w:pPr>
              <w:pStyle w:val="Tabletext"/>
              <w:jc w:val="center"/>
              <w:rPr>
                <w:sz w:val="20"/>
              </w:rPr>
            </w:pPr>
            <w:r w:rsidRPr="001D76CA">
              <w:rPr>
                <w:sz w:val="20"/>
              </w:rPr>
              <w:t>Agosto</w:t>
            </w:r>
            <w:r w:rsidRPr="006A0C0A">
              <w:rPr>
                <w:sz w:val="20"/>
              </w:rPr>
              <w:t xml:space="preserve"> </w:t>
            </w:r>
            <w:r w:rsidR="006A0C0A">
              <w:rPr>
                <w:sz w:val="20"/>
              </w:rPr>
              <w:br/>
            </w:r>
            <w:r w:rsidRPr="006A0C0A">
              <w:rPr>
                <w:sz w:val="20"/>
              </w:rPr>
              <w:t>de</w:t>
            </w:r>
            <w:r w:rsidR="006A0C0A">
              <w:rPr>
                <w:sz w:val="20"/>
              </w:rPr>
              <w:t xml:space="preserve"> </w:t>
            </w:r>
            <w:r w:rsidRPr="001D76CA">
              <w:rPr>
                <w:sz w:val="20"/>
              </w:rPr>
              <w:t>2021</w:t>
            </w:r>
          </w:p>
        </w:tc>
        <w:tc>
          <w:tcPr>
            <w:tcW w:w="1211" w:type="dxa"/>
          </w:tcPr>
          <w:p w14:paraId="0A9AD8D9" w14:textId="07B3282A" w:rsidR="001D76CA" w:rsidRPr="001D76CA" w:rsidRDefault="001D76CA" w:rsidP="00354811">
            <w:pPr>
              <w:pStyle w:val="Tabletext"/>
              <w:jc w:val="center"/>
              <w:rPr>
                <w:sz w:val="20"/>
              </w:rPr>
            </w:pPr>
            <w:r w:rsidRPr="001D76CA">
              <w:rPr>
                <w:sz w:val="20"/>
              </w:rPr>
              <w:t xml:space="preserve">Marzo </w:t>
            </w:r>
            <w:r w:rsidR="006A0C0A">
              <w:rPr>
                <w:sz w:val="20"/>
              </w:rPr>
              <w:br/>
            </w:r>
            <w:r w:rsidRPr="006A0C0A">
              <w:rPr>
                <w:sz w:val="20"/>
              </w:rPr>
              <w:t xml:space="preserve">de </w:t>
            </w:r>
            <w:r w:rsidRPr="001D76CA">
              <w:rPr>
                <w:sz w:val="20"/>
              </w:rPr>
              <w:t>2023</w:t>
            </w:r>
          </w:p>
        </w:tc>
        <w:tc>
          <w:tcPr>
            <w:tcW w:w="1043" w:type="dxa"/>
          </w:tcPr>
          <w:p w14:paraId="01319239" w14:textId="37990830" w:rsidR="001D76CA" w:rsidRPr="001D76CA" w:rsidRDefault="001D76CA" w:rsidP="001D76CA">
            <w:pPr>
              <w:pStyle w:val="Tabletext"/>
              <w:rPr>
                <w:sz w:val="20"/>
              </w:rPr>
            </w:pPr>
            <w:proofErr w:type="spellStart"/>
            <w:r w:rsidRPr="001D76CA">
              <w:rPr>
                <w:sz w:val="20"/>
              </w:rPr>
              <w:t>Multir</w:t>
            </w:r>
            <w:r w:rsidR="006A0C0A">
              <w:rPr>
                <w:sz w:val="20"/>
              </w:rPr>
              <w:t>r</w:t>
            </w:r>
            <w:r w:rsidRPr="001D76CA">
              <w:rPr>
                <w:sz w:val="20"/>
              </w:rPr>
              <w:t>e</w:t>
            </w:r>
            <w:r w:rsidR="006A0C0A">
              <w:rPr>
                <w:sz w:val="20"/>
              </w:rPr>
              <w:t>-</w:t>
            </w:r>
            <w:r w:rsidRPr="001D76CA">
              <w:rPr>
                <w:sz w:val="20"/>
              </w:rPr>
              <w:t>gional</w:t>
            </w:r>
            <w:proofErr w:type="spellEnd"/>
          </w:p>
        </w:tc>
        <w:tc>
          <w:tcPr>
            <w:tcW w:w="1043" w:type="dxa"/>
          </w:tcPr>
          <w:p w14:paraId="65C353B8" w14:textId="24F31613" w:rsidR="001D76CA" w:rsidRPr="001D76CA" w:rsidRDefault="001D76CA" w:rsidP="00354811">
            <w:pPr>
              <w:pStyle w:val="Tabletext"/>
              <w:jc w:val="center"/>
              <w:rPr>
                <w:sz w:val="20"/>
              </w:rPr>
            </w:pPr>
            <w:r w:rsidRPr="001D76CA">
              <w:rPr>
                <w:sz w:val="20"/>
              </w:rPr>
              <w:t>Agosto</w:t>
            </w:r>
            <w:r w:rsidR="006A0C0A">
              <w:rPr>
                <w:sz w:val="20"/>
              </w:rPr>
              <w:t xml:space="preserve"> </w:t>
            </w:r>
            <w:r w:rsidRPr="001D76CA">
              <w:rPr>
                <w:sz w:val="20"/>
              </w:rPr>
              <w:br/>
            </w:r>
            <w:r w:rsidRPr="006A0C0A">
              <w:rPr>
                <w:sz w:val="20"/>
              </w:rPr>
              <w:t xml:space="preserve">de </w:t>
            </w:r>
            <w:r w:rsidRPr="001D76CA">
              <w:rPr>
                <w:sz w:val="20"/>
              </w:rPr>
              <w:t>2021</w:t>
            </w:r>
          </w:p>
        </w:tc>
        <w:tc>
          <w:tcPr>
            <w:tcW w:w="1682" w:type="dxa"/>
          </w:tcPr>
          <w:p w14:paraId="116FB0D6" w14:textId="77777777" w:rsidR="001D76CA" w:rsidRPr="001D76CA" w:rsidRDefault="001D76CA" w:rsidP="00354811">
            <w:pPr>
              <w:pStyle w:val="Tabletext"/>
              <w:jc w:val="center"/>
              <w:rPr>
                <w:sz w:val="20"/>
              </w:rPr>
            </w:pPr>
            <w:r w:rsidRPr="001D76CA">
              <w:rPr>
                <w:sz w:val="20"/>
              </w:rPr>
              <w:t>UNICEF</w:t>
            </w:r>
          </w:p>
        </w:tc>
        <w:tc>
          <w:tcPr>
            <w:tcW w:w="2579" w:type="dxa"/>
          </w:tcPr>
          <w:p w14:paraId="04DFAB68" w14:textId="6A8D2608" w:rsidR="001D76CA" w:rsidRPr="0084247E" w:rsidRDefault="001D76CA" w:rsidP="001D76CA">
            <w:pPr>
              <w:pStyle w:val="Tabletext"/>
              <w:rPr>
                <w:sz w:val="20"/>
                <w:lang w:val="en-GB"/>
              </w:rPr>
            </w:pPr>
            <w:r w:rsidRPr="0084247E">
              <w:rPr>
                <w:sz w:val="20"/>
                <w:lang w:val="en-GB"/>
              </w:rPr>
              <w:t>UNICEF: 550 000 USD</w:t>
            </w:r>
          </w:p>
          <w:p w14:paraId="13BF67F6" w14:textId="43F8F56B" w:rsidR="001D76CA" w:rsidRPr="0084247E" w:rsidRDefault="001D76CA" w:rsidP="001D76CA">
            <w:pPr>
              <w:pStyle w:val="Tabletext"/>
              <w:rPr>
                <w:sz w:val="20"/>
                <w:lang w:val="en-GB"/>
              </w:rPr>
            </w:pPr>
            <w:r w:rsidRPr="0084247E">
              <w:rPr>
                <w:sz w:val="20"/>
                <w:lang w:val="en-GB"/>
              </w:rPr>
              <w:t>FD-TIC: 137 500 USD</w:t>
            </w:r>
          </w:p>
        </w:tc>
        <w:tc>
          <w:tcPr>
            <w:tcW w:w="2067" w:type="dxa"/>
          </w:tcPr>
          <w:p w14:paraId="3103FE2B" w14:textId="55B6E3A9" w:rsidR="001D76CA" w:rsidRPr="001D76CA" w:rsidRDefault="001D76CA" w:rsidP="00354811">
            <w:pPr>
              <w:pStyle w:val="Tabletext"/>
              <w:jc w:val="center"/>
              <w:rPr>
                <w:sz w:val="20"/>
              </w:rPr>
            </w:pPr>
            <w:r w:rsidRPr="001D76CA">
              <w:rPr>
                <w:sz w:val="20"/>
              </w:rPr>
              <w:t>11 800 USD</w:t>
            </w:r>
          </w:p>
        </w:tc>
      </w:tr>
      <w:tr w:rsidR="00354811" w:rsidRPr="001D76CA" w14:paraId="3A77DD5E" w14:textId="77777777" w:rsidTr="00354811">
        <w:trPr>
          <w:trHeight w:val="404"/>
        </w:trPr>
        <w:tc>
          <w:tcPr>
            <w:tcW w:w="1555" w:type="dxa"/>
          </w:tcPr>
          <w:p w14:paraId="3B929414" w14:textId="77777777" w:rsidR="001D76CA" w:rsidRPr="001D76CA" w:rsidRDefault="001D76CA" w:rsidP="001D76CA">
            <w:pPr>
              <w:pStyle w:val="Tabletext"/>
              <w:rPr>
                <w:sz w:val="20"/>
              </w:rPr>
            </w:pPr>
            <w:r w:rsidRPr="001D76CA">
              <w:rPr>
                <w:sz w:val="20"/>
              </w:rPr>
              <w:t>9RAF21101</w:t>
            </w:r>
          </w:p>
        </w:tc>
        <w:tc>
          <w:tcPr>
            <w:tcW w:w="1842" w:type="dxa"/>
          </w:tcPr>
          <w:p w14:paraId="01479D1C" w14:textId="77777777" w:rsidR="001D76CA" w:rsidRPr="001D76CA" w:rsidRDefault="001D76CA" w:rsidP="001D76CA">
            <w:pPr>
              <w:pStyle w:val="Tabletext"/>
              <w:rPr>
                <w:sz w:val="20"/>
              </w:rPr>
            </w:pPr>
            <w:r w:rsidRPr="001D76CA">
              <w:rPr>
                <w:sz w:val="20"/>
              </w:rPr>
              <w:t>Acelerar la transformación digital de África a través de la conectividad</w:t>
            </w:r>
          </w:p>
        </w:tc>
        <w:tc>
          <w:tcPr>
            <w:tcW w:w="966" w:type="dxa"/>
          </w:tcPr>
          <w:p w14:paraId="3362F1F2" w14:textId="7F6EA5DB" w:rsidR="001D76CA" w:rsidRPr="001D76CA" w:rsidRDefault="001D76CA" w:rsidP="00354811">
            <w:pPr>
              <w:pStyle w:val="Tabletext"/>
              <w:jc w:val="center"/>
              <w:rPr>
                <w:sz w:val="20"/>
              </w:rPr>
            </w:pPr>
            <w:r w:rsidRPr="001D76CA">
              <w:rPr>
                <w:sz w:val="20"/>
              </w:rPr>
              <w:t xml:space="preserve">Agosto </w:t>
            </w:r>
            <w:r w:rsidR="006A0C0A">
              <w:rPr>
                <w:sz w:val="20"/>
              </w:rPr>
              <w:br/>
            </w:r>
            <w:r w:rsidRPr="006A0C0A">
              <w:rPr>
                <w:sz w:val="20"/>
              </w:rPr>
              <w:t xml:space="preserve">de </w:t>
            </w:r>
            <w:r w:rsidRPr="001D76CA">
              <w:rPr>
                <w:sz w:val="20"/>
              </w:rPr>
              <w:t>2021</w:t>
            </w:r>
          </w:p>
        </w:tc>
        <w:tc>
          <w:tcPr>
            <w:tcW w:w="1211" w:type="dxa"/>
          </w:tcPr>
          <w:p w14:paraId="75E8A249" w14:textId="7D4EEC51" w:rsidR="001D76CA" w:rsidRPr="001D76CA" w:rsidRDefault="001D76CA" w:rsidP="00354811">
            <w:pPr>
              <w:pStyle w:val="Tabletext"/>
              <w:jc w:val="center"/>
              <w:rPr>
                <w:sz w:val="20"/>
              </w:rPr>
            </w:pPr>
            <w:r w:rsidRPr="001D76CA">
              <w:rPr>
                <w:sz w:val="20"/>
              </w:rPr>
              <w:t xml:space="preserve">Dic. </w:t>
            </w:r>
            <w:r w:rsidR="006A0C0A">
              <w:rPr>
                <w:sz w:val="20"/>
              </w:rPr>
              <w:br/>
            </w:r>
            <w:r w:rsidRPr="006A0C0A">
              <w:rPr>
                <w:sz w:val="20"/>
              </w:rPr>
              <w:t>de</w:t>
            </w:r>
            <w:r w:rsidR="006A0C0A">
              <w:rPr>
                <w:sz w:val="20"/>
              </w:rPr>
              <w:t xml:space="preserve"> </w:t>
            </w:r>
            <w:r w:rsidRPr="001D76CA">
              <w:rPr>
                <w:sz w:val="20"/>
              </w:rPr>
              <w:t>2023</w:t>
            </w:r>
          </w:p>
        </w:tc>
        <w:tc>
          <w:tcPr>
            <w:tcW w:w="1043" w:type="dxa"/>
          </w:tcPr>
          <w:p w14:paraId="78A6B9E6" w14:textId="77777777" w:rsidR="001D76CA" w:rsidRPr="001D76CA" w:rsidRDefault="001D76CA" w:rsidP="001D76CA">
            <w:pPr>
              <w:pStyle w:val="Tabletext"/>
              <w:rPr>
                <w:sz w:val="20"/>
              </w:rPr>
            </w:pPr>
            <w:r w:rsidRPr="001D76CA">
              <w:rPr>
                <w:sz w:val="20"/>
              </w:rPr>
              <w:t>África</w:t>
            </w:r>
          </w:p>
        </w:tc>
        <w:tc>
          <w:tcPr>
            <w:tcW w:w="1043" w:type="dxa"/>
          </w:tcPr>
          <w:p w14:paraId="2F369A07" w14:textId="4189A0DB" w:rsidR="001D76CA" w:rsidRPr="001D76CA" w:rsidRDefault="001D76CA" w:rsidP="00354811">
            <w:pPr>
              <w:pStyle w:val="Tabletext"/>
              <w:jc w:val="center"/>
              <w:rPr>
                <w:sz w:val="20"/>
              </w:rPr>
            </w:pPr>
            <w:r w:rsidRPr="001D76CA">
              <w:rPr>
                <w:sz w:val="20"/>
              </w:rPr>
              <w:t xml:space="preserve">Agosto </w:t>
            </w:r>
            <w:r w:rsidR="006A0C0A">
              <w:rPr>
                <w:sz w:val="20"/>
              </w:rPr>
              <w:br/>
            </w:r>
            <w:r w:rsidRPr="006A0C0A">
              <w:rPr>
                <w:sz w:val="20"/>
              </w:rPr>
              <w:t xml:space="preserve">de </w:t>
            </w:r>
            <w:r w:rsidRPr="001D76CA">
              <w:rPr>
                <w:sz w:val="20"/>
              </w:rPr>
              <w:t>2021</w:t>
            </w:r>
          </w:p>
        </w:tc>
        <w:tc>
          <w:tcPr>
            <w:tcW w:w="1682" w:type="dxa"/>
          </w:tcPr>
          <w:p w14:paraId="5CBFC08E" w14:textId="77777777" w:rsidR="001D76CA" w:rsidRPr="001D76CA" w:rsidRDefault="001D76CA" w:rsidP="00354811">
            <w:pPr>
              <w:pStyle w:val="Tabletext"/>
              <w:jc w:val="center"/>
              <w:rPr>
                <w:sz w:val="20"/>
              </w:rPr>
            </w:pPr>
            <w:r w:rsidRPr="001D76CA">
              <w:rPr>
                <w:sz w:val="20"/>
              </w:rPr>
              <w:t>Microsoft</w:t>
            </w:r>
          </w:p>
        </w:tc>
        <w:tc>
          <w:tcPr>
            <w:tcW w:w="2579" w:type="dxa"/>
          </w:tcPr>
          <w:p w14:paraId="434AE266" w14:textId="3E3C2D32" w:rsidR="001D76CA" w:rsidRPr="0084247E" w:rsidRDefault="001D76CA" w:rsidP="001D76CA">
            <w:pPr>
              <w:pStyle w:val="Tabletext"/>
              <w:rPr>
                <w:sz w:val="20"/>
                <w:lang w:val="en-GB"/>
              </w:rPr>
            </w:pPr>
            <w:r w:rsidRPr="0084247E">
              <w:rPr>
                <w:sz w:val="20"/>
                <w:lang w:val="en-GB"/>
              </w:rPr>
              <w:t>Microsoft: 500 000 USD</w:t>
            </w:r>
          </w:p>
          <w:p w14:paraId="2ADC4297" w14:textId="525FBF56" w:rsidR="001D76CA" w:rsidRPr="0084247E" w:rsidRDefault="001D76CA" w:rsidP="001D76CA">
            <w:pPr>
              <w:pStyle w:val="Tabletext"/>
              <w:rPr>
                <w:sz w:val="20"/>
                <w:lang w:val="en-GB"/>
              </w:rPr>
            </w:pPr>
            <w:r w:rsidRPr="0084247E">
              <w:rPr>
                <w:sz w:val="20"/>
                <w:lang w:val="en-GB"/>
              </w:rPr>
              <w:t>FD-TIC: 100 000 USD</w:t>
            </w:r>
          </w:p>
        </w:tc>
        <w:tc>
          <w:tcPr>
            <w:tcW w:w="2067" w:type="dxa"/>
          </w:tcPr>
          <w:p w14:paraId="5EF36508" w14:textId="6448BADC" w:rsidR="001D76CA" w:rsidRPr="001D76CA" w:rsidRDefault="001D76CA" w:rsidP="00354811">
            <w:pPr>
              <w:pStyle w:val="Tabletext"/>
              <w:jc w:val="center"/>
              <w:rPr>
                <w:sz w:val="20"/>
              </w:rPr>
            </w:pPr>
            <w:r w:rsidRPr="001D76CA">
              <w:rPr>
                <w:sz w:val="20"/>
              </w:rPr>
              <w:t>100 602 USD</w:t>
            </w:r>
          </w:p>
        </w:tc>
      </w:tr>
      <w:tr w:rsidR="00354811" w:rsidRPr="001D76CA" w14:paraId="780E08EA" w14:textId="77777777" w:rsidTr="00354811">
        <w:trPr>
          <w:trHeight w:val="404"/>
        </w:trPr>
        <w:tc>
          <w:tcPr>
            <w:tcW w:w="1555" w:type="dxa"/>
          </w:tcPr>
          <w:p w14:paraId="2374237C" w14:textId="77777777" w:rsidR="001D76CA" w:rsidRPr="001D76CA" w:rsidRDefault="001D76CA" w:rsidP="001D76CA">
            <w:pPr>
              <w:pStyle w:val="Tabletext"/>
              <w:rPr>
                <w:sz w:val="20"/>
              </w:rPr>
            </w:pPr>
            <w:r w:rsidRPr="001D76CA">
              <w:rPr>
                <w:sz w:val="20"/>
              </w:rPr>
              <w:t>9UGA21008</w:t>
            </w:r>
          </w:p>
        </w:tc>
        <w:tc>
          <w:tcPr>
            <w:tcW w:w="1842" w:type="dxa"/>
          </w:tcPr>
          <w:p w14:paraId="398218B3" w14:textId="77777777" w:rsidR="001D76CA" w:rsidRPr="001D76CA" w:rsidRDefault="001D76CA" w:rsidP="001D76CA">
            <w:pPr>
              <w:pStyle w:val="Tabletext"/>
              <w:rPr>
                <w:sz w:val="20"/>
              </w:rPr>
            </w:pPr>
            <w:r w:rsidRPr="001D76CA">
              <w:rPr>
                <w:sz w:val="20"/>
              </w:rPr>
              <w:t>Asistencia técnica y formación a Uganda sobre la estrategia nacional de desarrollo de las TIC</w:t>
            </w:r>
          </w:p>
        </w:tc>
        <w:tc>
          <w:tcPr>
            <w:tcW w:w="966" w:type="dxa"/>
          </w:tcPr>
          <w:p w14:paraId="4EFA5DE6" w14:textId="68E82001" w:rsidR="001D76CA" w:rsidRPr="001D76CA" w:rsidRDefault="001D76CA" w:rsidP="00354811">
            <w:pPr>
              <w:pStyle w:val="Tabletext"/>
              <w:jc w:val="center"/>
              <w:rPr>
                <w:sz w:val="20"/>
              </w:rPr>
            </w:pPr>
            <w:r w:rsidRPr="001D76CA">
              <w:rPr>
                <w:sz w:val="20"/>
              </w:rPr>
              <w:t>Enero</w:t>
            </w:r>
            <w:r w:rsidRPr="006A0C0A">
              <w:rPr>
                <w:sz w:val="20"/>
              </w:rPr>
              <w:t xml:space="preserve"> </w:t>
            </w:r>
            <w:r w:rsidR="006A0C0A">
              <w:rPr>
                <w:sz w:val="20"/>
              </w:rPr>
              <w:br/>
            </w:r>
            <w:r w:rsidRPr="006A0C0A">
              <w:rPr>
                <w:sz w:val="20"/>
              </w:rPr>
              <w:t>de</w:t>
            </w:r>
            <w:r w:rsidR="006A0C0A">
              <w:rPr>
                <w:sz w:val="20"/>
              </w:rPr>
              <w:t xml:space="preserve"> </w:t>
            </w:r>
            <w:r w:rsidRPr="001D76CA">
              <w:rPr>
                <w:sz w:val="20"/>
              </w:rPr>
              <w:t>2021</w:t>
            </w:r>
          </w:p>
        </w:tc>
        <w:tc>
          <w:tcPr>
            <w:tcW w:w="1211" w:type="dxa"/>
          </w:tcPr>
          <w:p w14:paraId="75F11658" w14:textId="6B17647D" w:rsidR="001D76CA" w:rsidRPr="001D76CA" w:rsidRDefault="001D76CA" w:rsidP="00354811">
            <w:pPr>
              <w:pStyle w:val="Tabletext"/>
              <w:jc w:val="center"/>
              <w:rPr>
                <w:sz w:val="20"/>
              </w:rPr>
            </w:pPr>
            <w:r w:rsidRPr="001D76CA">
              <w:rPr>
                <w:sz w:val="20"/>
              </w:rPr>
              <w:t xml:space="preserve">Dic. </w:t>
            </w:r>
            <w:r w:rsidR="006A0C0A">
              <w:rPr>
                <w:sz w:val="20"/>
              </w:rPr>
              <w:br/>
            </w:r>
            <w:r w:rsidRPr="006A0C0A">
              <w:rPr>
                <w:sz w:val="20"/>
              </w:rPr>
              <w:t>de</w:t>
            </w:r>
            <w:r w:rsidR="006A0C0A">
              <w:rPr>
                <w:sz w:val="20"/>
              </w:rPr>
              <w:t xml:space="preserve"> </w:t>
            </w:r>
            <w:r w:rsidRPr="001D76CA">
              <w:rPr>
                <w:sz w:val="20"/>
              </w:rPr>
              <w:t>2023</w:t>
            </w:r>
          </w:p>
        </w:tc>
        <w:tc>
          <w:tcPr>
            <w:tcW w:w="1043" w:type="dxa"/>
          </w:tcPr>
          <w:p w14:paraId="3CF32D59" w14:textId="77777777" w:rsidR="001D76CA" w:rsidRPr="001D76CA" w:rsidRDefault="001D76CA" w:rsidP="001D76CA">
            <w:pPr>
              <w:pStyle w:val="Tabletext"/>
              <w:rPr>
                <w:sz w:val="20"/>
              </w:rPr>
            </w:pPr>
            <w:r w:rsidRPr="001D76CA">
              <w:rPr>
                <w:sz w:val="20"/>
              </w:rPr>
              <w:t>África</w:t>
            </w:r>
          </w:p>
        </w:tc>
        <w:tc>
          <w:tcPr>
            <w:tcW w:w="1043" w:type="dxa"/>
          </w:tcPr>
          <w:p w14:paraId="581F8114" w14:textId="10B0CB6A" w:rsidR="001D76CA" w:rsidRPr="001D76CA" w:rsidRDefault="001D76CA" w:rsidP="00354811">
            <w:pPr>
              <w:pStyle w:val="Tabletext"/>
              <w:jc w:val="center"/>
              <w:rPr>
                <w:sz w:val="20"/>
              </w:rPr>
            </w:pPr>
            <w:r w:rsidRPr="001D76CA">
              <w:rPr>
                <w:sz w:val="20"/>
              </w:rPr>
              <w:t xml:space="preserve">Febrero </w:t>
            </w:r>
            <w:r w:rsidRPr="001D76CA">
              <w:rPr>
                <w:sz w:val="20"/>
              </w:rPr>
              <w:br/>
            </w:r>
            <w:r w:rsidRPr="006A0C0A">
              <w:rPr>
                <w:sz w:val="20"/>
              </w:rPr>
              <w:t xml:space="preserve">de </w:t>
            </w:r>
            <w:r w:rsidRPr="001D76CA">
              <w:rPr>
                <w:sz w:val="20"/>
              </w:rPr>
              <w:t>2021</w:t>
            </w:r>
          </w:p>
        </w:tc>
        <w:tc>
          <w:tcPr>
            <w:tcW w:w="1682" w:type="dxa"/>
          </w:tcPr>
          <w:p w14:paraId="4BA7BC9F" w14:textId="77777777" w:rsidR="001D76CA" w:rsidRPr="001D76CA" w:rsidRDefault="001D76CA" w:rsidP="00354811">
            <w:pPr>
              <w:pStyle w:val="Tabletext"/>
              <w:jc w:val="center"/>
              <w:rPr>
                <w:sz w:val="20"/>
              </w:rPr>
            </w:pPr>
            <w:r w:rsidRPr="001D76CA">
              <w:rPr>
                <w:sz w:val="20"/>
              </w:rPr>
              <w:t>Ministerio de Industria y Tecnología de la Información de la República Popular de China (MIIT)</w:t>
            </w:r>
          </w:p>
        </w:tc>
        <w:tc>
          <w:tcPr>
            <w:tcW w:w="2579" w:type="dxa"/>
          </w:tcPr>
          <w:p w14:paraId="7CFC103A" w14:textId="6A7B4183" w:rsidR="001D76CA" w:rsidRPr="0084247E" w:rsidRDefault="001D76CA" w:rsidP="001D76CA">
            <w:pPr>
              <w:pStyle w:val="Tabletext"/>
              <w:rPr>
                <w:sz w:val="20"/>
                <w:lang w:val="en-GB"/>
              </w:rPr>
            </w:pPr>
            <w:r w:rsidRPr="0084247E">
              <w:rPr>
                <w:sz w:val="20"/>
                <w:lang w:val="en-GB"/>
              </w:rPr>
              <w:t>MIIT: 1 800 000 USD</w:t>
            </w:r>
          </w:p>
          <w:p w14:paraId="6D07738F" w14:textId="158D3CFF" w:rsidR="001D76CA" w:rsidRPr="0084247E" w:rsidRDefault="001D76CA" w:rsidP="001D76CA">
            <w:pPr>
              <w:pStyle w:val="Tabletext"/>
              <w:rPr>
                <w:sz w:val="20"/>
                <w:lang w:val="en-GB"/>
              </w:rPr>
            </w:pPr>
            <w:r w:rsidRPr="0084247E">
              <w:rPr>
                <w:sz w:val="20"/>
                <w:lang w:val="en-GB"/>
              </w:rPr>
              <w:t>FD-TIC: 100 000 USD</w:t>
            </w:r>
          </w:p>
        </w:tc>
        <w:tc>
          <w:tcPr>
            <w:tcW w:w="2067" w:type="dxa"/>
          </w:tcPr>
          <w:p w14:paraId="51E923C4" w14:textId="55357C69" w:rsidR="001D76CA" w:rsidRPr="001D76CA" w:rsidRDefault="001D76CA" w:rsidP="00354811">
            <w:pPr>
              <w:pStyle w:val="Tabletext"/>
              <w:jc w:val="center"/>
              <w:rPr>
                <w:sz w:val="20"/>
              </w:rPr>
            </w:pPr>
            <w:r w:rsidRPr="001D76CA">
              <w:rPr>
                <w:sz w:val="20"/>
              </w:rPr>
              <w:t>1 688 682 USD</w:t>
            </w:r>
          </w:p>
        </w:tc>
      </w:tr>
      <w:tr w:rsidR="00354811" w:rsidRPr="001D76CA" w14:paraId="0404B44E" w14:textId="77777777" w:rsidTr="00354811">
        <w:trPr>
          <w:trHeight w:val="404"/>
        </w:trPr>
        <w:tc>
          <w:tcPr>
            <w:tcW w:w="1555" w:type="dxa"/>
          </w:tcPr>
          <w:p w14:paraId="4D78FCBB" w14:textId="77777777" w:rsidR="001D76CA" w:rsidRPr="001D76CA" w:rsidRDefault="001D76CA" w:rsidP="001D76CA">
            <w:pPr>
              <w:pStyle w:val="Tabletext"/>
              <w:rPr>
                <w:sz w:val="20"/>
              </w:rPr>
            </w:pPr>
            <w:r w:rsidRPr="001D76CA">
              <w:rPr>
                <w:sz w:val="20"/>
              </w:rPr>
              <w:t>7GLO22121</w:t>
            </w:r>
          </w:p>
        </w:tc>
        <w:tc>
          <w:tcPr>
            <w:tcW w:w="1842" w:type="dxa"/>
          </w:tcPr>
          <w:p w14:paraId="3584785D" w14:textId="77777777" w:rsidR="001D76CA" w:rsidRPr="001D76CA" w:rsidRDefault="001D76CA" w:rsidP="001D76CA">
            <w:pPr>
              <w:pStyle w:val="Tabletext"/>
              <w:rPr>
                <w:sz w:val="20"/>
              </w:rPr>
            </w:pPr>
            <w:r w:rsidRPr="001D76CA">
              <w:rPr>
                <w:sz w:val="20"/>
              </w:rPr>
              <w:t>Reducción de la brecha digital de género para las mujeres empresarias</w:t>
            </w:r>
          </w:p>
        </w:tc>
        <w:tc>
          <w:tcPr>
            <w:tcW w:w="966" w:type="dxa"/>
          </w:tcPr>
          <w:p w14:paraId="360A46E0" w14:textId="2C20BFE6" w:rsidR="001D76CA" w:rsidRPr="001D76CA" w:rsidRDefault="001D76CA" w:rsidP="00354811">
            <w:pPr>
              <w:pStyle w:val="Tabletext"/>
              <w:jc w:val="center"/>
              <w:rPr>
                <w:sz w:val="20"/>
              </w:rPr>
            </w:pPr>
            <w:r w:rsidRPr="001D76CA">
              <w:rPr>
                <w:sz w:val="20"/>
              </w:rPr>
              <w:t xml:space="preserve">Febrero </w:t>
            </w:r>
            <w:r w:rsidR="006A0C0A">
              <w:rPr>
                <w:sz w:val="20"/>
              </w:rPr>
              <w:br/>
            </w:r>
            <w:r w:rsidRPr="006A0C0A">
              <w:rPr>
                <w:sz w:val="20"/>
              </w:rPr>
              <w:t xml:space="preserve">de </w:t>
            </w:r>
            <w:r w:rsidRPr="001D76CA">
              <w:rPr>
                <w:sz w:val="20"/>
              </w:rPr>
              <w:t>2022</w:t>
            </w:r>
          </w:p>
        </w:tc>
        <w:tc>
          <w:tcPr>
            <w:tcW w:w="1211" w:type="dxa"/>
          </w:tcPr>
          <w:p w14:paraId="434DD6F7" w14:textId="6DFB80D5" w:rsidR="001D76CA" w:rsidRPr="001D76CA" w:rsidRDefault="001D76CA" w:rsidP="00354811">
            <w:pPr>
              <w:pStyle w:val="Tabletext"/>
              <w:jc w:val="center"/>
              <w:rPr>
                <w:sz w:val="20"/>
              </w:rPr>
            </w:pPr>
            <w:r w:rsidRPr="001D76CA">
              <w:rPr>
                <w:sz w:val="20"/>
              </w:rPr>
              <w:t>Julio</w:t>
            </w:r>
            <w:r w:rsidR="006A0C0A">
              <w:rPr>
                <w:sz w:val="20"/>
              </w:rPr>
              <w:t xml:space="preserve"> </w:t>
            </w:r>
            <w:r w:rsidR="006A0C0A">
              <w:rPr>
                <w:sz w:val="20"/>
              </w:rPr>
              <w:br/>
            </w:r>
            <w:r w:rsidRPr="006A0C0A">
              <w:rPr>
                <w:sz w:val="20"/>
              </w:rPr>
              <w:t>de</w:t>
            </w:r>
            <w:r w:rsidRPr="001D76CA">
              <w:rPr>
                <w:sz w:val="20"/>
              </w:rPr>
              <w:t xml:space="preserve"> 2023</w:t>
            </w:r>
          </w:p>
        </w:tc>
        <w:tc>
          <w:tcPr>
            <w:tcW w:w="1043" w:type="dxa"/>
          </w:tcPr>
          <w:p w14:paraId="1C3CA889" w14:textId="77777777" w:rsidR="001D76CA" w:rsidRPr="001D76CA" w:rsidRDefault="001D76CA" w:rsidP="001D76CA">
            <w:pPr>
              <w:pStyle w:val="Tabletext"/>
              <w:rPr>
                <w:sz w:val="20"/>
              </w:rPr>
            </w:pPr>
            <w:proofErr w:type="spellStart"/>
            <w:r w:rsidRPr="001D76CA">
              <w:rPr>
                <w:sz w:val="20"/>
              </w:rPr>
              <w:t>Multirre-gional</w:t>
            </w:r>
            <w:proofErr w:type="spellEnd"/>
          </w:p>
        </w:tc>
        <w:tc>
          <w:tcPr>
            <w:tcW w:w="1043" w:type="dxa"/>
          </w:tcPr>
          <w:p w14:paraId="5E1A4B56" w14:textId="28073ED6" w:rsidR="001D76CA" w:rsidRPr="001D76CA" w:rsidRDefault="001D76CA" w:rsidP="00354811">
            <w:pPr>
              <w:pStyle w:val="Tabletext"/>
              <w:jc w:val="center"/>
              <w:rPr>
                <w:sz w:val="20"/>
              </w:rPr>
            </w:pPr>
            <w:r w:rsidRPr="001D76CA">
              <w:rPr>
                <w:sz w:val="20"/>
              </w:rPr>
              <w:t>Febrero</w:t>
            </w:r>
            <w:r w:rsidR="006A0C0A">
              <w:rPr>
                <w:sz w:val="20"/>
              </w:rPr>
              <w:t xml:space="preserve"> </w:t>
            </w:r>
            <w:r w:rsidRPr="001D76CA">
              <w:rPr>
                <w:sz w:val="20"/>
              </w:rPr>
              <w:br/>
            </w:r>
            <w:r w:rsidRPr="006A0C0A">
              <w:rPr>
                <w:sz w:val="20"/>
              </w:rPr>
              <w:t>de</w:t>
            </w:r>
            <w:r w:rsidRPr="001D76CA">
              <w:rPr>
                <w:sz w:val="20"/>
              </w:rPr>
              <w:t xml:space="preserve"> 2022</w:t>
            </w:r>
          </w:p>
        </w:tc>
        <w:tc>
          <w:tcPr>
            <w:tcW w:w="1682" w:type="dxa"/>
          </w:tcPr>
          <w:p w14:paraId="31C90B98" w14:textId="77777777" w:rsidR="001D76CA" w:rsidRPr="001D76CA" w:rsidRDefault="001D76CA" w:rsidP="00354811">
            <w:pPr>
              <w:pStyle w:val="Tabletext"/>
              <w:jc w:val="center"/>
              <w:rPr>
                <w:sz w:val="20"/>
              </w:rPr>
            </w:pPr>
            <w:r w:rsidRPr="001D76CA">
              <w:rPr>
                <w:sz w:val="20"/>
              </w:rPr>
              <w:t>Mary Kay</w:t>
            </w:r>
          </w:p>
        </w:tc>
        <w:tc>
          <w:tcPr>
            <w:tcW w:w="2579" w:type="dxa"/>
          </w:tcPr>
          <w:p w14:paraId="08CE8889" w14:textId="40EBF505" w:rsidR="001D76CA" w:rsidRPr="0084247E" w:rsidRDefault="001D76CA" w:rsidP="001D76CA">
            <w:pPr>
              <w:pStyle w:val="Tabletext"/>
              <w:rPr>
                <w:sz w:val="20"/>
                <w:lang w:val="en-GB"/>
              </w:rPr>
            </w:pPr>
            <w:r w:rsidRPr="0084247E">
              <w:rPr>
                <w:sz w:val="20"/>
                <w:lang w:val="en-GB"/>
              </w:rPr>
              <w:t>Mary Kay: 220 000 USD</w:t>
            </w:r>
          </w:p>
          <w:p w14:paraId="765899BA" w14:textId="372390EA" w:rsidR="001D76CA" w:rsidRPr="0084247E" w:rsidRDefault="001D76CA" w:rsidP="001D76CA">
            <w:pPr>
              <w:pStyle w:val="Tabletext"/>
              <w:rPr>
                <w:sz w:val="20"/>
                <w:lang w:val="en-GB"/>
              </w:rPr>
            </w:pPr>
            <w:r w:rsidRPr="0084247E">
              <w:rPr>
                <w:sz w:val="20"/>
                <w:lang w:val="en-GB"/>
              </w:rPr>
              <w:t>FD-TIC: 55 000 USD</w:t>
            </w:r>
          </w:p>
        </w:tc>
        <w:tc>
          <w:tcPr>
            <w:tcW w:w="2067" w:type="dxa"/>
          </w:tcPr>
          <w:p w14:paraId="400E69FC" w14:textId="7FF2B6F6" w:rsidR="001D76CA" w:rsidRPr="001D76CA" w:rsidRDefault="001D76CA" w:rsidP="00354811">
            <w:pPr>
              <w:pStyle w:val="Tabletext"/>
              <w:jc w:val="center"/>
              <w:rPr>
                <w:sz w:val="20"/>
              </w:rPr>
            </w:pPr>
            <w:r w:rsidRPr="001D76CA">
              <w:rPr>
                <w:sz w:val="20"/>
              </w:rPr>
              <w:t>38 300 USD</w:t>
            </w:r>
          </w:p>
        </w:tc>
      </w:tr>
    </w:tbl>
    <w:p w14:paraId="4385B9F3" w14:textId="41204758" w:rsidR="001D76CA" w:rsidRPr="001D76CA" w:rsidRDefault="001D76CA" w:rsidP="001D76CA">
      <w:r w:rsidRPr="001D76CA">
        <w:rPr>
          <w:i/>
          <w:iCs/>
        </w:rPr>
        <w:t xml:space="preserve">Para más información sobre los proyectos, véase </w:t>
      </w:r>
      <w:hyperlink r:id="rId27" w:history="1">
        <w:r w:rsidRPr="001D76CA">
          <w:rPr>
            <w:rStyle w:val="Hyperlink"/>
            <w:i/>
            <w:iCs/>
          </w:rPr>
          <w:t>www.itu.int/en/ITU-D/Projects</w:t>
        </w:r>
      </w:hyperlink>
      <w:r>
        <w:t>.</w:t>
      </w:r>
    </w:p>
    <w:p w14:paraId="17E8CF36" w14:textId="77777777" w:rsidR="001D76CA" w:rsidRDefault="001D76CA" w:rsidP="00FF4BD7"/>
    <w:p w14:paraId="59620CED" w14:textId="77777777" w:rsidR="001D76CA" w:rsidRDefault="001D76CA">
      <w:pPr>
        <w:jc w:val="center"/>
      </w:pPr>
      <w:r>
        <w:t>______________</w:t>
      </w:r>
    </w:p>
    <w:sectPr w:rsidR="001D76CA" w:rsidSect="00207B28">
      <w:footerReference w:type="default" r:id="rId28"/>
      <w:headerReference w:type="first" r:id="rId29"/>
      <w:footerReference w:type="first" r:id="rId30"/>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38C7" w14:textId="77777777" w:rsidR="00C945E3" w:rsidRDefault="00C945E3">
      <w:r>
        <w:separator/>
      </w:r>
    </w:p>
  </w:endnote>
  <w:endnote w:type="continuationSeparator" w:id="0">
    <w:p w14:paraId="41FC0F56" w14:textId="77777777" w:rsidR="00C945E3" w:rsidRDefault="00C9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76EF993" w14:textId="77777777" w:rsidTr="00E31DCE">
      <w:trPr>
        <w:jc w:val="center"/>
      </w:trPr>
      <w:tc>
        <w:tcPr>
          <w:tcW w:w="1803" w:type="dxa"/>
          <w:vAlign w:val="center"/>
        </w:tcPr>
        <w:p w14:paraId="5DA5F976" w14:textId="0048E090" w:rsidR="003273A4" w:rsidRDefault="003273A4" w:rsidP="003273A4">
          <w:pPr>
            <w:pStyle w:val="Header"/>
            <w:jc w:val="left"/>
            <w:rPr>
              <w:noProof/>
            </w:rPr>
          </w:pPr>
          <w:r>
            <w:rPr>
              <w:noProof/>
            </w:rPr>
            <w:t xml:space="preserve">DPS </w:t>
          </w:r>
          <w:r w:rsidR="00947658">
            <w:rPr>
              <w:noProof/>
            </w:rPr>
            <w:t>521068</w:t>
          </w:r>
        </w:p>
      </w:tc>
      <w:tc>
        <w:tcPr>
          <w:tcW w:w="8261" w:type="dxa"/>
        </w:tcPr>
        <w:p w14:paraId="436010BD" w14:textId="50B9AAEC"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47658">
            <w:rPr>
              <w:bCs/>
            </w:rPr>
            <w:t>34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57697137" w14:textId="50F96550" w:rsidR="00760F1C" w:rsidRPr="00947658" w:rsidRDefault="00947658" w:rsidP="00947658">
    <w:pPr>
      <w:pStyle w:val="Footer"/>
      <w:spacing w:before="120"/>
      <w:rPr>
        <w:lang w:val="fr-FR"/>
      </w:rPr>
    </w:pPr>
    <w:r w:rsidRPr="0084247E">
      <w:rPr>
        <w:color w:val="F2F2F2" w:themeColor="background1" w:themeShade="F2"/>
      </w:rPr>
      <w:fldChar w:fldCharType="begin"/>
    </w:r>
    <w:r w:rsidRPr="0084247E">
      <w:rPr>
        <w:color w:val="F2F2F2" w:themeColor="background1" w:themeShade="F2"/>
        <w:lang w:val="fr-FR"/>
      </w:rPr>
      <w:instrText xml:space="preserve"> FILENAME \p  \* MERGEFORMAT </w:instrText>
    </w:r>
    <w:r w:rsidRPr="0084247E">
      <w:rPr>
        <w:color w:val="F2F2F2" w:themeColor="background1" w:themeShade="F2"/>
      </w:rPr>
      <w:fldChar w:fldCharType="separate"/>
    </w:r>
    <w:r w:rsidRPr="0084247E">
      <w:rPr>
        <w:color w:val="F2F2F2" w:themeColor="background1" w:themeShade="F2"/>
        <w:lang w:val="fr-FR"/>
      </w:rPr>
      <w:t>P:\ESP\SG\CONSEIL\C23\000\034S.docx</w:t>
    </w:r>
    <w:r w:rsidRPr="0084247E">
      <w:rPr>
        <w:color w:val="F2F2F2" w:themeColor="background1" w:themeShade="F2"/>
      </w:rPr>
      <w:fldChar w:fldCharType="end"/>
    </w:r>
    <w:r w:rsidRPr="0084247E">
      <w:rPr>
        <w:color w:val="F2F2F2" w:themeColor="background1" w:themeShade="F2"/>
        <w:lang w:val="fr-FR"/>
      </w:rPr>
      <w:t xml:space="preserve"> (521068)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A5D553C" w14:textId="77777777" w:rsidTr="00E31DCE">
      <w:trPr>
        <w:jc w:val="center"/>
      </w:trPr>
      <w:tc>
        <w:tcPr>
          <w:tcW w:w="1803" w:type="dxa"/>
          <w:vAlign w:val="center"/>
        </w:tcPr>
        <w:p w14:paraId="65E7B71C" w14:textId="77777777" w:rsidR="00F24B71" w:rsidRDefault="0084247E" w:rsidP="00F24B71">
          <w:pPr>
            <w:pStyle w:val="Header"/>
            <w:jc w:val="left"/>
            <w:rPr>
              <w:noProof/>
            </w:rPr>
          </w:pPr>
          <w:hyperlink r:id="rId1" w:history="1">
            <w:r w:rsidR="00F24B71" w:rsidRPr="00A514A4">
              <w:rPr>
                <w:rStyle w:val="Hyperlink"/>
                <w:szCs w:val="14"/>
              </w:rPr>
              <w:t>www.itu.int/council</w:t>
            </w:r>
          </w:hyperlink>
        </w:p>
      </w:tc>
      <w:tc>
        <w:tcPr>
          <w:tcW w:w="8261" w:type="dxa"/>
        </w:tcPr>
        <w:p w14:paraId="0568A3B7" w14:textId="5A94AD91"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47658">
            <w:rPr>
              <w:bCs/>
            </w:rPr>
            <w:t>34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99BA9A7" w14:textId="115BED41" w:rsidR="00760F1C" w:rsidRPr="00947658" w:rsidRDefault="00947658" w:rsidP="00947658">
    <w:pPr>
      <w:pStyle w:val="Footer"/>
      <w:spacing w:before="120"/>
      <w:rPr>
        <w:lang w:val="fr-FR"/>
      </w:rPr>
    </w:pPr>
    <w:r w:rsidRPr="0084247E">
      <w:rPr>
        <w:color w:val="F2F2F2" w:themeColor="background1" w:themeShade="F2"/>
      </w:rPr>
      <w:fldChar w:fldCharType="begin"/>
    </w:r>
    <w:r w:rsidRPr="0084247E">
      <w:rPr>
        <w:color w:val="F2F2F2" w:themeColor="background1" w:themeShade="F2"/>
        <w:lang w:val="fr-FR"/>
      </w:rPr>
      <w:instrText xml:space="preserve"> FILENAME \p  \* MERGEFORMAT </w:instrText>
    </w:r>
    <w:r w:rsidRPr="0084247E">
      <w:rPr>
        <w:color w:val="F2F2F2" w:themeColor="background1" w:themeShade="F2"/>
      </w:rPr>
      <w:fldChar w:fldCharType="separate"/>
    </w:r>
    <w:r w:rsidRPr="0084247E">
      <w:rPr>
        <w:color w:val="F2F2F2" w:themeColor="background1" w:themeShade="F2"/>
        <w:lang w:val="fr-FR"/>
      </w:rPr>
      <w:t>P:\ESP\SG\CONSEIL\C23\000\034S.docx</w:t>
    </w:r>
    <w:r w:rsidRPr="0084247E">
      <w:rPr>
        <w:color w:val="F2F2F2" w:themeColor="background1" w:themeShade="F2"/>
      </w:rPr>
      <w:fldChar w:fldCharType="end"/>
    </w:r>
    <w:r w:rsidRPr="0084247E">
      <w:rPr>
        <w:color w:val="F2F2F2" w:themeColor="background1" w:themeShade="F2"/>
        <w:lang w:val="fr-FR"/>
      </w:rPr>
      <w:t xml:space="preserve"> (521068)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3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gridCol w:w="8047"/>
    </w:tblGrid>
    <w:tr w:rsidR="001D76CA" w:rsidRPr="00784011" w14:paraId="4AE61173" w14:textId="77777777" w:rsidTr="001D76CA">
      <w:trPr>
        <w:jc w:val="center"/>
      </w:trPr>
      <w:tc>
        <w:tcPr>
          <w:tcW w:w="5278" w:type="dxa"/>
          <w:vAlign w:val="center"/>
        </w:tcPr>
        <w:p w14:paraId="2CD02464" w14:textId="77777777" w:rsidR="001D76CA" w:rsidRDefault="001D76CA" w:rsidP="003273A4">
          <w:pPr>
            <w:pStyle w:val="Header"/>
            <w:jc w:val="left"/>
            <w:rPr>
              <w:noProof/>
            </w:rPr>
          </w:pPr>
          <w:r>
            <w:rPr>
              <w:noProof/>
            </w:rPr>
            <w:t>DPS 521068</w:t>
          </w:r>
        </w:p>
      </w:tc>
      <w:tc>
        <w:tcPr>
          <w:tcW w:w="8047" w:type="dxa"/>
        </w:tcPr>
        <w:p w14:paraId="4810E320" w14:textId="77777777" w:rsidR="001D76CA" w:rsidRPr="00E06FD5" w:rsidRDefault="001D76CA"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34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73845E9" w14:textId="77777777" w:rsidR="001D76CA" w:rsidRPr="00947658" w:rsidRDefault="001D76CA" w:rsidP="00947658">
    <w:pPr>
      <w:pStyle w:val="Footer"/>
      <w:spacing w:before="120"/>
      <w:rPr>
        <w:lang w:val="fr-FR"/>
      </w:rPr>
    </w:pPr>
    <w:r w:rsidRPr="0084247E">
      <w:rPr>
        <w:color w:val="F2F2F2" w:themeColor="background1" w:themeShade="F2"/>
      </w:rPr>
      <w:fldChar w:fldCharType="begin"/>
    </w:r>
    <w:r w:rsidRPr="0084247E">
      <w:rPr>
        <w:color w:val="F2F2F2" w:themeColor="background1" w:themeShade="F2"/>
        <w:lang w:val="fr-FR"/>
      </w:rPr>
      <w:instrText xml:space="preserve"> FILENAME \p  \* MERGEFORMAT </w:instrText>
    </w:r>
    <w:r w:rsidRPr="0084247E">
      <w:rPr>
        <w:color w:val="F2F2F2" w:themeColor="background1" w:themeShade="F2"/>
      </w:rPr>
      <w:fldChar w:fldCharType="separate"/>
    </w:r>
    <w:r w:rsidRPr="0084247E">
      <w:rPr>
        <w:color w:val="F2F2F2" w:themeColor="background1" w:themeShade="F2"/>
        <w:lang w:val="fr-FR"/>
      </w:rPr>
      <w:t>P:\ESP\SG\CONSEIL\C23\000\034S.docx</w:t>
    </w:r>
    <w:r w:rsidRPr="0084247E">
      <w:rPr>
        <w:color w:val="F2F2F2" w:themeColor="background1" w:themeShade="F2"/>
      </w:rPr>
      <w:fldChar w:fldCharType="end"/>
    </w:r>
    <w:r w:rsidRPr="0084247E">
      <w:rPr>
        <w:color w:val="F2F2F2" w:themeColor="background1" w:themeShade="F2"/>
        <w:lang w:val="fr-FR"/>
      </w:rPr>
      <w:t xml:space="preserve"> (521068)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3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gridCol w:w="8047"/>
    </w:tblGrid>
    <w:tr w:rsidR="001D76CA" w:rsidRPr="00784011" w14:paraId="6120EDF3" w14:textId="77777777" w:rsidTr="001D76CA">
      <w:trPr>
        <w:jc w:val="center"/>
      </w:trPr>
      <w:tc>
        <w:tcPr>
          <w:tcW w:w="5278" w:type="dxa"/>
          <w:vAlign w:val="center"/>
        </w:tcPr>
        <w:p w14:paraId="59BCA2C6" w14:textId="77777777" w:rsidR="001D76CA" w:rsidRDefault="001D76CA" w:rsidP="001D76CA">
          <w:pPr>
            <w:pStyle w:val="Header"/>
            <w:jc w:val="left"/>
            <w:rPr>
              <w:noProof/>
            </w:rPr>
          </w:pPr>
          <w:r>
            <w:rPr>
              <w:noProof/>
            </w:rPr>
            <w:t>DPS 521068</w:t>
          </w:r>
        </w:p>
      </w:tc>
      <w:tc>
        <w:tcPr>
          <w:tcW w:w="8047" w:type="dxa"/>
        </w:tcPr>
        <w:p w14:paraId="34BD66E3" w14:textId="77777777" w:rsidR="001D76CA" w:rsidRPr="00E06FD5" w:rsidRDefault="001D76CA" w:rsidP="001D76C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34</w:t>
          </w:r>
          <w:r w:rsidRPr="00623AE3">
            <w:rPr>
              <w:bCs/>
            </w:rPr>
            <w:t>-</w:t>
          </w:r>
          <w:r>
            <w:rPr>
              <w:bCs/>
            </w:rPr>
            <w:t>S</w:t>
          </w:r>
          <w:r>
            <w:rPr>
              <w:bCs/>
            </w:rPr>
            <w:tab/>
          </w:r>
          <w:r>
            <w:fldChar w:fldCharType="begin"/>
          </w:r>
          <w:r>
            <w:instrText>PAGE</w:instrText>
          </w:r>
          <w:r>
            <w:fldChar w:fldCharType="separate"/>
          </w:r>
          <w:r>
            <w:t>7</w:t>
          </w:r>
          <w:r>
            <w:rPr>
              <w:noProof/>
            </w:rPr>
            <w:fldChar w:fldCharType="end"/>
          </w:r>
        </w:p>
      </w:tc>
    </w:tr>
  </w:tbl>
  <w:p w14:paraId="7E4C963D" w14:textId="3562C5B6" w:rsidR="001D76CA" w:rsidRPr="001D76CA" w:rsidRDefault="001D76CA" w:rsidP="001D76CA">
    <w:pPr>
      <w:pStyle w:val="Footer"/>
      <w:spacing w:before="120"/>
      <w:rPr>
        <w:lang w:val="fr-FR"/>
      </w:rPr>
    </w:pPr>
    <w:r w:rsidRPr="0084247E">
      <w:rPr>
        <w:color w:val="F2F2F2" w:themeColor="background1" w:themeShade="F2"/>
      </w:rPr>
      <w:fldChar w:fldCharType="begin"/>
    </w:r>
    <w:r w:rsidRPr="0084247E">
      <w:rPr>
        <w:color w:val="F2F2F2" w:themeColor="background1" w:themeShade="F2"/>
        <w:lang w:val="fr-FR"/>
      </w:rPr>
      <w:instrText xml:space="preserve"> FILENAME \p  \* MERGEFORMAT </w:instrText>
    </w:r>
    <w:r w:rsidRPr="0084247E">
      <w:rPr>
        <w:color w:val="F2F2F2" w:themeColor="background1" w:themeShade="F2"/>
      </w:rPr>
      <w:fldChar w:fldCharType="separate"/>
    </w:r>
    <w:r w:rsidRPr="0084247E">
      <w:rPr>
        <w:color w:val="F2F2F2" w:themeColor="background1" w:themeShade="F2"/>
        <w:lang w:val="fr-FR"/>
      </w:rPr>
      <w:t>P:\ESP\SG\CONSEIL\C23\000\034S.docx</w:t>
    </w:r>
    <w:r w:rsidRPr="0084247E">
      <w:rPr>
        <w:color w:val="F2F2F2" w:themeColor="background1" w:themeShade="F2"/>
      </w:rPr>
      <w:fldChar w:fldCharType="end"/>
    </w:r>
    <w:r w:rsidRPr="0084247E">
      <w:rPr>
        <w:color w:val="F2F2F2" w:themeColor="background1" w:themeShade="F2"/>
        <w:lang w:val="fr-FR"/>
      </w:rPr>
      <w:t xml:space="preserve"> (521068)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AB69" w14:textId="77777777" w:rsidR="00C945E3" w:rsidRDefault="00C945E3">
      <w:r>
        <w:t>____________________</w:t>
      </w:r>
    </w:p>
  </w:footnote>
  <w:footnote w:type="continuationSeparator" w:id="0">
    <w:p w14:paraId="2C8C5681" w14:textId="77777777" w:rsidR="00C945E3" w:rsidRDefault="00C945E3">
      <w:r>
        <w:continuationSeparator/>
      </w:r>
    </w:p>
  </w:footnote>
  <w:footnote w:id="1">
    <w:p w14:paraId="08DF6D07" w14:textId="307D70E9" w:rsidR="001D76CA" w:rsidRPr="001D76CA" w:rsidRDefault="001D76CA" w:rsidP="001D76CA">
      <w:pPr>
        <w:pStyle w:val="FootnoteText"/>
      </w:pPr>
      <w:r>
        <w:rPr>
          <w:rStyle w:val="FootnoteReference"/>
        </w:rPr>
        <w:footnoteRef/>
      </w:r>
      <w:r>
        <w:tab/>
      </w:r>
      <w:r w:rsidRPr="001D76CA">
        <w:rPr>
          <w:i/>
          <w:iCs/>
          <w:lang w:val="es-ES"/>
        </w:rPr>
        <w:t xml:space="preserve">El Comité Directivo del FD-TIC está formado por el </w:t>
      </w:r>
      <w:proofErr w:type="gramStart"/>
      <w:r w:rsidRPr="001D76CA">
        <w:rPr>
          <w:i/>
          <w:iCs/>
          <w:lang w:val="es-ES"/>
        </w:rPr>
        <w:t>Secretario General</w:t>
      </w:r>
      <w:proofErr w:type="gramEnd"/>
      <w:r w:rsidRPr="001D76CA">
        <w:rPr>
          <w:i/>
          <w:iCs/>
          <w:lang w:val="es-ES"/>
        </w:rPr>
        <w:t xml:space="preserve"> de la UIT (que ejerce de Presidente), el Vicesecretario General de la UIT y el Director de la BDT</w:t>
      </w:r>
      <w:r w:rsidRPr="001D76CA">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5509C814" w14:textId="77777777" w:rsidTr="00E31DCE">
      <w:trPr>
        <w:trHeight w:val="1104"/>
        <w:jc w:val="center"/>
      </w:trPr>
      <w:tc>
        <w:tcPr>
          <w:tcW w:w="4390" w:type="dxa"/>
          <w:vAlign w:val="center"/>
        </w:tcPr>
        <w:p w14:paraId="5D7BF231" w14:textId="5958BCA1" w:rsidR="001559F5" w:rsidRPr="009621F8" w:rsidRDefault="001559F5" w:rsidP="001559F5">
          <w:pPr>
            <w:pStyle w:val="Header"/>
            <w:jc w:val="left"/>
            <w:rPr>
              <w:rFonts w:ascii="Arial" w:hAnsi="Arial" w:cs="Arial"/>
              <w:b/>
              <w:bCs/>
              <w:color w:val="009CD6"/>
              <w:sz w:val="36"/>
              <w:szCs w:val="36"/>
            </w:rPr>
          </w:pPr>
          <w:bookmarkStart w:id="10" w:name="_Hlk133422111"/>
          <w:r>
            <w:rPr>
              <w:noProof/>
            </w:rPr>
            <w:drawing>
              <wp:inline distT="0" distB="0" distL="0" distR="0" wp14:anchorId="6D31863A" wp14:editId="1FF75EFA">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770723CE" w14:textId="77777777" w:rsidR="001559F5" w:rsidRDefault="001559F5" w:rsidP="001559F5">
          <w:pPr>
            <w:pStyle w:val="Header"/>
            <w:jc w:val="right"/>
            <w:rPr>
              <w:rFonts w:ascii="Arial" w:hAnsi="Arial" w:cs="Arial"/>
              <w:b/>
              <w:bCs/>
              <w:color w:val="009CD6"/>
              <w:szCs w:val="18"/>
            </w:rPr>
          </w:pPr>
        </w:p>
        <w:p w14:paraId="67F59D28" w14:textId="77777777" w:rsidR="001559F5" w:rsidRDefault="001559F5" w:rsidP="001559F5">
          <w:pPr>
            <w:pStyle w:val="Header"/>
            <w:jc w:val="right"/>
            <w:rPr>
              <w:rFonts w:ascii="Arial" w:hAnsi="Arial" w:cs="Arial"/>
              <w:b/>
              <w:bCs/>
              <w:color w:val="009CD6"/>
              <w:szCs w:val="18"/>
            </w:rPr>
          </w:pPr>
        </w:p>
        <w:p w14:paraId="549AE32B"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21AD8C84" w14:textId="273E1C84" w:rsidR="00947658"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00352B1" wp14:editId="4A884124">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9FC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AD27" w14:textId="77777777" w:rsidR="00B815ED" w:rsidRDefault="00842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E4BD2"/>
    <w:multiLevelType w:val="hybridMultilevel"/>
    <w:tmpl w:val="C408D856"/>
    <w:lvl w:ilvl="0" w:tplc="1726911A">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87391"/>
    <w:multiLevelType w:val="hybridMultilevel"/>
    <w:tmpl w:val="95BCE81E"/>
    <w:lvl w:ilvl="0" w:tplc="04090001">
      <w:start w:val="1"/>
      <w:numFmt w:val="bullet"/>
      <w:lvlText w:val=""/>
      <w:lvlJc w:val="left"/>
      <w:pPr>
        <w:ind w:left="366" w:hanging="360"/>
      </w:pPr>
      <w:rPr>
        <w:rFonts w:ascii="Symbol" w:hAnsi="Symbol" w:hint="default"/>
      </w:rPr>
    </w:lvl>
    <w:lvl w:ilvl="1" w:tplc="04090003">
      <w:start w:val="1"/>
      <w:numFmt w:val="bullet"/>
      <w:lvlText w:val="o"/>
      <w:lvlJc w:val="left"/>
      <w:pPr>
        <w:ind w:left="1086" w:hanging="360"/>
      </w:pPr>
      <w:rPr>
        <w:rFonts w:ascii="Courier New" w:hAnsi="Courier New" w:cs="Courier New" w:hint="default"/>
      </w:rPr>
    </w:lvl>
    <w:lvl w:ilvl="2" w:tplc="04090005">
      <w:start w:val="1"/>
      <w:numFmt w:val="bullet"/>
      <w:lvlText w:val=""/>
      <w:lvlJc w:val="left"/>
      <w:pPr>
        <w:ind w:left="1806" w:hanging="360"/>
      </w:pPr>
      <w:rPr>
        <w:rFonts w:ascii="Wingdings" w:hAnsi="Wingdings" w:hint="default"/>
      </w:rPr>
    </w:lvl>
    <w:lvl w:ilvl="3" w:tplc="0409000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num w:numId="1" w16cid:durableId="1941061754">
    <w:abstractNumId w:val="1"/>
  </w:num>
  <w:num w:numId="2" w16cid:durableId="112442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E3"/>
    <w:rsid w:val="000007D1"/>
    <w:rsid w:val="00093EEB"/>
    <w:rsid w:val="000B0D00"/>
    <w:rsid w:val="000B7C15"/>
    <w:rsid w:val="000D1D0F"/>
    <w:rsid w:val="000F5290"/>
    <w:rsid w:val="0010165C"/>
    <w:rsid w:val="00146BFB"/>
    <w:rsid w:val="001559F5"/>
    <w:rsid w:val="001C450E"/>
    <w:rsid w:val="001D76CA"/>
    <w:rsid w:val="001F14A2"/>
    <w:rsid w:val="00207B28"/>
    <w:rsid w:val="002801AA"/>
    <w:rsid w:val="002C4676"/>
    <w:rsid w:val="002C70B0"/>
    <w:rsid w:val="002D0A1B"/>
    <w:rsid w:val="002F3CC4"/>
    <w:rsid w:val="003273A4"/>
    <w:rsid w:val="00354811"/>
    <w:rsid w:val="003F7316"/>
    <w:rsid w:val="00484041"/>
    <w:rsid w:val="00513630"/>
    <w:rsid w:val="00560125"/>
    <w:rsid w:val="00585553"/>
    <w:rsid w:val="005B34D9"/>
    <w:rsid w:val="005D0CCF"/>
    <w:rsid w:val="005F3BCB"/>
    <w:rsid w:val="005F410F"/>
    <w:rsid w:val="0060149A"/>
    <w:rsid w:val="00601924"/>
    <w:rsid w:val="006447EA"/>
    <w:rsid w:val="0064731F"/>
    <w:rsid w:val="00664572"/>
    <w:rsid w:val="00666FE2"/>
    <w:rsid w:val="006710F6"/>
    <w:rsid w:val="006A0C0A"/>
    <w:rsid w:val="006C1B56"/>
    <w:rsid w:val="006D4761"/>
    <w:rsid w:val="00726872"/>
    <w:rsid w:val="00760F1C"/>
    <w:rsid w:val="007657F0"/>
    <w:rsid w:val="0077252D"/>
    <w:rsid w:val="007955DA"/>
    <w:rsid w:val="007E5DD3"/>
    <w:rsid w:val="007F350B"/>
    <w:rsid w:val="00820BE4"/>
    <w:rsid w:val="0084247E"/>
    <w:rsid w:val="008437F1"/>
    <w:rsid w:val="008451E8"/>
    <w:rsid w:val="00913B9C"/>
    <w:rsid w:val="00927F93"/>
    <w:rsid w:val="00947658"/>
    <w:rsid w:val="00956E77"/>
    <w:rsid w:val="009F4811"/>
    <w:rsid w:val="009F6699"/>
    <w:rsid w:val="00AA390C"/>
    <w:rsid w:val="00B0200A"/>
    <w:rsid w:val="00B574DB"/>
    <w:rsid w:val="00B826C2"/>
    <w:rsid w:val="00B8298E"/>
    <w:rsid w:val="00BD0723"/>
    <w:rsid w:val="00BD1CDA"/>
    <w:rsid w:val="00BD2518"/>
    <w:rsid w:val="00BF1D1C"/>
    <w:rsid w:val="00C20C59"/>
    <w:rsid w:val="00C2727F"/>
    <w:rsid w:val="00C40CD6"/>
    <w:rsid w:val="00C538FC"/>
    <w:rsid w:val="00C55B1F"/>
    <w:rsid w:val="00C945E3"/>
    <w:rsid w:val="00CF1A67"/>
    <w:rsid w:val="00D00A07"/>
    <w:rsid w:val="00D2750E"/>
    <w:rsid w:val="00D50A36"/>
    <w:rsid w:val="00D62446"/>
    <w:rsid w:val="00DA4EA2"/>
    <w:rsid w:val="00DC3D3E"/>
    <w:rsid w:val="00DE23B4"/>
    <w:rsid w:val="00DE2C90"/>
    <w:rsid w:val="00DE3B24"/>
    <w:rsid w:val="00E06947"/>
    <w:rsid w:val="00E34072"/>
    <w:rsid w:val="00E3592D"/>
    <w:rsid w:val="00E92DE8"/>
    <w:rsid w:val="00EA1CED"/>
    <w:rsid w:val="00EB1212"/>
    <w:rsid w:val="00ED65AB"/>
    <w:rsid w:val="00F12850"/>
    <w:rsid w:val="00F244C6"/>
    <w:rsid w:val="00F24B71"/>
    <w:rsid w:val="00F33BF4"/>
    <w:rsid w:val="00F7105E"/>
    <w:rsid w:val="00F75F57"/>
    <w:rsid w:val="00F82FEE"/>
    <w:rsid w:val="00FD57D3"/>
    <w:rsid w:val="00FE57F6"/>
    <w:rsid w:val="00FF11BD"/>
    <w:rsid w:val="00FF4B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CF350"/>
  <w15:docId w15:val="{ADBA0775-9B57-4530-A758-C1DE9663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45E3"/>
    <w:rPr>
      <w:color w:val="605E5C"/>
      <w:shd w:val="clear" w:color="auto" w:fill="E1DFDD"/>
    </w:rPr>
  </w:style>
  <w:style w:type="table" w:styleId="TableGridLight">
    <w:name w:val="Grid Table Light"/>
    <w:basedOn w:val="TableNormal"/>
    <w:uiPriority w:val="40"/>
    <w:rsid w:val="00207B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206/es" TargetMode="External"/><Relationship Id="rId13" Type="http://schemas.openxmlformats.org/officeDocument/2006/relationships/hyperlink" Target="http://www.itu.int/en/ITU-D/Projects" TargetMode="External"/><Relationship Id="rId18" Type="http://schemas.openxmlformats.org/officeDocument/2006/relationships/image" Target="media/image5.png"/><Relationship Id="rId26" Type="http://schemas.openxmlformats.org/officeDocument/2006/relationships/hyperlink" Target="https://www.itu.int/en/ITU-D/Projects/Pages/Portfolio.aspx?Status=Ongoing&amp;Theme=&amp;Region=&amp;Country=&amp;YearSigned=&amp;Keyword=&amp;ICTDF=1" TargetMode="External"/><Relationship Id="rId3" Type="http://schemas.openxmlformats.org/officeDocument/2006/relationships/styles" Target="styles.xml"/><Relationship Id="rId21" Type="http://schemas.openxmlformats.org/officeDocument/2006/relationships/hyperlink" Target="https://www.itu.int/en/council/Documents/basic-texts/RES-011-S.pdf" TargetMode="External"/><Relationship Id="rId7" Type="http://schemas.openxmlformats.org/officeDocument/2006/relationships/endnotes" Target="endnotes.xml"/><Relationship Id="rId12" Type="http://schemas.openxmlformats.org/officeDocument/2006/relationships/hyperlink" Target="http://www.itu.int/en/ITU-D/Partners/Pages/ICT-DF/default.aspx" TargetMode="Externa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itu.int/en/ITU-D/Projects/ICT-DF.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34/es"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hyperlink" Target="https://www.itu.int/md/S11-CL-C-0106/es" TargetMode="External"/><Relationship Id="rId19" Type="http://schemas.openxmlformats.org/officeDocument/2006/relationships/hyperlink" Target="https://www.itu.int/md/S22-PP-C-0206/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council/index97/1997/131/131.html" TargetMode="External"/><Relationship Id="rId14" Type="http://schemas.openxmlformats.org/officeDocument/2006/relationships/image" Target="media/image1.png"/><Relationship Id="rId22" Type="http://schemas.openxmlformats.org/officeDocument/2006/relationships/hyperlink" Target="https://www.itu.int/md/S22-PP-C-0206/es" TargetMode="External"/><Relationship Id="rId27" Type="http://schemas.openxmlformats.org/officeDocument/2006/relationships/hyperlink" Target="http://www.itu.int/en/ITU-D/Projects"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DEB88-98CB-47A2-A1A2-931E88C5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1</TotalTime>
  <Pages>10</Pages>
  <Words>2135</Words>
  <Characters>12241</Characters>
  <Application>Microsoft Office Word</Application>
  <DocSecurity>4</DocSecurity>
  <Lines>102</Lines>
  <Paragraphs>28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14348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para el Desarrollo de las Tecnologías de la Información y la Comunicación (FD-TIC)</dc:title>
  <dc:subject>Consejo 2023</dc:subject>
  <dc:creator>Spanish83</dc:creator>
  <cp:keywords>C2023, C23, Council-23</cp:keywords>
  <dc:description/>
  <cp:lastModifiedBy>Xue, Kun</cp:lastModifiedBy>
  <cp:revision>2</cp:revision>
  <cp:lastPrinted>2006-03-24T09:51:00Z</cp:lastPrinted>
  <dcterms:created xsi:type="dcterms:W3CDTF">2023-05-30T07:24:00Z</dcterms:created>
  <dcterms:modified xsi:type="dcterms:W3CDTF">2023-05-30T07:24:00Z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