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D0986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0929B259" w:rsidR="00796BD3" w:rsidRPr="00AD0986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D0986">
              <w:rPr>
                <w:b/>
                <w:lang w:val="ru-RU" w:bidi="ru-RU"/>
              </w:rPr>
              <w:t>Пункт повестки дня</w:t>
            </w:r>
            <w:r w:rsidRPr="00AD0986">
              <w:rPr>
                <w:lang w:val="ru-RU" w:bidi="ru-RU"/>
              </w:rPr>
              <w:t>:</w:t>
            </w:r>
            <w:r w:rsidRPr="00AD0986">
              <w:rPr>
                <w:b/>
                <w:lang w:val="ru-RU" w:bidi="ru-RU"/>
              </w:rPr>
              <w:t xml:space="preserve"> PL 2</w:t>
            </w:r>
          </w:p>
        </w:tc>
        <w:tc>
          <w:tcPr>
            <w:tcW w:w="5245" w:type="dxa"/>
          </w:tcPr>
          <w:p w14:paraId="7E14BEB2" w14:textId="654A4563" w:rsidR="00796BD3" w:rsidRPr="00AD0986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D0986">
              <w:rPr>
                <w:b/>
                <w:lang w:val="ru-RU" w:bidi="ru-RU"/>
              </w:rPr>
              <w:t>Документ C23/33-R</w:t>
            </w:r>
          </w:p>
        </w:tc>
      </w:tr>
      <w:tr w:rsidR="00796BD3" w:rsidRPr="00AD0986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AD098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3E90E319" w:rsidR="00796BD3" w:rsidRPr="00AD0986" w:rsidRDefault="007E13DC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D0986">
              <w:rPr>
                <w:b/>
                <w:lang w:val="ru-RU" w:bidi="ru-RU"/>
              </w:rPr>
              <w:t>8 июня 2023 года</w:t>
            </w:r>
          </w:p>
        </w:tc>
      </w:tr>
      <w:tr w:rsidR="00796BD3" w:rsidRPr="00AD0986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AD098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AD0986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D0986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AD0986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AD098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AD0986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D0986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AD0986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D0986">
              <w:rPr>
                <w:sz w:val="32"/>
                <w:lang w:val="ru-RU" w:bidi="ru-RU"/>
              </w:rPr>
              <w:t>Отчет Генерального секретаря</w:t>
            </w:r>
          </w:p>
        </w:tc>
      </w:tr>
      <w:tr w:rsidR="00796BD3" w:rsidRPr="00AD0986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0F9EA376" w:rsidR="00796BD3" w:rsidRPr="00AD0986" w:rsidRDefault="007E13DC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D0986">
              <w:rPr>
                <w:sz w:val="32"/>
                <w:lang w:val="ru-RU" w:bidi="ru-RU"/>
              </w:rPr>
              <w:t>ДЕЯТЕЛЬНОСТЬ МСЭ В ОБЛАСТИ ИНТЕРНЕТА: РЕЗОЛЮЦИИ</w:t>
            </w:r>
            <w:r w:rsidR="00AD0986">
              <w:rPr>
                <w:sz w:val="32"/>
                <w:lang w:val="ru-RU" w:bidi="ru-RU"/>
              </w:rPr>
              <w:t> </w:t>
            </w:r>
            <w:r w:rsidRPr="00AD0986">
              <w:rPr>
                <w:sz w:val="32"/>
                <w:lang w:val="ru-RU" w:bidi="ru-RU"/>
              </w:rPr>
              <w:t>101, 102, 133, 180 И 206</w:t>
            </w:r>
          </w:p>
        </w:tc>
      </w:tr>
      <w:tr w:rsidR="00796BD3" w:rsidRPr="00897A26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AE64F5F" w:rsidR="00796BD3" w:rsidRPr="00AD0986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D0986">
              <w:rPr>
                <w:b/>
                <w:sz w:val="24"/>
                <w:lang w:val="ru-RU" w:bidi="ru-RU"/>
              </w:rPr>
              <w:t>Назначение</w:t>
            </w:r>
          </w:p>
          <w:p w14:paraId="3D231249" w14:textId="4936F183" w:rsidR="00796BD3" w:rsidRPr="00AD0986" w:rsidRDefault="007E13DC" w:rsidP="0099131E">
            <w:pPr>
              <w:rPr>
                <w:lang w:val="ru-RU"/>
              </w:rPr>
            </w:pPr>
            <w:r w:rsidRPr="00AD0986">
              <w:rPr>
                <w:lang w:val="ru-RU" w:bidi="ru-RU"/>
              </w:rPr>
              <w:t>В настоящем отчете представлено краткое описание деятельности МСЭ, связанной с Резолюцией 101 (</w:t>
            </w:r>
            <w:proofErr w:type="spellStart"/>
            <w:r w:rsidRPr="00AD0986">
              <w:rPr>
                <w:lang w:val="ru-RU" w:bidi="ru-RU"/>
              </w:rPr>
              <w:t>Пересм</w:t>
            </w:r>
            <w:proofErr w:type="spellEnd"/>
            <w:r w:rsidRPr="00AD0986">
              <w:rPr>
                <w:lang w:val="ru-RU" w:bidi="ru-RU"/>
              </w:rPr>
              <w:t>. Бухарест, 2022 г.) "</w:t>
            </w:r>
            <w:r w:rsidRPr="00AD0986">
              <w:rPr>
                <w:i/>
                <w:lang w:val="ru-RU" w:bidi="ru-RU"/>
              </w:rPr>
              <w:t>Сети, базирующиеся на протоколе Интернет</w:t>
            </w:r>
            <w:r w:rsidRPr="00AD0986">
              <w:rPr>
                <w:lang w:val="ru-RU" w:bidi="ru-RU"/>
              </w:rPr>
              <w:t>"; Резолюцией 102 (Пересм. Бухарест, 2022 г.) "</w:t>
            </w:r>
            <w:r w:rsidRPr="00AD0986">
              <w:rPr>
                <w:i/>
                <w:lang w:val="ru-RU" w:bidi="ru-RU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r w:rsidRPr="00AD0986">
              <w:rPr>
                <w:lang w:val="ru-RU" w:bidi="ru-RU"/>
              </w:rPr>
              <w:t>"; Резолюцией 133 (Пересм. Бухарест, 2022 г.) "</w:t>
            </w:r>
            <w:r w:rsidRPr="00AD0986">
              <w:rPr>
                <w:i/>
                <w:lang w:val="ru-RU" w:bidi="ru-RU"/>
              </w:rPr>
              <w:t>Роль администраций Государств-Членов в управлении интернационализированными (многоязычными) наименованиями доменов</w:t>
            </w:r>
            <w:r w:rsidRPr="00AD0986">
              <w:rPr>
                <w:lang w:val="ru-RU" w:bidi="ru-RU"/>
              </w:rPr>
              <w:t>"; Резолюцией 180 (Пересм. Бухарест, 2022 г.) "</w:t>
            </w:r>
            <w:r w:rsidRPr="00AD0986">
              <w:rPr>
                <w:i/>
                <w:lang w:val="ru-RU" w:bidi="ru-RU"/>
              </w:rPr>
              <w:t>Содействие внедрению протокола Интернет версии 6</w:t>
            </w:r>
            <w:r w:rsidRPr="00AD0986">
              <w:rPr>
                <w:lang w:val="ru-RU" w:bidi="ru-RU"/>
              </w:rPr>
              <w:t>" и Резолюцией 206 (Дубай, 2018 г.) "ОТТ</w:t>
            </w:r>
            <w:r w:rsidRPr="00AD0986">
              <w:rPr>
                <w:i/>
                <w:lang w:val="ru-RU" w:bidi="ru-RU"/>
              </w:rPr>
              <w:t>"</w:t>
            </w:r>
            <w:r w:rsidRPr="00AD0986">
              <w:rPr>
                <w:lang w:val="ru-RU" w:bidi="ru-RU"/>
              </w:rPr>
              <w:t xml:space="preserve"> Полномочной конференции (ПК).</w:t>
            </w:r>
          </w:p>
          <w:p w14:paraId="05813D22" w14:textId="77777777" w:rsidR="00796BD3" w:rsidRPr="00AD0986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D0986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1592145C" w14:textId="774C8E5C" w:rsidR="00DC600B" w:rsidRPr="00AD0986" w:rsidRDefault="007E13DC" w:rsidP="00DC600B">
            <w:pPr>
              <w:rPr>
                <w:lang w:val="ru-RU"/>
              </w:rPr>
            </w:pPr>
            <w:r w:rsidRPr="00AD0986">
              <w:rPr>
                <w:lang w:val="ru-RU" w:bidi="ru-RU"/>
              </w:rPr>
              <w:t xml:space="preserve">Совету предлагается </w:t>
            </w:r>
            <w:r w:rsidRPr="00AD0986">
              <w:rPr>
                <w:b/>
                <w:lang w:val="ru-RU" w:bidi="ru-RU"/>
              </w:rPr>
              <w:t>принять к сведению</w:t>
            </w:r>
            <w:r w:rsidRPr="00AD0986">
              <w:rPr>
                <w:lang w:val="ru-RU" w:bidi="ru-RU"/>
              </w:rPr>
              <w:t xml:space="preserve"> настоящий отчет. Кроме того, Совету предлагается </w:t>
            </w:r>
            <w:r w:rsidRPr="00AD0986">
              <w:rPr>
                <w:b/>
                <w:lang w:val="ru-RU" w:bidi="ru-RU"/>
              </w:rPr>
              <w:t>одобрить</w:t>
            </w:r>
            <w:r w:rsidRPr="00AD0986">
              <w:rPr>
                <w:lang w:val="ru-RU" w:bidi="ru-RU"/>
              </w:rPr>
              <w:t xml:space="preserve"> передачу эт</w:t>
            </w:r>
            <w:r w:rsidR="00023EEA" w:rsidRPr="00AD0986">
              <w:rPr>
                <w:lang w:val="ru-RU" w:bidi="ru-RU"/>
              </w:rPr>
              <w:t>ого</w:t>
            </w:r>
            <w:r w:rsidRPr="00AD0986">
              <w:rPr>
                <w:lang w:val="ru-RU" w:bidi="ru-RU"/>
              </w:rPr>
              <w:t xml:space="preserve"> отчет</w:t>
            </w:r>
            <w:r w:rsidR="00023EEA" w:rsidRPr="00AD0986">
              <w:rPr>
                <w:lang w:val="ru-RU" w:bidi="ru-RU"/>
              </w:rPr>
              <w:t>а</w:t>
            </w:r>
            <w:r w:rsidRPr="00AD0986">
              <w:rPr>
                <w:lang w:val="ru-RU" w:bidi="ru-RU"/>
              </w:rPr>
              <w:t>, а также подборки мнений Государств</w:t>
            </w:r>
            <w:r w:rsidR="00AD0986">
              <w:rPr>
                <w:lang w:val="ru-RU" w:bidi="ru-RU"/>
              </w:rPr>
              <w:t> </w:t>
            </w:r>
            <w:r w:rsidR="00023EEA" w:rsidRPr="00AD0986">
              <w:rPr>
                <w:lang w:val="ru-RU" w:bidi="ru-RU"/>
              </w:rPr>
              <w:t>–</w:t>
            </w:r>
            <w:r w:rsidRPr="00AD0986">
              <w:rPr>
                <w:lang w:val="ru-RU" w:bidi="ru-RU"/>
              </w:rPr>
              <w:t xml:space="preserve"> Членов Совета и соответствующих кратких отчетов, снабженных сопроводительным письмом, Генеральному секретарю Организации Объединенных Наций.</w:t>
            </w:r>
          </w:p>
          <w:p w14:paraId="57077B00" w14:textId="77777777" w:rsidR="00796BD3" w:rsidRPr="00AD0986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D0986">
              <w:rPr>
                <w:b/>
                <w:sz w:val="24"/>
                <w:lang w:val="ru-RU" w:bidi="ru-RU"/>
              </w:rPr>
              <w:t>Соответствующая увязка со Стратегическим планом</w:t>
            </w:r>
          </w:p>
          <w:p w14:paraId="5506A28A" w14:textId="2F3F0584" w:rsidR="00796BD3" w:rsidRPr="00AD0986" w:rsidRDefault="007E13DC" w:rsidP="0099131E">
            <w:pPr>
              <w:rPr>
                <w:lang w:val="ru-RU"/>
              </w:rPr>
            </w:pPr>
            <w:r w:rsidRPr="00AD0986">
              <w:rPr>
                <w:lang w:val="ru-RU" w:bidi="ru-RU"/>
              </w:rPr>
              <w:t>Разработка международных стандартов; платформа для созыва мероприятий; развитие потенциала; предоставление технической помощи.</w:t>
            </w:r>
          </w:p>
          <w:p w14:paraId="7A96656A" w14:textId="2CF476F0" w:rsidR="00796BD3" w:rsidRPr="00AD0986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D0986">
              <w:rPr>
                <w:b/>
                <w:sz w:val="24"/>
                <w:lang w:val="ru-RU" w:bidi="ru-RU"/>
              </w:rPr>
              <w:t>Финансовые последствия</w:t>
            </w:r>
          </w:p>
          <w:p w14:paraId="3F441306" w14:textId="2FB2CAC8" w:rsidR="00DC600B" w:rsidRPr="00AD0986" w:rsidRDefault="00DC600B" w:rsidP="005039F9">
            <w:pPr>
              <w:rPr>
                <w:lang w:val="ru-RU"/>
              </w:rPr>
            </w:pPr>
            <w:r w:rsidRPr="00AD0986">
              <w:rPr>
                <w:lang w:val="ru-RU" w:bidi="ru-RU"/>
              </w:rPr>
              <w:t>Отсутствуют.</w:t>
            </w:r>
          </w:p>
          <w:p w14:paraId="76BD992D" w14:textId="06DF4AC5" w:rsidR="00796BD3" w:rsidRPr="00AD0986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AD0986">
              <w:rPr>
                <w:lang w:val="ru-RU" w:bidi="ru-RU"/>
              </w:rPr>
              <w:t>__________________</w:t>
            </w:r>
          </w:p>
          <w:p w14:paraId="62AA5559" w14:textId="77777777" w:rsidR="00796BD3" w:rsidRPr="00AD0986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AD0986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3B9916DE" w14:textId="3B2990DE" w:rsidR="00796BD3" w:rsidRPr="00AD0986" w:rsidRDefault="00F41212" w:rsidP="00AD0986">
            <w:pPr>
              <w:spacing w:after="120"/>
              <w:rPr>
                <w:i/>
                <w:iCs/>
                <w:lang w:val="ru-RU"/>
              </w:rPr>
            </w:pPr>
            <w:bookmarkStart w:id="7" w:name="lt_pId022"/>
            <w:r w:rsidRPr="00AD0986">
              <w:rPr>
                <w:i/>
                <w:lang w:val="ru-RU" w:bidi="ru-RU"/>
              </w:rPr>
              <w:t xml:space="preserve">Резолюции </w:t>
            </w:r>
            <w:hyperlink r:id="rId7" w:history="1">
              <w:r w:rsidR="007E13DC" w:rsidRPr="00AD0986">
                <w:rPr>
                  <w:rStyle w:val="Hyperlink"/>
                  <w:i/>
                  <w:lang w:val="ru-RU" w:bidi="ru-RU"/>
                </w:rPr>
                <w:t>101</w:t>
              </w:r>
            </w:hyperlink>
            <w:r w:rsidRPr="00AD0986">
              <w:rPr>
                <w:i/>
                <w:lang w:val="ru-RU" w:bidi="ru-RU"/>
              </w:rPr>
              <w:t xml:space="preserve">, </w:t>
            </w:r>
            <w:r w:rsidR="00797EF0">
              <w:fldChar w:fldCharType="begin"/>
            </w:r>
            <w:r w:rsidR="00897A26">
              <w:instrText>HYPERLINK</w:instrText>
            </w:r>
            <w:r w:rsidR="00897A26" w:rsidRPr="00F04B23">
              <w:rPr>
                <w:lang w:val="ru-RU"/>
              </w:rPr>
              <w:instrText xml:space="preserve"> "</w:instrText>
            </w:r>
            <w:r w:rsidR="00897A26">
              <w:instrText>https</w:instrText>
            </w:r>
            <w:r w:rsidR="00897A26" w:rsidRPr="00F04B23">
              <w:rPr>
                <w:lang w:val="ru-RU"/>
              </w:rPr>
              <w:instrText>://</w:instrText>
            </w:r>
            <w:r w:rsidR="00897A26">
              <w:instrText>www</w:instrText>
            </w:r>
            <w:r w:rsidR="00897A26" w:rsidRPr="00F04B23">
              <w:rPr>
                <w:lang w:val="ru-RU"/>
              </w:rPr>
              <w:instrText>.</w:instrText>
            </w:r>
            <w:r w:rsidR="00897A26">
              <w:instrText>itu</w:instrText>
            </w:r>
            <w:r w:rsidR="00897A26" w:rsidRPr="00F04B23">
              <w:rPr>
                <w:lang w:val="ru-RU"/>
              </w:rPr>
              <w:instrText>.</w:instrText>
            </w:r>
            <w:r w:rsidR="00897A26">
              <w:instrText>int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en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council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Documents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basic</w:instrText>
            </w:r>
            <w:r w:rsidR="00897A26" w:rsidRPr="00F04B23">
              <w:rPr>
                <w:lang w:val="ru-RU"/>
              </w:rPr>
              <w:instrText>-</w:instrText>
            </w:r>
            <w:r w:rsidR="00897A26">
              <w:instrText>texts</w:instrText>
            </w:r>
            <w:r w:rsidR="00897A26" w:rsidRPr="00F04B23">
              <w:rPr>
                <w:lang w:val="ru-RU"/>
              </w:rPr>
              <w:instrText>-2023/</w:instrText>
            </w:r>
            <w:r w:rsidR="00897A26">
              <w:instrText>RES</w:instrText>
            </w:r>
            <w:r w:rsidR="00897A26" w:rsidRPr="00F04B23">
              <w:rPr>
                <w:lang w:val="ru-RU"/>
              </w:rPr>
              <w:instrText>-102-</w:instrText>
            </w:r>
            <w:r w:rsidR="00897A26">
              <w:instrText>R</w:instrText>
            </w:r>
            <w:r w:rsidR="00897A26" w:rsidRPr="00F04B23">
              <w:rPr>
                <w:lang w:val="ru-RU"/>
              </w:rPr>
              <w:instrText>.</w:instrText>
            </w:r>
            <w:r w:rsidR="00897A26">
              <w:instrText>pdf</w:instrText>
            </w:r>
            <w:r w:rsidR="00897A26" w:rsidRPr="00F04B23">
              <w:rPr>
                <w:lang w:val="ru-RU"/>
              </w:rPr>
              <w:instrText>"</w:instrText>
            </w:r>
            <w:r w:rsidR="00797EF0">
              <w:fldChar w:fldCharType="separate"/>
            </w:r>
            <w:r w:rsidR="007E13DC" w:rsidRPr="00AD0986">
              <w:rPr>
                <w:rStyle w:val="Hyperlink"/>
                <w:i/>
                <w:lang w:val="ru-RU" w:bidi="ru-RU"/>
              </w:rPr>
              <w:t>102</w:t>
            </w:r>
            <w:r w:rsidR="00797EF0">
              <w:rPr>
                <w:rStyle w:val="Hyperlink"/>
                <w:i/>
                <w:lang w:val="ru-RU" w:bidi="ru-RU"/>
              </w:rPr>
              <w:fldChar w:fldCharType="end"/>
            </w:r>
            <w:r w:rsidRPr="00AD0986">
              <w:rPr>
                <w:i/>
                <w:lang w:val="ru-RU" w:bidi="ru-RU"/>
              </w:rPr>
              <w:t xml:space="preserve">, </w:t>
            </w:r>
            <w:r w:rsidR="00797EF0">
              <w:fldChar w:fldCharType="begin"/>
            </w:r>
            <w:r w:rsidR="00897A26">
              <w:instrText>HYPERLINK</w:instrText>
            </w:r>
            <w:r w:rsidR="00897A26" w:rsidRPr="00F04B23">
              <w:rPr>
                <w:lang w:val="ru-RU"/>
              </w:rPr>
              <w:instrText xml:space="preserve"> "</w:instrText>
            </w:r>
            <w:r w:rsidR="00897A26">
              <w:instrText>https</w:instrText>
            </w:r>
            <w:r w:rsidR="00897A26" w:rsidRPr="00F04B23">
              <w:rPr>
                <w:lang w:val="ru-RU"/>
              </w:rPr>
              <w:instrText>://</w:instrText>
            </w:r>
            <w:r w:rsidR="00897A26">
              <w:instrText>www</w:instrText>
            </w:r>
            <w:r w:rsidR="00897A26" w:rsidRPr="00F04B23">
              <w:rPr>
                <w:lang w:val="ru-RU"/>
              </w:rPr>
              <w:instrText>.</w:instrText>
            </w:r>
            <w:r w:rsidR="00897A26">
              <w:instrText>itu</w:instrText>
            </w:r>
            <w:r w:rsidR="00897A26" w:rsidRPr="00F04B23">
              <w:rPr>
                <w:lang w:val="ru-RU"/>
              </w:rPr>
              <w:instrText>.</w:instrText>
            </w:r>
            <w:r w:rsidR="00897A26">
              <w:instrText>int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en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council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Documents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basic</w:instrText>
            </w:r>
            <w:r w:rsidR="00897A26" w:rsidRPr="00F04B23">
              <w:rPr>
                <w:lang w:val="ru-RU"/>
              </w:rPr>
              <w:instrText>-</w:instrText>
            </w:r>
            <w:r w:rsidR="00897A26">
              <w:instrText>texts</w:instrText>
            </w:r>
            <w:r w:rsidR="00897A26" w:rsidRPr="00F04B23">
              <w:rPr>
                <w:lang w:val="ru-RU"/>
              </w:rPr>
              <w:instrText>-2023/</w:instrText>
            </w:r>
            <w:r w:rsidR="00897A26">
              <w:instrText>RES</w:instrText>
            </w:r>
            <w:r w:rsidR="00897A26" w:rsidRPr="00F04B23">
              <w:rPr>
                <w:lang w:val="ru-RU"/>
              </w:rPr>
              <w:instrText>-133-</w:instrText>
            </w:r>
            <w:r w:rsidR="00897A26">
              <w:instrText>R</w:instrText>
            </w:r>
            <w:r w:rsidR="00897A26" w:rsidRPr="00F04B23">
              <w:rPr>
                <w:lang w:val="ru-RU"/>
              </w:rPr>
              <w:instrText>.</w:instrText>
            </w:r>
            <w:r w:rsidR="00897A26">
              <w:instrText>pdf</w:instrText>
            </w:r>
            <w:r w:rsidR="00897A26" w:rsidRPr="00F04B23">
              <w:rPr>
                <w:lang w:val="ru-RU"/>
              </w:rPr>
              <w:instrText>"</w:instrText>
            </w:r>
            <w:r w:rsidR="00797EF0">
              <w:fldChar w:fldCharType="separate"/>
            </w:r>
            <w:r w:rsidR="007E13DC" w:rsidRPr="00AD0986">
              <w:rPr>
                <w:rStyle w:val="Hyperlink"/>
                <w:i/>
                <w:lang w:val="ru-RU" w:bidi="ru-RU"/>
              </w:rPr>
              <w:t>133</w:t>
            </w:r>
            <w:r w:rsidR="00797EF0">
              <w:rPr>
                <w:rStyle w:val="Hyperlink"/>
                <w:i/>
                <w:lang w:val="ru-RU" w:bidi="ru-RU"/>
              </w:rPr>
              <w:fldChar w:fldCharType="end"/>
            </w:r>
            <w:r w:rsidRPr="00AD0986">
              <w:rPr>
                <w:i/>
                <w:lang w:val="ru-RU" w:bidi="ru-RU"/>
              </w:rPr>
              <w:t xml:space="preserve">, </w:t>
            </w:r>
            <w:r w:rsidR="00797EF0">
              <w:fldChar w:fldCharType="begin"/>
            </w:r>
            <w:r w:rsidR="00897A26">
              <w:instrText>HYPERLINK</w:instrText>
            </w:r>
            <w:r w:rsidR="00897A26" w:rsidRPr="00F04B23">
              <w:rPr>
                <w:lang w:val="ru-RU"/>
              </w:rPr>
              <w:instrText xml:space="preserve"> "</w:instrText>
            </w:r>
            <w:r w:rsidR="00897A26">
              <w:instrText>https</w:instrText>
            </w:r>
            <w:r w:rsidR="00897A26" w:rsidRPr="00F04B23">
              <w:rPr>
                <w:lang w:val="ru-RU"/>
              </w:rPr>
              <w:instrText>://</w:instrText>
            </w:r>
            <w:r w:rsidR="00897A26">
              <w:instrText>www</w:instrText>
            </w:r>
            <w:r w:rsidR="00897A26" w:rsidRPr="00F04B23">
              <w:rPr>
                <w:lang w:val="ru-RU"/>
              </w:rPr>
              <w:instrText>.</w:instrText>
            </w:r>
            <w:r w:rsidR="00897A26">
              <w:instrText>itu</w:instrText>
            </w:r>
            <w:r w:rsidR="00897A26" w:rsidRPr="00F04B23">
              <w:rPr>
                <w:lang w:val="ru-RU"/>
              </w:rPr>
              <w:instrText>.</w:instrText>
            </w:r>
            <w:r w:rsidR="00897A26">
              <w:instrText>int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en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council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Documents</w:instrText>
            </w:r>
            <w:r w:rsidR="00897A26" w:rsidRPr="00F04B23">
              <w:rPr>
                <w:lang w:val="ru-RU"/>
              </w:rPr>
              <w:instrText>/</w:instrText>
            </w:r>
            <w:r w:rsidR="00897A26">
              <w:instrText>basic</w:instrText>
            </w:r>
            <w:r w:rsidR="00897A26" w:rsidRPr="00F04B23">
              <w:rPr>
                <w:lang w:val="ru-RU"/>
              </w:rPr>
              <w:instrText>-</w:instrText>
            </w:r>
            <w:r w:rsidR="00897A26">
              <w:instrText>texts</w:instrText>
            </w:r>
            <w:r w:rsidR="00897A26" w:rsidRPr="00F04B23">
              <w:rPr>
                <w:lang w:val="ru-RU"/>
              </w:rPr>
              <w:instrText>-2023/</w:instrText>
            </w:r>
            <w:r w:rsidR="00897A26">
              <w:instrText>RES</w:instrText>
            </w:r>
            <w:r w:rsidR="00897A26" w:rsidRPr="00F04B23">
              <w:rPr>
                <w:lang w:val="ru-RU"/>
              </w:rPr>
              <w:instrText>-180-</w:instrText>
            </w:r>
            <w:r w:rsidR="00897A26">
              <w:instrText>R</w:instrText>
            </w:r>
            <w:r w:rsidR="00897A26" w:rsidRPr="00F04B23">
              <w:rPr>
                <w:lang w:val="ru-RU"/>
              </w:rPr>
              <w:instrText>.</w:instrText>
            </w:r>
            <w:r w:rsidR="00897A26">
              <w:instrText>pdf</w:instrText>
            </w:r>
            <w:r w:rsidR="00897A26" w:rsidRPr="00F04B23">
              <w:rPr>
                <w:lang w:val="ru-RU"/>
              </w:rPr>
              <w:instrText>"</w:instrText>
            </w:r>
            <w:r w:rsidR="00797EF0">
              <w:fldChar w:fldCharType="separate"/>
            </w:r>
            <w:r w:rsidR="007E13DC" w:rsidRPr="00AD0986">
              <w:rPr>
                <w:rStyle w:val="Hyperlink"/>
                <w:i/>
                <w:lang w:val="ru-RU" w:bidi="ru-RU"/>
              </w:rPr>
              <w:t>180</w:t>
            </w:r>
            <w:r w:rsidR="00797EF0">
              <w:rPr>
                <w:rStyle w:val="Hyperlink"/>
                <w:i/>
                <w:lang w:val="ru-RU" w:bidi="ru-RU"/>
              </w:rPr>
              <w:fldChar w:fldCharType="end"/>
            </w:r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>. Бухарест, 2022 г.), Резолюция </w:t>
            </w:r>
            <w:r w:rsidR="00797EF0">
              <w:fldChar w:fldCharType="begin"/>
            </w:r>
            <w:r w:rsidR="00F04B23">
              <w:instrText>HYPERLINK</w:instrText>
            </w:r>
            <w:r w:rsidR="00F04B23" w:rsidRPr="00F04B23">
              <w:rPr>
                <w:lang w:val="ru-RU"/>
              </w:rPr>
              <w:instrText xml:space="preserve"> "</w:instrText>
            </w:r>
            <w:r w:rsidR="00F04B23">
              <w:instrText>https</w:instrText>
            </w:r>
            <w:r w:rsidR="00F04B23" w:rsidRPr="00F04B23">
              <w:rPr>
                <w:lang w:val="ru-RU"/>
              </w:rPr>
              <w:instrText>://</w:instrText>
            </w:r>
            <w:r w:rsidR="00F04B23">
              <w:instrText>www</w:instrText>
            </w:r>
            <w:r w:rsidR="00F04B23" w:rsidRPr="00F04B23">
              <w:rPr>
                <w:lang w:val="ru-RU"/>
              </w:rPr>
              <w:instrText>.</w:instrText>
            </w:r>
            <w:r w:rsidR="00F04B23">
              <w:instrText>itu</w:instrText>
            </w:r>
            <w:r w:rsidR="00F04B23" w:rsidRPr="00F04B23">
              <w:rPr>
                <w:lang w:val="ru-RU"/>
              </w:rPr>
              <w:instrText>.</w:instrText>
            </w:r>
            <w:r w:rsidR="00F04B23">
              <w:instrText>int</w:instrText>
            </w:r>
            <w:r w:rsidR="00F04B23" w:rsidRPr="00F04B23">
              <w:rPr>
                <w:lang w:val="ru-RU"/>
              </w:rPr>
              <w:instrText>/</w:instrText>
            </w:r>
            <w:r w:rsidR="00F04B23">
              <w:instrText>en</w:instrText>
            </w:r>
            <w:r w:rsidR="00F04B23" w:rsidRPr="00F04B23">
              <w:rPr>
                <w:lang w:val="ru-RU"/>
              </w:rPr>
              <w:instrText>/</w:instrText>
            </w:r>
            <w:r w:rsidR="00F04B23">
              <w:instrText>council</w:instrText>
            </w:r>
            <w:r w:rsidR="00F04B23" w:rsidRPr="00F04B23">
              <w:rPr>
                <w:lang w:val="ru-RU"/>
              </w:rPr>
              <w:instrText>/</w:instrText>
            </w:r>
            <w:r w:rsidR="00F04B23">
              <w:instrText>Documents</w:instrText>
            </w:r>
            <w:r w:rsidR="00F04B23" w:rsidRPr="00F04B23">
              <w:rPr>
                <w:lang w:val="ru-RU"/>
              </w:rPr>
              <w:instrText>/</w:instrText>
            </w:r>
            <w:r w:rsidR="00F04B23">
              <w:instrText>basic</w:instrText>
            </w:r>
            <w:r w:rsidR="00F04B23" w:rsidRPr="00F04B23">
              <w:rPr>
                <w:lang w:val="ru-RU"/>
              </w:rPr>
              <w:instrText>-</w:instrText>
            </w:r>
            <w:r w:rsidR="00F04B23">
              <w:instrText>texts</w:instrText>
            </w:r>
            <w:r w:rsidR="00F04B23" w:rsidRPr="00F04B23">
              <w:rPr>
                <w:lang w:val="ru-RU"/>
              </w:rPr>
              <w:instrText>-2023/</w:instrText>
            </w:r>
            <w:r w:rsidR="00F04B23">
              <w:instrText>RES</w:instrText>
            </w:r>
            <w:r w:rsidR="00F04B23" w:rsidRPr="00F04B23">
              <w:rPr>
                <w:lang w:val="ru-RU"/>
              </w:rPr>
              <w:instrText>-206-</w:instrText>
            </w:r>
            <w:r w:rsidR="00F04B23">
              <w:instrText>R</w:instrText>
            </w:r>
            <w:r w:rsidR="00F04B23" w:rsidRPr="00F04B23">
              <w:rPr>
                <w:lang w:val="ru-RU"/>
              </w:rPr>
              <w:instrText>.</w:instrText>
            </w:r>
            <w:r w:rsidR="00F04B23">
              <w:instrText>pdf</w:instrText>
            </w:r>
            <w:r w:rsidR="00F04B23" w:rsidRPr="00F04B23">
              <w:rPr>
                <w:lang w:val="ru-RU"/>
              </w:rPr>
              <w:instrText>"</w:instrText>
            </w:r>
            <w:r w:rsidR="00797EF0">
              <w:fldChar w:fldCharType="separate"/>
            </w:r>
            <w:r w:rsidR="007E13DC" w:rsidRPr="00AD0986">
              <w:rPr>
                <w:rStyle w:val="Hyperlink"/>
                <w:i/>
                <w:lang w:val="ru-RU" w:bidi="ru-RU"/>
              </w:rPr>
              <w:t>2</w:t>
            </w:r>
            <w:r w:rsidR="007E13DC" w:rsidRPr="00AD0986">
              <w:rPr>
                <w:rStyle w:val="Hyperlink"/>
                <w:i/>
                <w:lang w:val="ru-RU" w:bidi="ru-RU"/>
              </w:rPr>
              <w:t>06</w:t>
            </w:r>
            <w:r w:rsidR="00797EF0">
              <w:rPr>
                <w:rStyle w:val="Hyperlink"/>
                <w:i/>
                <w:lang w:val="ru-RU" w:bidi="ru-RU"/>
              </w:rPr>
              <w:fldChar w:fldCharType="end"/>
            </w:r>
            <w:r w:rsidRPr="00AD0986">
              <w:rPr>
                <w:i/>
                <w:lang w:val="ru-RU" w:bidi="ru-RU"/>
              </w:rPr>
              <w:t xml:space="preserve"> (Дубай, 2018 г.) Полномочной конференции; Резолюции </w:t>
            </w:r>
            <w:hyperlink r:id="rId8" w:history="1">
              <w:r w:rsidR="007E13DC" w:rsidRPr="00AD0986">
                <w:rPr>
                  <w:rStyle w:val="Hyperlink"/>
                  <w:i/>
                  <w:lang w:val="ru-RU" w:bidi="ru-RU"/>
                </w:rPr>
                <w:t>1305</w:t>
              </w:r>
            </w:hyperlink>
            <w:r w:rsidRPr="00AD0986">
              <w:rPr>
                <w:i/>
                <w:lang w:val="ru-RU" w:bidi="ru-RU"/>
              </w:rPr>
              <w:t xml:space="preserve"> (2009 г.), </w:t>
            </w:r>
            <w:hyperlink r:id="rId9" w:history="1">
              <w:r w:rsidR="007E13DC" w:rsidRPr="00AD0986">
                <w:rPr>
                  <w:rStyle w:val="Hyperlink"/>
                  <w:i/>
                  <w:lang w:val="ru-RU" w:bidi="ru-RU"/>
                </w:rPr>
                <w:t>1336</w:t>
              </w:r>
            </w:hyperlink>
            <w:r w:rsidRPr="00AD0986">
              <w:rPr>
                <w:i/>
                <w:lang w:val="ru-RU" w:bidi="ru-RU"/>
              </w:rPr>
              <w:t xml:space="preserve"> (Изм. 2015 г.), </w:t>
            </w:r>
            <w:hyperlink r:id="rId10" w:history="1">
              <w:r w:rsidR="007E13DC" w:rsidRPr="00AD0986">
                <w:rPr>
                  <w:rStyle w:val="Hyperlink"/>
                  <w:i/>
                  <w:lang w:val="ru-RU" w:bidi="ru-RU"/>
                </w:rPr>
                <w:t>1344</w:t>
              </w:r>
            </w:hyperlink>
            <w:r w:rsidRPr="00AD0986">
              <w:rPr>
                <w:i/>
                <w:lang w:val="ru-RU" w:bidi="ru-RU"/>
              </w:rPr>
              <w:t xml:space="preserve"> (Изм. 2015 г.) Совета; Резолюции </w:t>
            </w:r>
            <w:hyperlink r:id="rId11" w:history="1">
              <w:r w:rsidR="007E13DC" w:rsidRPr="00AD0986">
                <w:rPr>
                  <w:rStyle w:val="Hyperlink"/>
                  <w:i/>
                  <w:lang w:val="ru-RU" w:bidi="ru-RU"/>
                </w:rPr>
                <w:t>47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 xml:space="preserve">. Дубай, 2012 г), </w:t>
            </w:r>
            <w:hyperlink r:id="rId12" w:history="1">
              <w:r w:rsidR="007E13DC" w:rsidRPr="00AD0986">
                <w:rPr>
                  <w:rStyle w:val="Hyperlink"/>
                  <w:i/>
                  <w:lang w:val="ru-RU" w:bidi="ru-RU"/>
                </w:rPr>
                <w:t>48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 xml:space="preserve">. Женева, 2022 г.), </w:t>
            </w:r>
            <w:hyperlink r:id="rId13" w:history="1">
              <w:r w:rsidR="007E13DC" w:rsidRPr="00AD0986">
                <w:rPr>
                  <w:rStyle w:val="Hyperlink"/>
                  <w:i/>
                  <w:lang w:val="ru-RU" w:bidi="ru-RU"/>
                </w:rPr>
                <w:t>49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>. </w:t>
            </w:r>
            <w:proofErr w:type="spellStart"/>
            <w:r w:rsidRPr="00AD0986">
              <w:rPr>
                <w:i/>
                <w:lang w:val="ru-RU" w:bidi="ru-RU"/>
              </w:rPr>
              <w:t>Хаммамет</w:t>
            </w:r>
            <w:proofErr w:type="spellEnd"/>
            <w:r w:rsidRPr="00AD0986">
              <w:rPr>
                <w:i/>
                <w:lang w:val="ru-RU" w:bidi="ru-RU"/>
              </w:rPr>
              <w:t xml:space="preserve">, 2016 г.), </w:t>
            </w:r>
            <w:hyperlink r:id="rId14" w:history="1">
              <w:r w:rsidR="007E13DC" w:rsidRPr="00AD0986">
                <w:rPr>
                  <w:rStyle w:val="Hyperlink"/>
                  <w:i/>
                  <w:lang w:val="ru-RU" w:bidi="ru-RU"/>
                </w:rPr>
                <w:t>50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 xml:space="preserve">. Женева, 2022 г.), </w:t>
            </w:r>
            <w:hyperlink r:id="rId15" w:history="1">
              <w:r w:rsidR="007E13DC" w:rsidRPr="00AD0986">
                <w:rPr>
                  <w:rStyle w:val="Hyperlink"/>
                  <w:i/>
                  <w:lang w:val="ru-RU" w:bidi="ru-RU"/>
                </w:rPr>
                <w:t>52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>. </w:t>
            </w:r>
            <w:proofErr w:type="spellStart"/>
            <w:r w:rsidRPr="00AD0986">
              <w:rPr>
                <w:i/>
                <w:lang w:val="ru-RU" w:bidi="ru-RU"/>
              </w:rPr>
              <w:t>Хаммамет</w:t>
            </w:r>
            <w:proofErr w:type="spellEnd"/>
            <w:r w:rsidRPr="00AD0986">
              <w:rPr>
                <w:i/>
                <w:lang w:val="ru-RU" w:bidi="ru-RU"/>
              </w:rPr>
              <w:t xml:space="preserve">, 2016 г.), </w:t>
            </w:r>
            <w:hyperlink r:id="rId16" w:history="1">
              <w:r w:rsidR="007E13DC" w:rsidRPr="00AD0986">
                <w:rPr>
                  <w:rStyle w:val="Hyperlink"/>
                  <w:i/>
                  <w:lang w:val="ru-RU" w:bidi="ru-RU"/>
                </w:rPr>
                <w:t>58</w:t>
              </w:r>
            </w:hyperlink>
            <w:r w:rsidRPr="00AD0986">
              <w:rPr>
                <w:i/>
                <w:lang w:val="ru-RU" w:bidi="ru-RU"/>
              </w:rPr>
              <w:t xml:space="preserve">, </w:t>
            </w:r>
            <w:hyperlink r:id="rId17" w:history="1">
              <w:r w:rsidR="007E13DC" w:rsidRPr="00AD0986">
                <w:rPr>
                  <w:rStyle w:val="Hyperlink"/>
                  <w:i/>
                  <w:lang w:val="ru-RU" w:bidi="ru-RU"/>
                </w:rPr>
                <w:t>60</w:t>
              </w:r>
            </w:hyperlink>
            <w:r w:rsidRPr="00AD0986">
              <w:rPr>
                <w:i/>
                <w:lang w:val="ru-RU" w:bidi="ru-RU"/>
              </w:rPr>
              <w:t xml:space="preserve">, </w:t>
            </w:r>
            <w:hyperlink r:id="rId18" w:history="1">
              <w:r w:rsidR="007E13DC" w:rsidRPr="00AD0986">
                <w:rPr>
                  <w:rStyle w:val="Hyperlink"/>
                  <w:i/>
                  <w:lang w:val="ru-RU" w:bidi="ru-RU"/>
                </w:rPr>
                <w:t>64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 xml:space="preserve">. Женева, 2022 г.), </w:t>
            </w:r>
            <w:hyperlink r:id="rId19" w:history="1">
              <w:r w:rsidR="007E13DC" w:rsidRPr="00AD0986">
                <w:rPr>
                  <w:rStyle w:val="Hyperlink"/>
                  <w:i/>
                  <w:lang w:val="ru-RU" w:bidi="ru-RU"/>
                </w:rPr>
                <w:t>69</w:t>
              </w:r>
            </w:hyperlink>
            <w:r w:rsidRPr="00AD0986">
              <w:rPr>
                <w:i/>
                <w:lang w:val="ru-RU" w:bidi="ru-RU"/>
              </w:rPr>
              <w:t xml:space="preserve">, </w:t>
            </w:r>
            <w:hyperlink r:id="rId20" w:history="1">
              <w:r w:rsidR="007E13DC" w:rsidRPr="00AD0986">
                <w:rPr>
                  <w:rStyle w:val="Hyperlink"/>
                  <w:i/>
                  <w:lang w:val="ru-RU" w:bidi="ru-RU"/>
                </w:rPr>
                <w:t>75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 xml:space="preserve">. Женева, 2022 г.), </w:t>
            </w:r>
            <w:hyperlink r:id="rId21" w:history="1">
              <w:r w:rsidR="007E13DC" w:rsidRPr="00AD0986">
                <w:rPr>
                  <w:rStyle w:val="Hyperlink"/>
                  <w:i/>
                  <w:lang w:val="ru-RU" w:bidi="ru-RU"/>
                </w:rPr>
                <w:t>98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 xml:space="preserve">. Женева, 2022 г.) ВАСЭ; </w:t>
            </w:r>
            <w:hyperlink r:id="rId22" w:history="1">
              <w:r w:rsidRPr="00AD0986">
                <w:rPr>
                  <w:rStyle w:val="Hyperlink"/>
                  <w:i/>
                  <w:lang w:val="ru-RU" w:bidi="ru-RU"/>
                </w:rPr>
                <w:t>ВКРЭ-17/План действий Буэнос-Айреса, задача 3/намеченный результат деятельности 3.3</w:t>
              </w:r>
            </w:hyperlink>
            <w:r w:rsidRPr="00AD0986">
              <w:rPr>
                <w:i/>
                <w:lang w:val="ru-RU" w:bidi="ru-RU"/>
              </w:rPr>
              <w:t xml:space="preserve">, Резолюции </w:t>
            </w:r>
            <w:hyperlink r:id="rId23" w:history="1">
              <w:r w:rsidR="007E13DC" w:rsidRPr="00AD0986">
                <w:rPr>
                  <w:rStyle w:val="Hyperlink"/>
                  <w:i/>
                  <w:lang w:val="ru-RU" w:bidi="ru-RU"/>
                </w:rPr>
                <w:t>20</w:t>
              </w:r>
              <w:r w:rsidRPr="00AD0986">
                <w:rPr>
                  <w:i/>
                  <w:lang w:val="ru-RU" w:bidi="ru-RU"/>
                </w:rPr>
                <w:t xml:space="preserve">, </w:t>
              </w:r>
              <w:r w:rsidR="007E13DC" w:rsidRPr="00AD0986">
                <w:rPr>
                  <w:rStyle w:val="Hyperlink"/>
                  <w:i/>
                  <w:lang w:val="ru-RU" w:bidi="ru-RU"/>
                </w:rPr>
                <w:t>30</w:t>
              </w:r>
              <w:r w:rsidRPr="00AD0986">
                <w:rPr>
                  <w:i/>
                  <w:lang w:val="ru-RU" w:bidi="ru-RU"/>
                </w:rPr>
                <w:t xml:space="preserve">, </w:t>
              </w:r>
              <w:r w:rsidR="007E13DC" w:rsidRPr="00AD0986">
                <w:rPr>
                  <w:rStyle w:val="Hyperlink"/>
                  <w:i/>
                  <w:lang w:val="ru-RU" w:bidi="ru-RU"/>
                </w:rPr>
                <w:t>63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 xml:space="preserve">. Буэнос-Айрес, 2017 г.) и </w:t>
            </w:r>
            <w:hyperlink r:id="rId24" w:history="1">
              <w:r w:rsidR="007E13DC" w:rsidRPr="00AD0986">
                <w:rPr>
                  <w:rStyle w:val="Hyperlink"/>
                  <w:i/>
                  <w:lang w:val="ru-RU" w:bidi="ru-RU"/>
                </w:rPr>
                <w:t>45</w:t>
              </w:r>
            </w:hyperlink>
            <w:r w:rsidRPr="00AD0986">
              <w:rPr>
                <w:i/>
                <w:lang w:val="ru-RU" w:bidi="ru-RU"/>
              </w:rPr>
              <w:t xml:space="preserve"> (</w:t>
            </w:r>
            <w:proofErr w:type="spellStart"/>
            <w:r w:rsidRPr="00AD0986">
              <w:rPr>
                <w:i/>
                <w:lang w:val="ru-RU" w:bidi="ru-RU"/>
              </w:rPr>
              <w:t>Пересм</w:t>
            </w:r>
            <w:proofErr w:type="spellEnd"/>
            <w:r w:rsidRPr="00AD0986">
              <w:rPr>
                <w:i/>
                <w:lang w:val="ru-RU" w:bidi="ru-RU"/>
              </w:rPr>
              <w:t xml:space="preserve">. Дубай, 2014 г.) ВКРЭ; Документы </w:t>
            </w:r>
            <w:hyperlink r:id="rId25" w:history="1">
              <w:r w:rsidR="007E13DC" w:rsidRPr="00AD0986">
                <w:rPr>
                  <w:rStyle w:val="Hyperlink"/>
                  <w:i/>
                  <w:lang w:val="ru-RU" w:bidi="ru-RU"/>
                </w:rPr>
                <w:t>C16/33</w:t>
              </w:r>
            </w:hyperlink>
            <w:r w:rsidRPr="00AD0986">
              <w:rPr>
                <w:i/>
                <w:lang w:val="ru-RU" w:bidi="ru-RU"/>
              </w:rPr>
              <w:t xml:space="preserve">, </w:t>
            </w:r>
            <w:hyperlink r:id="rId26" w:history="1">
              <w:r w:rsidR="007E13DC" w:rsidRPr="00AD0986">
                <w:rPr>
                  <w:rStyle w:val="Hyperlink"/>
                  <w:i/>
                  <w:lang w:val="ru-RU" w:bidi="ru-RU"/>
                </w:rPr>
                <w:t>C17/33</w:t>
              </w:r>
            </w:hyperlink>
            <w:r w:rsidRPr="00AD0986">
              <w:rPr>
                <w:i/>
                <w:lang w:val="ru-RU" w:bidi="ru-RU"/>
              </w:rPr>
              <w:t>,</w:t>
            </w:r>
            <w:hyperlink r:id="rId27" w:history="1">
              <w:r w:rsidR="007E13DC" w:rsidRPr="00AD0986">
                <w:rPr>
                  <w:rStyle w:val="Hyperlink"/>
                  <w:i/>
                  <w:lang w:val="ru-RU" w:bidi="ru-RU"/>
                </w:rPr>
                <w:t xml:space="preserve"> C18/33</w:t>
              </w:r>
            </w:hyperlink>
            <w:r w:rsidRPr="00AD0986">
              <w:rPr>
                <w:i/>
                <w:lang w:val="ru-RU" w:bidi="ru-RU"/>
              </w:rPr>
              <w:t xml:space="preserve">, </w:t>
            </w:r>
            <w:hyperlink r:id="rId28" w:history="1">
              <w:r w:rsidR="007E13DC" w:rsidRPr="00AD0986">
                <w:rPr>
                  <w:rStyle w:val="Hyperlink"/>
                  <w:i/>
                  <w:lang w:val="ru-RU" w:bidi="ru-RU"/>
                </w:rPr>
                <w:t>C19/33</w:t>
              </w:r>
            </w:hyperlink>
            <w:r w:rsidRPr="00AD0986">
              <w:rPr>
                <w:i/>
                <w:lang w:val="ru-RU" w:bidi="ru-RU"/>
              </w:rPr>
              <w:t xml:space="preserve">, </w:t>
            </w:r>
            <w:hyperlink r:id="rId29" w:history="1">
              <w:r w:rsidR="007E13DC" w:rsidRPr="00AD0986">
                <w:rPr>
                  <w:rStyle w:val="Hyperlink"/>
                  <w:i/>
                  <w:lang w:val="ru-RU" w:bidi="ru-RU"/>
                </w:rPr>
                <w:t>C20/33</w:t>
              </w:r>
            </w:hyperlink>
            <w:r w:rsidRPr="00AD0986">
              <w:rPr>
                <w:i/>
                <w:lang w:val="ru-RU" w:bidi="ru-RU"/>
              </w:rPr>
              <w:t xml:space="preserve">, </w:t>
            </w:r>
            <w:hyperlink r:id="rId30" w:history="1">
              <w:r w:rsidR="007E13DC" w:rsidRPr="00AD0986">
                <w:rPr>
                  <w:rStyle w:val="Hyperlink"/>
                  <w:i/>
                  <w:lang w:val="ru-RU" w:bidi="ru-RU"/>
                </w:rPr>
                <w:t>C21/33</w:t>
              </w:r>
            </w:hyperlink>
            <w:r w:rsidRPr="00AD0986">
              <w:rPr>
                <w:i/>
                <w:lang w:val="ru-RU" w:bidi="ru-RU"/>
              </w:rPr>
              <w:t xml:space="preserve">, </w:t>
            </w:r>
            <w:hyperlink r:id="rId31" w:history="1">
              <w:r w:rsidR="007E13DC" w:rsidRPr="00AD0986">
                <w:rPr>
                  <w:rStyle w:val="Hyperlink"/>
                  <w:i/>
                  <w:lang w:val="ru-RU" w:bidi="ru-RU"/>
                </w:rPr>
                <w:t>C22/33</w:t>
              </w:r>
            </w:hyperlink>
            <w:bookmarkEnd w:id="7"/>
            <w:r w:rsidRPr="00AD0986">
              <w:rPr>
                <w:i/>
                <w:lang w:val="ru-RU" w:bidi="ru-RU"/>
              </w:rPr>
              <w:t xml:space="preserve"> Совета</w:t>
            </w:r>
          </w:p>
        </w:tc>
      </w:tr>
      <w:bookmarkEnd w:id="2"/>
      <w:bookmarkEnd w:id="6"/>
    </w:tbl>
    <w:p w14:paraId="345A455E" w14:textId="77777777" w:rsidR="005039F9" w:rsidRPr="00AD0986" w:rsidRDefault="005039F9" w:rsidP="005039F9">
      <w:pPr>
        <w:rPr>
          <w:lang w:val="ru-RU"/>
        </w:rPr>
      </w:pPr>
      <w:r w:rsidRPr="00AD0986">
        <w:rPr>
          <w:lang w:val="ru-RU" w:bidi="ru-RU"/>
        </w:rPr>
        <w:br w:type="page"/>
      </w:r>
    </w:p>
    <w:p w14:paraId="3C8D9FD9" w14:textId="77777777" w:rsidR="00046356" w:rsidRPr="00AD0986" w:rsidRDefault="00046356" w:rsidP="00046356">
      <w:pPr>
        <w:pStyle w:val="Heading1"/>
        <w:rPr>
          <w:lang w:val="ru-RU"/>
        </w:rPr>
      </w:pPr>
      <w:r w:rsidRPr="00AD0986">
        <w:rPr>
          <w:lang w:val="ru-RU" w:bidi="ru-RU"/>
        </w:rPr>
        <w:lastRenderedPageBreak/>
        <w:t>1</w:t>
      </w:r>
      <w:r w:rsidRPr="00AD0986">
        <w:rPr>
          <w:lang w:val="ru-RU" w:bidi="ru-RU"/>
        </w:rPr>
        <w:tab/>
        <w:t>Введение</w:t>
      </w:r>
    </w:p>
    <w:p w14:paraId="203A2498" w14:textId="11B1F4E0" w:rsidR="00046356" w:rsidRPr="00AD0986" w:rsidRDefault="00046356" w:rsidP="00046356">
      <w:pPr>
        <w:rPr>
          <w:rFonts w:asciiTheme="minorHAnsi" w:hAnsiTheme="minorHAnsi" w:cstheme="minorHAnsi"/>
          <w:szCs w:val="22"/>
          <w:lang w:val="ru-RU"/>
        </w:rPr>
      </w:pPr>
      <w:r w:rsidRPr="00AD0986">
        <w:rPr>
          <w:lang w:val="ru-RU" w:bidi="ru-RU"/>
        </w:rPr>
        <w:t>В настоящем отчете представлена информация о деятельности МСЭ, связанной с Резолюциями</w:t>
      </w:r>
      <w:r w:rsidR="00AD0986">
        <w:rPr>
          <w:lang w:val="en-US" w:bidi="ru-RU"/>
        </w:rPr>
        <w:t> </w:t>
      </w:r>
      <w:r w:rsidRPr="00AD0986">
        <w:rPr>
          <w:lang w:val="ru-RU" w:bidi="ru-RU"/>
        </w:rPr>
        <w:t>101, 102, 133, 180 и 206 Полномочной конференции 2022 года, за отчетный период с февраля 2022 года до настоящего времени.</w:t>
      </w:r>
    </w:p>
    <w:p w14:paraId="719AB01C" w14:textId="77777777" w:rsidR="00046356" w:rsidRPr="00AD0986" w:rsidRDefault="00046356" w:rsidP="00046356">
      <w:pPr>
        <w:pStyle w:val="Heading1"/>
        <w:rPr>
          <w:lang w:val="ru-RU"/>
        </w:rPr>
      </w:pPr>
      <w:r w:rsidRPr="00AD0986">
        <w:rPr>
          <w:lang w:val="ru-RU" w:bidi="ru-RU"/>
        </w:rPr>
        <w:t>2</w:t>
      </w:r>
      <w:r w:rsidRPr="00AD0986">
        <w:rPr>
          <w:lang w:val="ru-RU" w:bidi="ru-RU"/>
        </w:rPr>
        <w:tab/>
        <w:t>Деятельность, связанная с сетями, базирующимися на протоколе Интернет (IP), развитием сетей последующих поколений (СПП) и будущим интернета, включая проблемы политического и регуляторного характера</w:t>
      </w:r>
    </w:p>
    <w:p w14:paraId="2CD72CC0" w14:textId="508F2810" w:rsidR="00046356" w:rsidRPr="00AD0986" w:rsidRDefault="006925D7" w:rsidP="00046356">
      <w:pPr>
        <w:rPr>
          <w:lang w:val="ru-RU"/>
        </w:rPr>
      </w:pPr>
      <w:r w:rsidRPr="00AD0986">
        <w:rPr>
          <w:lang w:val="ru-RU" w:bidi="ru-RU"/>
        </w:rPr>
        <w:t>В период с 1 марта 2022 года по 20 апреля 2023 года утверждено более 330 новых/пересмотренных Рекомендаций МСЭ-T и других текстов</w:t>
      </w:r>
      <w:r w:rsidR="00046356" w:rsidRPr="00AD0986">
        <w:rPr>
          <w:rStyle w:val="FootnoteReference"/>
          <w:lang w:val="ru-RU" w:bidi="ru-RU"/>
        </w:rPr>
        <w:footnoteReference w:id="1"/>
      </w:r>
      <w:r w:rsidRPr="00AD0986">
        <w:rPr>
          <w:lang w:val="ru-RU" w:bidi="ru-RU"/>
        </w:rPr>
        <w:t xml:space="preserve">, включая те, которые касаются настоящего отчета. </w:t>
      </w:r>
      <w:hyperlink r:id="rId32" w:history="1">
        <w:r w:rsidRPr="00AD0986">
          <w:rPr>
            <w:rStyle w:val="Hyperlink"/>
            <w:lang w:val="ru-RU" w:bidi="ru-RU"/>
          </w:rPr>
          <w:t>Соответствующие Рекомендации</w:t>
        </w:r>
      </w:hyperlink>
      <w:r w:rsidRPr="00AD0986">
        <w:rPr>
          <w:lang w:val="ru-RU" w:bidi="ru-RU"/>
        </w:rPr>
        <w:t xml:space="preserve"> размещены в документах различных исследовательских комиссий (ИК) МСЭ-Т.</w:t>
      </w:r>
    </w:p>
    <w:p w14:paraId="55DC8CFA" w14:textId="5856C3BD" w:rsidR="00046356" w:rsidRPr="00AD0986" w:rsidRDefault="00046356" w:rsidP="00046356">
      <w:pPr>
        <w:rPr>
          <w:b/>
          <w:bCs/>
          <w:lang w:val="ru-RU"/>
        </w:rPr>
      </w:pPr>
      <w:r w:rsidRPr="00AD0986">
        <w:rPr>
          <w:b/>
          <w:lang w:val="ru-RU" w:bidi="ru-RU"/>
        </w:rPr>
        <w:t>2.1</w:t>
      </w:r>
      <w:r w:rsidRPr="00AD0986">
        <w:rPr>
          <w:b/>
          <w:lang w:val="ru-RU" w:bidi="ru-RU"/>
        </w:rPr>
        <w:tab/>
        <w:t>IMT-2020</w:t>
      </w:r>
      <w:r w:rsidRPr="00AD0986">
        <w:rPr>
          <w:lang w:val="ru-RU" w:bidi="ru-RU"/>
        </w:rPr>
        <w:t xml:space="preserve">: в общей сложности ИК11, </w:t>
      </w:r>
      <w:r w:rsidR="00070BD0" w:rsidRPr="00AD0986">
        <w:rPr>
          <w:lang w:val="ru-RU" w:bidi="ru-RU"/>
        </w:rPr>
        <w:t>ИК</w:t>
      </w:r>
      <w:r w:rsidRPr="00AD0986">
        <w:rPr>
          <w:lang w:val="ru-RU" w:bidi="ru-RU"/>
        </w:rPr>
        <w:t xml:space="preserve">13 и </w:t>
      </w:r>
      <w:r w:rsidR="00070BD0" w:rsidRPr="00AD0986">
        <w:rPr>
          <w:lang w:val="ru-RU" w:bidi="ru-RU"/>
        </w:rPr>
        <w:t>ИК</w:t>
      </w:r>
      <w:r w:rsidRPr="00AD0986">
        <w:rPr>
          <w:lang w:val="ru-RU" w:bidi="ru-RU"/>
        </w:rPr>
        <w:t xml:space="preserve">17 МСЭ-Т утвердили 22 Рекомендации. ИК13 согласовала одно Добавление, ИК12 и </w:t>
      </w:r>
      <w:r w:rsidR="00070BD0" w:rsidRPr="00AD0986">
        <w:rPr>
          <w:lang w:val="ru-RU" w:bidi="ru-RU"/>
        </w:rPr>
        <w:t>ИК</w:t>
      </w:r>
      <w:r w:rsidRPr="00AD0986">
        <w:rPr>
          <w:lang w:val="ru-RU" w:bidi="ru-RU"/>
        </w:rPr>
        <w:t xml:space="preserve">17 согласовали два Технических отчета и семь проектов Рекомендаций находятся в процессе утверждения в ИК13 и </w:t>
      </w:r>
      <w:r w:rsidR="00070BD0" w:rsidRPr="00AD0986">
        <w:rPr>
          <w:lang w:val="ru-RU" w:bidi="ru-RU"/>
        </w:rPr>
        <w:t>ИК</w:t>
      </w:r>
      <w:r w:rsidRPr="00AD0986">
        <w:rPr>
          <w:lang w:val="ru-RU" w:bidi="ru-RU"/>
        </w:rPr>
        <w:t>17.</w:t>
      </w:r>
    </w:p>
    <w:p w14:paraId="09193AC0" w14:textId="2A44D84D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2.2</w:t>
      </w:r>
      <w:r w:rsidRPr="00AD0986">
        <w:rPr>
          <w:b/>
          <w:lang w:val="ru-RU" w:bidi="ru-RU"/>
        </w:rPr>
        <w:tab/>
        <w:t>Интернет вещей (IoT) и "умные" города</w:t>
      </w:r>
      <w:r w:rsidRPr="00AD0986">
        <w:rPr>
          <w:lang w:val="ru-RU" w:bidi="ru-RU"/>
        </w:rPr>
        <w:t xml:space="preserve">: в общей сложности ИК17 и </w:t>
      </w:r>
      <w:r w:rsidR="00070BD0" w:rsidRPr="00AD0986">
        <w:rPr>
          <w:lang w:val="ru-RU" w:bidi="ru-RU"/>
        </w:rPr>
        <w:t>ИК</w:t>
      </w:r>
      <w:r w:rsidRPr="00AD0986">
        <w:rPr>
          <w:lang w:val="ru-RU" w:bidi="ru-RU"/>
        </w:rPr>
        <w:t>20 утвердили 15</w:t>
      </w:r>
      <w:r w:rsidR="00AD0986">
        <w:rPr>
          <w:lang w:val="en-US" w:bidi="ru-RU"/>
        </w:rPr>
        <w:t> </w:t>
      </w:r>
      <w:r w:rsidRPr="00AD0986">
        <w:rPr>
          <w:lang w:val="ru-RU" w:bidi="ru-RU"/>
        </w:rPr>
        <w:t xml:space="preserve">Рекомендаций, </w:t>
      </w:r>
      <w:r w:rsidR="00070BD0" w:rsidRPr="00AD0986">
        <w:rPr>
          <w:lang w:val="ru-RU" w:bidi="ru-RU"/>
        </w:rPr>
        <w:t>ИК</w:t>
      </w:r>
      <w:r w:rsidRPr="00AD0986">
        <w:rPr>
          <w:lang w:val="ru-RU" w:bidi="ru-RU"/>
        </w:rPr>
        <w:t>3 согласовала два Технических отчета, два проекта Рекомендаций находятся в процессе утверждения в ИК1</w:t>
      </w:r>
      <w:r w:rsidR="00B166EF" w:rsidRPr="00AD0986">
        <w:rPr>
          <w:lang w:val="ru-RU" w:bidi="ru-RU"/>
        </w:rPr>
        <w:t>7</w:t>
      </w:r>
      <w:r w:rsidRPr="00AD0986">
        <w:rPr>
          <w:lang w:val="ru-RU" w:bidi="ru-RU"/>
        </w:rPr>
        <w:t xml:space="preserve"> и пять проектов Рекомендаций были определены в ИК20. Ускоряется стандартизация тестовых спецификаций IoT благодаря укреплению сотрудничества МСЭ-Т и oneM2M. ИК20 МСЭ-Т продолжила координацию </w:t>
      </w:r>
      <w:r w:rsidR="009F4FE9" w:rsidRPr="00AD0986">
        <w:rPr>
          <w:lang w:val="ru-RU" w:bidi="ru-RU"/>
        </w:rPr>
        <w:t xml:space="preserve">в рамках </w:t>
      </w:r>
      <w:r w:rsidRPr="00AD0986">
        <w:rPr>
          <w:lang w:val="ru-RU" w:bidi="ru-RU"/>
        </w:rPr>
        <w:t xml:space="preserve">своих </w:t>
      </w:r>
      <w:r w:rsidR="009F4FE9" w:rsidRPr="00AD0986">
        <w:rPr>
          <w:lang w:val="ru-RU" w:bidi="ru-RU"/>
        </w:rPr>
        <w:t>групп JCA-</w:t>
      </w:r>
      <w:r w:rsidRPr="00AD0986">
        <w:rPr>
          <w:lang w:val="ru-RU" w:bidi="ru-RU"/>
        </w:rPr>
        <w:t xml:space="preserve">IoT и </w:t>
      </w:r>
      <w:r w:rsidR="009F4FE9" w:rsidRPr="00AD0986">
        <w:rPr>
          <w:lang w:val="ru-RU" w:bidi="ru-RU"/>
        </w:rPr>
        <w:t>JCA-</w:t>
      </w:r>
      <w:r w:rsidRPr="00AD0986">
        <w:rPr>
          <w:lang w:val="ru-RU" w:bidi="ru-RU"/>
        </w:rPr>
        <w:t>SC&amp;C</w:t>
      </w:r>
      <w:r w:rsidR="009F4FE9" w:rsidRPr="00AD0986">
        <w:rPr>
          <w:lang w:val="ru-RU" w:bidi="ru-RU"/>
        </w:rPr>
        <w:t xml:space="preserve"> МСЭ-Т</w:t>
      </w:r>
      <w:r w:rsidRPr="00AD0986">
        <w:rPr>
          <w:lang w:val="ru-RU" w:bidi="ru-RU"/>
        </w:rPr>
        <w:t>, а также тесно сотрудничает с IETF, oneM2M, W3C, Альянсом LoRa Alliance и TMForum. ИК20 учредила новую группу, работающую по переписке, по искусственному интеллекту вещей (ГП-AIoT).</w:t>
      </w:r>
    </w:p>
    <w:p w14:paraId="27EF88C1" w14:textId="00F1DAA8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2.3</w:t>
      </w:r>
      <w:r w:rsidRPr="00AD0986">
        <w:rPr>
          <w:b/>
          <w:lang w:val="ru-RU" w:bidi="ru-RU"/>
        </w:rPr>
        <w:tab/>
        <w:t>Кабельный IP</w:t>
      </w:r>
      <w:r w:rsidRPr="00AD0986">
        <w:rPr>
          <w:bCs/>
          <w:lang w:val="ru-RU" w:bidi="ru-RU"/>
        </w:rPr>
        <w:t xml:space="preserve">: </w:t>
      </w:r>
      <w:r w:rsidRPr="00AD0986">
        <w:rPr>
          <w:lang w:val="ru-RU" w:bidi="ru-RU"/>
        </w:rPr>
        <w:t>ИК9 МСЭ-T утвердила пять Рекомендаций.</w:t>
      </w:r>
    </w:p>
    <w:p w14:paraId="2B5E2603" w14:textId="595E0F0F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2.4</w:t>
      </w:r>
      <w:r w:rsidRPr="00AD0986">
        <w:rPr>
          <w:b/>
          <w:lang w:val="ru-RU" w:bidi="ru-RU"/>
        </w:rPr>
        <w:tab/>
        <w:t>IPTV, сети доставки контента (CDN) и цифровые информационные экраны</w:t>
      </w:r>
      <w:r w:rsidRPr="00AD0986">
        <w:rPr>
          <w:lang w:val="ru-RU" w:bidi="ru-RU"/>
        </w:rPr>
        <w:t>: ИК16 МСЭ-T утвердила одну Рекомендацию.</w:t>
      </w:r>
    </w:p>
    <w:p w14:paraId="55E50905" w14:textId="08749CDA" w:rsidR="00046356" w:rsidRPr="00AD0986" w:rsidRDefault="00046356" w:rsidP="00046356">
      <w:pPr>
        <w:rPr>
          <w:bCs/>
          <w:lang w:val="ru-RU"/>
        </w:rPr>
      </w:pPr>
      <w:r w:rsidRPr="00AD0986">
        <w:rPr>
          <w:b/>
          <w:lang w:val="ru-RU" w:bidi="ru-RU"/>
        </w:rPr>
        <w:t>2.5</w:t>
      </w:r>
      <w:r w:rsidRPr="00AD0986">
        <w:rPr>
          <w:b/>
          <w:lang w:val="ru-RU" w:bidi="ru-RU"/>
        </w:rPr>
        <w:tab/>
        <w:t>Рабочие характеристики протокола IP</w:t>
      </w:r>
      <w:r w:rsidRPr="00AD0986">
        <w:rPr>
          <w:bCs/>
          <w:lang w:val="ru-RU" w:bidi="ru-RU"/>
        </w:rPr>
        <w:t>:</w:t>
      </w:r>
      <w:r w:rsidRPr="00AD0986">
        <w:rPr>
          <w:lang w:val="ru-RU" w:bidi="ru-RU"/>
        </w:rPr>
        <w:t xml:space="preserve"> ИК12 МСЭ-Т утвердила четыре Рекомендации и согласовала одно Добавление.</w:t>
      </w:r>
    </w:p>
    <w:p w14:paraId="4E97ED0B" w14:textId="68024F33" w:rsidR="00046356" w:rsidRPr="00AD0986" w:rsidRDefault="00046356" w:rsidP="00046356">
      <w:pPr>
        <w:rPr>
          <w:bCs/>
          <w:lang w:val="ru-RU"/>
        </w:rPr>
      </w:pPr>
      <w:r w:rsidRPr="00AD0986">
        <w:rPr>
          <w:b/>
          <w:lang w:val="ru-RU" w:bidi="ru-RU"/>
        </w:rPr>
        <w:t>2.6</w:t>
      </w:r>
      <w:r w:rsidRPr="00AD0986">
        <w:rPr>
          <w:b/>
          <w:lang w:val="ru-RU" w:bidi="ru-RU"/>
        </w:rPr>
        <w:tab/>
        <w:t>Облачные вычисления и большие данные на базе IP</w:t>
      </w:r>
      <w:r w:rsidRPr="00AD0986">
        <w:rPr>
          <w:lang w:val="ru-RU" w:bidi="ru-RU"/>
        </w:rPr>
        <w:t>: ИК13МСЭ-Т утвердила пять Рекомендаций; ИК17 МСЭ-Т утвердила четыре Рекомендации.</w:t>
      </w:r>
    </w:p>
    <w:p w14:paraId="356D8BE0" w14:textId="5143112F" w:rsidR="00046356" w:rsidRPr="00AD0986" w:rsidRDefault="00046356" w:rsidP="00046356">
      <w:pPr>
        <w:rPr>
          <w:bCs/>
          <w:lang w:val="ru-RU"/>
        </w:rPr>
      </w:pPr>
      <w:r w:rsidRPr="00AD0986">
        <w:rPr>
          <w:b/>
          <w:lang w:val="ru-RU" w:bidi="ru-RU"/>
        </w:rPr>
        <w:t>2.7</w:t>
      </w:r>
      <w:r w:rsidRPr="00AD0986">
        <w:rPr>
          <w:b/>
          <w:lang w:val="ru-RU" w:bidi="ru-RU"/>
        </w:rPr>
        <w:tab/>
        <w:t>Различные вопросы, связанные с интернетом</w:t>
      </w:r>
      <w:r w:rsidRPr="00AD0986">
        <w:rPr>
          <w:lang w:val="ru-RU" w:bidi="ru-RU"/>
        </w:rPr>
        <w:t>: ИК11 МСЭ-Т утвердила две Рекомендации. ИК16 МСЭ-Т утвердила восемь Рекомендаций.</w:t>
      </w:r>
    </w:p>
    <w:p w14:paraId="469BD1CA" w14:textId="3AD867E9" w:rsidR="00046356" w:rsidRPr="00AD0986" w:rsidRDefault="00046356" w:rsidP="00046356">
      <w:pPr>
        <w:rPr>
          <w:b/>
          <w:lang w:val="ru-RU"/>
        </w:rPr>
      </w:pPr>
      <w:r w:rsidRPr="00AD0986">
        <w:rPr>
          <w:b/>
          <w:lang w:val="ru-RU" w:bidi="ru-RU"/>
        </w:rPr>
        <w:t>2.8</w:t>
      </w:r>
      <w:r w:rsidRPr="00AD0986">
        <w:rPr>
          <w:b/>
          <w:lang w:val="ru-RU" w:bidi="ru-RU"/>
        </w:rPr>
        <w:tab/>
        <w:t>Безопасность:</w:t>
      </w:r>
      <w:r w:rsidRPr="00AD0986">
        <w:rPr>
          <w:lang w:val="ru-RU" w:bidi="ru-RU"/>
        </w:rPr>
        <w:t xml:space="preserve"> ИК17 МСЭ-Т утвердила одну Рекомендацию. В Документе</w:t>
      </w:r>
      <w:r w:rsidR="00AD0986">
        <w:rPr>
          <w:lang w:val="en-US" w:bidi="ru-RU"/>
        </w:rPr>
        <w:t> </w:t>
      </w:r>
      <w:r w:rsidRPr="00AD0986">
        <w:rPr>
          <w:lang w:val="ru-RU" w:bidi="ru-RU"/>
        </w:rPr>
        <w:t>C23/35 представлен отдельный отчет о деятельности МСЭ, относящейся к укреплению доверия и безопасности при использовании ИКТ, включая работу ИК17.</w:t>
      </w:r>
    </w:p>
    <w:p w14:paraId="62CBFBD0" w14:textId="41A88E85" w:rsidR="00046356" w:rsidRPr="00AD0986" w:rsidRDefault="00046356" w:rsidP="001A3637">
      <w:pPr>
        <w:rPr>
          <w:lang w:val="ru-RU"/>
        </w:rPr>
      </w:pPr>
      <w:r w:rsidRPr="00AD0986">
        <w:rPr>
          <w:b/>
          <w:lang w:val="ru-RU" w:bidi="ru-RU"/>
        </w:rPr>
        <w:t>2.9</w:t>
      </w:r>
      <w:r w:rsidRPr="00AD0986">
        <w:rPr>
          <w:b/>
          <w:lang w:val="ru-RU" w:bidi="ru-RU"/>
        </w:rPr>
        <w:tab/>
      </w:r>
      <w:bookmarkStart w:id="8" w:name="lt_pId053"/>
      <w:r w:rsidRPr="00AD0986">
        <w:rPr>
          <w:b/>
          <w:lang w:val="ru-RU" w:bidi="ru-RU"/>
        </w:rPr>
        <w:t>Оперативные группы МСЭ-Т</w:t>
      </w:r>
      <w:r w:rsidRPr="00AD0986">
        <w:rPr>
          <w:bCs/>
          <w:lang w:val="ru-RU" w:bidi="ru-RU"/>
        </w:rPr>
        <w:t>:</w:t>
      </w:r>
      <w:r w:rsidRPr="00AD0986">
        <w:rPr>
          <w:lang w:val="ru-RU" w:bidi="ru-RU"/>
        </w:rPr>
        <w:t xml:space="preserve"> </w:t>
      </w:r>
      <w:r w:rsidR="009F4FE9" w:rsidRPr="00AD0986">
        <w:rPr>
          <w:lang w:val="ru-RU" w:bidi="ru-RU"/>
        </w:rPr>
        <w:t xml:space="preserve">в общей сложности функционируют </w:t>
      </w:r>
      <w:r w:rsidRPr="00AD0986">
        <w:rPr>
          <w:lang w:val="ru-RU" w:bidi="ru-RU"/>
        </w:rPr>
        <w:t xml:space="preserve">семь оперативных групп МСЭ-Т: </w:t>
      </w:r>
      <w:hyperlink r:id="rId33" w:history="1">
        <w:r w:rsidR="00CB367D" w:rsidRPr="00AD0986">
          <w:rPr>
            <w:rStyle w:val="Hyperlink"/>
            <w:i/>
            <w:lang w:val="ru-RU" w:bidi="ru-RU"/>
          </w:rPr>
          <w:t xml:space="preserve">Оперативная группа МСЭ-Т по </w:t>
        </w:r>
        <w:proofErr w:type="spellStart"/>
        <w:r w:rsidR="00CB367D" w:rsidRPr="00AD0986">
          <w:rPr>
            <w:rStyle w:val="Hyperlink"/>
            <w:i/>
            <w:lang w:val="ru-RU" w:bidi="ru-RU"/>
          </w:rPr>
          <w:t>метавселенной</w:t>
        </w:r>
        <w:proofErr w:type="spellEnd"/>
        <w:r w:rsidR="00CB367D" w:rsidRPr="00AD0986">
          <w:rPr>
            <w:rStyle w:val="Hyperlink"/>
            <w:i/>
            <w:lang w:val="ru-RU" w:bidi="ru-RU"/>
          </w:rPr>
          <w:t xml:space="preserve"> (ОГ-MV)</w:t>
        </w:r>
      </w:hyperlink>
      <w:r w:rsidRPr="00AD0986">
        <w:rPr>
          <w:iCs/>
          <w:lang w:val="ru-RU" w:bidi="ru-RU"/>
        </w:rPr>
        <w:t>;</w:t>
      </w:r>
      <w:r w:rsidRPr="00AD0986">
        <w:rPr>
          <w:i/>
          <w:lang w:val="ru-RU" w:bidi="ru-RU"/>
        </w:rPr>
        <w:t xml:space="preserve"> </w:t>
      </w:r>
      <w:hyperlink r:id="rId34" w:history="1">
        <w:r w:rsidR="00CB367D" w:rsidRPr="00AD0986">
          <w:rPr>
            <w:rStyle w:val="Hyperlink"/>
            <w:i/>
            <w:lang w:val="ru-RU" w:bidi="ru-RU"/>
          </w:rPr>
          <w:t>Оперативная группа МСЭ-Т по федерациям испытательных стендов для IMT-2020 и последующих систем (ОГ</w:t>
        </w:r>
        <w:r w:rsidR="00AD0986">
          <w:rPr>
            <w:rStyle w:val="Hyperlink"/>
            <w:i/>
            <w:lang w:val="ru-RU" w:bidi="ru-RU"/>
          </w:rPr>
          <w:noBreakHyphen/>
        </w:r>
        <w:proofErr w:type="spellStart"/>
        <w:r w:rsidR="00CB367D" w:rsidRPr="00AD0986">
          <w:rPr>
            <w:rStyle w:val="Hyperlink"/>
            <w:i/>
            <w:lang w:val="ru-RU" w:bidi="ru-RU"/>
          </w:rPr>
          <w:t>TBFxG</w:t>
        </w:r>
        <w:proofErr w:type="spellEnd"/>
        <w:r w:rsidR="00CB367D" w:rsidRPr="00AD0986">
          <w:rPr>
            <w:rStyle w:val="Hyperlink"/>
            <w:i/>
            <w:lang w:val="ru-RU" w:bidi="ru-RU"/>
          </w:rPr>
          <w:t>)</w:t>
        </w:r>
      </w:hyperlink>
      <w:r w:rsidRPr="00AD0986">
        <w:rPr>
          <w:iCs/>
          <w:lang w:val="ru-RU" w:bidi="ru-RU"/>
        </w:rPr>
        <w:t>;</w:t>
      </w:r>
      <w:r w:rsidRPr="00AD0986">
        <w:rPr>
          <w:i/>
          <w:lang w:val="ru-RU" w:bidi="ru-RU"/>
        </w:rPr>
        <w:t xml:space="preserve"> </w:t>
      </w:r>
      <w:hyperlink r:id="rId35" w:history="1">
        <w:r w:rsidR="00CB367D" w:rsidRPr="00AD0986">
          <w:rPr>
            <w:rStyle w:val="Hyperlink"/>
            <w:i/>
            <w:lang w:val="ru-RU" w:bidi="ru-RU"/>
          </w:rPr>
          <w:t>Оперативная группа МСЭ-T по ИИ в управлении операциями в случае стихийных бедствий (ОГ-AI4NDM)</w:t>
        </w:r>
      </w:hyperlink>
      <w:r w:rsidRPr="00BD0126">
        <w:rPr>
          <w:iCs/>
          <w:lang w:val="ru-RU" w:bidi="ru-RU"/>
        </w:rPr>
        <w:t>;</w:t>
      </w:r>
      <w:r w:rsidRPr="00AD0986">
        <w:rPr>
          <w:i/>
          <w:lang w:val="ru-RU" w:bidi="ru-RU"/>
        </w:rPr>
        <w:t xml:space="preserve"> </w:t>
      </w:r>
      <w:hyperlink r:id="rId36" w:history="1">
        <w:r w:rsidR="00CB367D" w:rsidRPr="00AD0986">
          <w:rPr>
            <w:rStyle w:val="Hyperlink"/>
            <w:i/>
            <w:lang w:val="ru-RU" w:bidi="ru-RU"/>
          </w:rPr>
          <w:t>Оперативная группа МСЭ-Т по автономным сетям (ОГ-AN)</w:t>
        </w:r>
      </w:hyperlink>
      <w:r w:rsidRPr="00AD0986">
        <w:rPr>
          <w:iCs/>
          <w:lang w:val="ru-RU" w:bidi="ru-RU"/>
        </w:rPr>
        <w:t>;</w:t>
      </w:r>
      <w:r w:rsidRPr="00AD0986">
        <w:rPr>
          <w:i/>
          <w:lang w:val="ru-RU" w:bidi="ru-RU"/>
        </w:rPr>
        <w:t xml:space="preserve"> </w:t>
      </w:r>
      <w:hyperlink r:id="rId37" w:history="1">
        <w:r w:rsidR="00CB367D" w:rsidRPr="00AD0986">
          <w:rPr>
            <w:rStyle w:val="Hyperlink"/>
            <w:i/>
            <w:lang w:val="ru-RU" w:bidi="ru-RU"/>
          </w:rPr>
          <w:t>Оперативная группа МСЭ-Т по искусственному интеллекту для здравоохранения (ОГ</w:t>
        </w:r>
        <w:r w:rsidR="001A3637" w:rsidRPr="00AD0986">
          <w:rPr>
            <w:rStyle w:val="Hyperlink"/>
            <w:i/>
            <w:lang w:val="ru-RU" w:bidi="ru-RU"/>
          </w:rPr>
          <w:noBreakHyphen/>
          <w:t>AI4H)</w:t>
        </w:r>
      </w:hyperlink>
      <w:r w:rsidRPr="00AD0986">
        <w:rPr>
          <w:iCs/>
          <w:lang w:val="ru-RU" w:bidi="ru-RU"/>
        </w:rPr>
        <w:t>;</w:t>
      </w:r>
      <w:r w:rsidRPr="00AD0986">
        <w:rPr>
          <w:i/>
          <w:lang w:val="ru-RU" w:bidi="ru-RU"/>
        </w:rPr>
        <w:t xml:space="preserve"> </w:t>
      </w:r>
      <w:hyperlink r:id="rId38" w:history="1">
        <w:r w:rsidR="001A3637" w:rsidRPr="00AD0986">
          <w:rPr>
            <w:rStyle w:val="Hyperlink"/>
            <w:i/>
            <w:lang w:val="ru-RU" w:bidi="ru-RU"/>
          </w:rPr>
          <w:t>Оперативная группа МСЭ-Т по искусственному интеллекту (ИИ) и интернету вещей (IoT) для цифрового сельского хозяйства</w:t>
        </w:r>
      </w:hyperlink>
      <w:r w:rsidRPr="00AD0986">
        <w:rPr>
          <w:i/>
          <w:lang w:val="ru-RU" w:bidi="ru-RU"/>
        </w:rPr>
        <w:t xml:space="preserve"> (ОГ-AI4A) и Оперативная группа МСЭ-Т по </w:t>
      </w:r>
      <w:r w:rsidRPr="00AD0986">
        <w:rPr>
          <w:lang w:val="ru-RU" w:bidi="ru-RU"/>
        </w:rPr>
        <w:t>моделям определения затрат для приемлемых в ценовом отношении услуг передачи данных</w:t>
      </w:r>
      <w:r w:rsidRPr="00AD0986">
        <w:rPr>
          <w:i/>
          <w:lang w:val="ru-RU" w:bidi="ru-RU"/>
        </w:rPr>
        <w:t xml:space="preserve"> (ОГ</w:t>
      </w:r>
      <w:r w:rsidR="001A3637" w:rsidRPr="00AD0986">
        <w:rPr>
          <w:i/>
          <w:lang w:val="ru-RU" w:bidi="ru-RU"/>
        </w:rPr>
        <w:noBreakHyphen/>
      </w:r>
      <w:r w:rsidRPr="00AD0986">
        <w:rPr>
          <w:i/>
          <w:lang w:val="ru-RU" w:bidi="ru-RU"/>
        </w:rPr>
        <w:t>CostingData)</w:t>
      </w:r>
      <w:r w:rsidRPr="00AD0986">
        <w:rPr>
          <w:lang w:val="ru-RU" w:bidi="ru-RU"/>
        </w:rPr>
        <w:t>.</w:t>
      </w:r>
      <w:bookmarkEnd w:id="8"/>
    </w:p>
    <w:p w14:paraId="468834B3" w14:textId="2BA7C37F" w:rsidR="00046356" w:rsidRPr="00AD0986" w:rsidRDefault="00046356" w:rsidP="00046356">
      <w:pPr>
        <w:rPr>
          <w:lang w:val="ru-RU"/>
        </w:rPr>
      </w:pPr>
      <w:r w:rsidRPr="00AD0986">
        <w:rPr>
          <w:b/>
          <w:bCs/>
          <w:lang w:val="ru-RU" w:bidi="ru-RU"/>
        </w:rPr>
        <w:t>2.10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 xml:space="preserve">В отчетном периоде БСЭ не получило никаких сообщений или откликов относительно каких-либо инцидентов, по которым поступали сообщения в связи с </w:t>
      </w:r>
      <w:hyperlink r:id="rId39">
        <w:r w:rsidR="00CB367D" w:rsidRPr="00AD0986">
          <w:rPr>
            <w:rStyle w:val="Hyperlink"/>
            <w:lang w:val="ru-RU" w:bidi="ru-RU"/>
          </w:rPr>
          <w:t>Резолюцией 69 ВАСЭ</w:t>
        </w:r>
      </w:hyperlink>
      <w:r w:rsidRPr="00AD0986">
        <w:rPr>
          <w:lang w:val="ru-RU" w:bidi="ru-RU"/>
        </w:rPr>
        <w:t xml:space="preserve"> о доступе к ресурсам интернета и их использовании на недискриминационной основе (на текущий момент</w:t>
      </w:r>
      <w:r w:rsidR="00BD0126" w:rsidRPr="00897A26">
        <w:rPr>
          <w:lang w:val="ru-RU" w:bidi="ru-RU"/>
        </w:rPr>
        <w:t>,</w:t>
      </w:r>
      <w:r w:rsidRPr="00AD0986">
        <w:rPr>
          <w:lang w:val="ru-RU" w:bidi="ru-RU"/>
        </w:rPr>
        <w:t xml:space="preserve"> </w:t>
      </w:r>
      <w:hyperlink r:id="rId40">
        <w:r w:rsidR="00990575" w:rsidRPr="00AD0986">
          <w:rPr>
            <w:rStyle w:val="Hyperlink"/>
            <w:lang w:val="ru-RU" w:bidi="ru-RU"/>
          </w:rPr>
          <w:t>с 2009 года имели место 37 инцидентов</w:t>
        </w:r>
      </w:hyperlink>
      <w:r w:rsidRPr="00AD0986">
        <w:rPr>
          <w:u w:val="single"/>
          <w:lang w:val="ru-RU" w:bidi="ru-RU"/>
        </w:rPr>
        <w:t>)</w:t>
      </w:r>
      <w:r w:rsidRPr="00AD0986">
        <w:rPr>
          <w:lang w:val="ru-RU" w:bidi="ru-RU"/>
        </w:rPr>
        <w:t>.</w:t>
      </w:r>
    </w:p>
    <w:p w14:paraId="725AA492" w14:textId="4E9D0ED9" w:rsidR="00046356" w:rsidRPr="00AD0986" w:rsidRDefault="00046356" w:rsidP="00046356">
      <w:pPr>
        <w:rPr>
          <w:lang w:val="ru-RU"/>
        </w:rPr>
      </w:pPr>
      <w:bookmarkStart w:id="9" w:name="a353677d2-7347-4cd3-8301-15d8ee365aeb"/>
      <w:bookmarkStart w:id="10" w:name="_Hlk500492095"/>
      <w:bookmarkEnd w:id="9"/>
      <w:r w:rsidRPr="00AD0986">
        <w:rPr>
          <w:b/>
          <w:lang w:val="ru-RU" w:bidi="ru-RU"/>
        </w:rPr>
        <w:t>2.11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>Директор БСЭ г-н Сэйдзо Оноэ был приглашен для выступления на 116-е собрание IETF 29</w:t>
      </w:r>
      <w:r w:rsidR="00BD0126">
        <w:rPr>
          <w:lang w:val="en-US" w:bidi="ru-RU"/>
        </w:rPr>
        <w:t> </w:t>
      </w:r>
      <w:r w:rsidRPr="00AD0986">
        <w:rPr>
          <w:lang w:val="ru-RU" w:bidi="ru-RU"/>
        </w:rPr>
        <w:t>марта 2023 года в Иокогаме, Япония.</w:t>
      </w:r>
    </w:p>
    <w:p w14:paraId="1A68644F" w14:textId="7A02D284" w:rsidR="00046356" w:rsidRPr="00AD0986" w:rsidRDefault="00046356" w:rsidP="00046356">
      <w:pPr>
        <w:rPr>
          <w:lang w:val="ru-RU"/>
        </w:rPr>
      </w:pPr>
      <w:r w:rsidRPr="00AD0986">
        <w:rPr>
          <w:b/>
          <w:bCs/>
          <w:lang w:val="ru-RU" w:bidi="ru-RU"/>
        </w:rPr>
        <w:t>2.12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>ИК1 и ИК2 МСЭ-D продолжают свою работу по связанным с IP вопросам. По новому Вопросу 1/1 ведется работа по теме "</w:t>
      </w:r>
      <w:r w:rsidRPr="00AD0986">
        <w:rPr>
          <w:i/>
          <w:lang w:val="ru-RU" w:bidi="ru-RU"/>
        </w:rPr>
        <w:t>Стратегии и политика для развертывания широкополосной связи в развивающихся странах</w:t>
      </w:r>
      <w:r w:rsidRPr="00AD0986">
        <w:rPr>
          <w:lang w:val="ru-RU" w:bidi="ru-RU"/>
        </w:rPr>
        <w:t>" (объединение бывших Вопросов 1/1 и 2/1).</w:t>
      </w:r>
    </w:p>
    <w:bookmarkEnd w:id="10"/>
    <w:p w14:paraId="31DCFA80" w14:textId="246536D5" w:rsidR="00046356" w:rsidRPr="00AD0986" w:rsidRDefault="00046356" w:rsidP="00046356">
      <w:pPr>
        <w:rPr>
          <w:lang w:val="ru-RU"/>
        </w:rPr>
      </w:pPr>
      <w:r w:rsidRPr="00AD0986">
        <w:rPr>
          <w:b/>
          <w:bCs/>
          <w:lang w:val="ru-RU" w:bidi="ru-RU"/>
        </w:rPr>
        <w:t>2.13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 xml:space="preserve">БРЭ успешно </w:t>
      </w:r>
      <w:r w:rsidR="00B166EF" w:rsidRPr="00AD0986">
        <w:rPr>
          <w:lang w:val="ru-RU" w:bidi="ru-RU"/>
        </w:rPr>
        <w:t>осуществило</w:t>
      </w:r>
      <w:r w:rsidRPr="00AD0986">
        <w:rPr>
          <w:lang w:val="ru-RU" w:bidi="ru-RU"/>
        </w:rPr>
        <w:t xml:space="preserve"> проекты по реализации возможности установления широкополосных беспроводных интернет-соединений для обеспечения бесплатного или недорогого цифрового доступа для школ и больниц, а также </w:t>
      </w:r>
      <w:r w:rsidR="00B166EF" w:rsidRPr="00AD0986">
        <w:rPr>
          <w:lang w:val="ru-RU" w:bidi="ru-RU"/>
        </w:rPr>
        <w:t xml:space="preserve">недостаточно </w:t>
      </w:r>
      <w:r w:rsidRPr="00AD0986">
        <w:rPr>
          <w:lang w:val="ru-RU" w:bidi="ru-RU"/>
        </w:rPr>
        <w:t xml:space="preserve">обслуживаемых </w:t>
      </w:r>
      <w:r w:rsidR="00B166EF" w:rsidRPr="00AD0986">
        <w:rPr>
          <w:lang w:val="ru-RU" w:bidi="ru-RU"/>
        </w:rPr>
        <w:t>групп</w:t>
      </w:r>
      <w:r w:rsidRPr="00AD0986">
        <w:rPr>
          <w:lang w:val="ru-RU" w:bidi="ru-RU"/>
        </w:rPr>
        <w:t xml:space="preserve"> населения в сельских и отдаленных районах в отдельных странах. Влияние на страны, в которых были реализованы проекты, включает, в частности:</w:t>
      </w:r>
    </w:p>
    <w:p w14:paraId="0582C523" w14:textId="54BA61FA" w:rsidR="00046356" w:rsidRPr="00AD0986" w:rsidRDefault="002D45E9" w:rsidP="002D45E9">
      <w:pPr>
        <w:pStyle w:val="enumlev1"/>
        <w:rPr>
          <w:lang w:val="ru-RU"/>
        </w:rPr>
      </w:pPr>
      <w:r w:rsidRPr="00AD0986">
        <w:rPr>
          <w:lang w:val="ru-RU" w:bidi="ru-RU"/>
        </w:rPr>
        <w:t>−</w:t>
      </w:r>
      <w:r w:rsidRPr="00AD0986">
        <w:rPr>
          <w:lang w:val="ru-RU" w:bidi="ru-RU"/>
        </w:rPr>
        <w:tab/>
        <w:t xml:space="preserve">Бурунди: в 10 городах обеспечено подключение в </w:t>
      </w:r>
      <w:r w:rsidR="00C961A8" w:rsidRPr="00AD0986">
        <w:rPr>
          <w:lang w:val="ru-RU" w:bidi="ru-RU"/>
        </w:rPr>
        <w:t>диапазоне</w:t>
      </w:r>
      <w:r w:rsidRPr="00AD0986">
        <w:rPr>
          <w:lang w:val="ru-RU" w:bidi="ru-RU"/>
        </w:rPr>
        <w:t xml:space="preserve"> частот 2,5 ГГц, 15</w:t>
      </w:r>
      <w:r w:rsidR="00BD0126">
        <w:rPr>
          <w:lang w:val="en-US" w:bidi="ru-RU"/>
        </w:rPr>
        <w:t> </w:t>
      </w:r>
      <w:r w:rsidRPr="00AD0986">
        <w:rPr>
          <w:lang w:val="ru-RU" w:bidi="ru-RU"/>
        </w:rPr>
        <w:t>инженеров прошли обучение в области эксплуатации и технического обслуживания, и были подключены 437 школ, больниц и государственных учреждений.</w:t>
      </w:r>
    </w:p>
    <w:p w14:paraId="04D191E1" w14:textId="73BE7BF1" w:rsidR="00046356" w:rsidRPr="00AD0986" w:rsidRDefault="002D45E9" w:rsidP="002D45E9">
      <w:pPr>
        <w:pStyle w:val="enumlev1"/>
        <w:rPr>
          <w:lang w:val="ru-RU"/>
        </w:rPr>
      </w:pPr>
      <w:r w:rsidRPr="00AD0986">
        <w:rPr>
          <w:lang w:val="ru-RU" w:bidi="ru-RU"/>
        </w:rPr>
        <w:t>−</w:t>
      </w:r>
      <w:r w:rsidRPr="00AD0986">
        <w:rPr>
          <w:lang w:val="ru-RU" w:bidi="ru-RU"/>
        </w:rPr>
        <w:tab/>
        <w:t xml:space="preserve">Джибути: в 20 городах обеспечено подключение в </w:t>
      </w:r>
      <w:r w:rsidR="00C961A8" w:rsidRPr="00AD0986">
        <w:rPr>
          <w:lang w:val="ru-RU" w:bidi="ru-RU"/>
        </w:rPr>
        <w:t xml:space="preserve">диапазоне </w:t>
      </w:r>
      <w:r w:rsidRPr="00AD0986">
        <w:rPr>
          <w:lang w:val="ru-RU" w:bidi="ru-RU"/>
        </w:rPr>
        <w:t>частот 2,5 ГГц, также подключено 48 школ, 43 больницы/клиники и 23 министерства.</w:t>
      </w:r>
    </w:p>
    <w:p w14:paraId="76D6271F" w14:textId="510CF945" w:rsidR="00046356" w:rsidRPr="00AD0986" w:rsidRDefault="002D45E9" w:rsidP="002D45E9">
      <w:pPr>
        <w:pStyle w:val="enumlev1"/>
        <w:rPr>
          <w:lang w:val="ru-RU"/>
        </w:rPr>
      </w:pPr>
      <w:r w:rsidRPr="00AD0986">
        <w:rPr>
          <w:lang w:val="ru-RU" w:bidi="ru-RU"/>
        </w:rPr>
        <w:t>−</w:t>
      </w:r>
      <w:r w:rsidRPr="00AD0986">
        <w:rPr>
          <w:lang w:val="ru-RU" w:bidi="ru-RU"/>
        </w:rPr>
        <w:tab/>
        <w:t xml:space="preserve">Эсватини: </w:t>
      </w:r>
      <w:r w:rsidR="00B166EF" w:rsidRPr="00AD0986">
        <w:rPr>
          <w:lang w:val="ru-RU" w:bidi="ru-RU"/>
        </w:rPr>
        <w:t>в</w:t>
      </w:r>
      <w:r w:rsidRPr="00AD0986">
        <w:rPr>
          <w:lang w:val="ru-RU" w:bidi="ru-RU"/>
        </w:rPr>
        <w:t xml:space="preserve"> 10 объектах установлена беспроводная широкополосная связь 4G LTE и проведено 15 технических учебных занятий для местных специалистов по вопросам радиочастотного контроля и планирования, а также эксплуатации и обслуживания развернутой сети беспроводной широкополосной связи 4G LTE.</w:t>
      </w:r>
    </w:p>
    <w:p w14:paraId="10A7CDEB" w14:textId="723DA9B4" w:rsidR="00046356" w:rsidRPr="00AD0986" w:rsidRDefault="00046356" w:rsidP="00046356">
      <w:pPr>
        <w:rPr>
          <w:lang w:val="ru-RU"/>
        </w:rPr>
      </w:pPr>
      <w:r w:rsidRPr="00AD0986">
        <w:rPr>
          <w:lang w:val="ru-RU" w:bidi="ru-RU"/>
        </w:rPr>
        <w:t>В настоящее время реализуются и другие инициативы, связанные с этой темой, такие как GIGA и "Партнерства для подключения" (Partner2Connect). Более подробная информация доступна в Документе</w:t>
      </w:r>
      <w:r w:rsidR="00BD0126">
        <w:rPr>
          <w:lang w:val="en-US" w:bidi="ru-RU"/>
        </w:rPr>
        <w:t> </w:t>
      </w:r>
      <w:hyperlink r:id="rId41" w:history="1">
        <w:r w:rsidRPr="00AD0986">
          <w:rPr>
            <w:rStyle w:val="Hyperlink"/>
            <w:lang w:val="ru-RU" w:bidi="ru-RU"/>
          </w:rPr>
          <w:t>C23/35</w:t>
        </w:r>
      </w:hyperlink>
      <w:r w:rsidRPr="00AD0986">
        <w:rPr>
          <w:lang w:val="ru-RU" w:bidi="ru-RU"/>
        </w:rPr>
        <w:t>.</w:t>
      </w:r>
    </w:p>
    <w:p w14:paraId="10937B61" w14:textId="3703F668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2.14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>МСЭ-R утвердил Рекомендацию МСЭ-R M.2083-0 "</w:t>
      </w:r>
      <w:r w:rsidRPr="00AD0986">
        <w:rPr>
          <w:i/>
          <w:lang w:val="ru-RU" w:bidi="ru-RU"/>
        </w:rPr>
        <w:t>Концепция IMT − основы и общие задачи будущего развития систем IMT на период до 2020 года и далее</w:t>
      </w:r>
      <w:r w:rsidRPr="00AD0986">
        <w:rPr>
          <w:lang w:val="ru-RU" w:bidi="ru-RU"/>
        </w:rPr>
        <w:t>", Резолюции МСЭ</w:t>
      </w:r>
      <w:r w:rsidR="002D45E9" w:rsidRPr="00AD0986">
        <w:rPr>
          <w:lang w:val="ru-RU" w:bidi="ru-RU"/>
        </w:rPr>
        <w:noBreakHyphen/>
      </w:r>
      <w:r w:rsidRPr="00AD0986">
        <w:rPr>
          <w:lang w:val="ru-RU" w:bidi="ru-RU"/>
        </w:rPr>
        <w:t>R 65 "</w:t>
      </w:r>
      <w:r w:rsidRPr="00AD0986">
        <w:rPr>
          <w:i/>
          <w:lang w:val="ru-RU" w:bidi="ru-RU"/>
        </w:rPr>
        <w:t>Принципы процесса будущего развития систем IMT на период до 2020 года и далее</w:t>
      </w:r>
      <w:r w:rsidRPr="00AD0986">
        <w:rPr>
          <w:lang w:val="ru-RU" w:bidi="ru-RU"/>
        </w:rPr>
        <w:t>" и МСЭ</w:t>
      </w:r>
      <w:r w:rsidR="002D45E9" w:rsidRPr="00AD0986">
        <w:rPr>
          <w:lang w:val="ru-RU" w:bidi="ru-RU"/>
        </w:rPr>
        <w:noBreakHyphen/>
      </w:r>
      <w:r w:rsidRPr="00AD0986">
        <w:rPr>
          <w:lang w:val="ru-RU" w:bidi="ru-RU"/>
        </w:rPr>
        <w:t>R 66 "</w:t>
      </w:r>
      <w:r w:rsidRPr="00AD0986">
        <w:rPr>
          <w:i/>
          <w:lang w:val="ru-RU" w:bidi="ru-RU"/>
        </w:rPr>
        <w:t>Исследования, касающиеся беспроводных систем и приложений для развития интернета вещей</w:t>
      </w:r>
      <w:r w:rsidRPr="00AD0986">
        <w:rPr>
          <w:lang w:val="ru-RU" w:bidi="ru-RU"/>
        </w:rPr>
        <w:t>", а также Отчет МСЭ-R М.2440-0 "</w:t>
      </w:r>
      <w:r w:rsidRPr="00AD0986">
        <w:rPr>
          <w:i/>
          <w:lang w:val="ru-RU" w:bidi="ru-RU"/>
        </w:rPr>
        <w:t>Использование наземного сегмента Международной подвижной связи (IMT) для узкополосной и широкополосной межмашинной связи</w:t>
      </w:r>
      <w:r w:rsidRPr="00AD0986">
        <w:rPr>
          <w:lang w:val="ru-RU" w:bidi="ru-RU"/>
        </w:rPr>
        <w:t>".</w:t>
      </w:r>
    </w:p>
    <w:p w14:paraId="04F0E4E6" w14:textId="55105D1C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2.15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 xml:space="preserve">Организовано несколько учебных курсов в рамках </w:t>
      </w:r>
      <w:hyperlink r:id="rId42">
        <w:r w:rsidR="00A31234" w:rsidRPr="00AD0986">
          <w:rPr>
            <w:rStyle w:val="Hyperlink"/>
            <w:lang w:val="ru-RU" w:bidi="ru-RU"/>
          </w:rPr>
          <w:t>Академии МСЭ</w:t>
        </w:r>
      </w:hyperlink>
      <w:r w:rsidRPr="00AD0986">
        <w:rPr>
          <w:lang w:val="ru-RU" w:bidi="ru-RU"/>
        </w:rPr>
        <w:t xml:space="preserve"> и </w:t>
      </w:r>
      <w:hyperlink r:id="rId43">
        <w:r w:rsidR="00A31234" w:rsidRPr="00AD0986">
          <w:rPr>
            <w:rStyle w:val="Hyperlink"/>
            <w:lang w:val="ru-RU" w:bidi="ru-RU"/>
          </w:rPr>
          <w:t>центров профессионального мастерства МСЭ</w:t>
        </w:r>
      </w:hyperlink>
      <w:r w:rsidRPr="00AD0986">
        <w:rPr>
          <w:lang w:val="ru-RU" w:bidi="ru-RU"/>
        </w:rPr>
        <w:t xml:space="preserve"> по таким темам, как "Новые сети широкополосного доступа в интернет, облачные вычисления, IoT/ИИ и будущие услуги", "Развитие промышленного интернета", "</w:t>
      </w:r>
      <w:r w:rsidR="00BD0126">
        <w:rPr>
          <w:rFonts w:cs="Calibri"/>
          <w:lang w:val="ru-RU" w:bidi="ru-RU"/>
        </w:rPr>
        <w:t>«</w:t>
      </w:r>
      <w:r w:rsidRPr="00AD0986">
        <w:rPr>
          <w:lang w:val="ru-RU" w:bidi="ru-RU"/>
        </w:rPr>
        <w:t>Умное</w:t>
      </w:r>
      <w:r w:rsidR="00BD0126">
        <w:rPr>
          <w:rFonts w:cs="Calibri"/>
          <w:lang w:val="ru-RU" w:bidi="ru-RU"/>
        </w:rPr>
        <w:t>»</w:t>
      </w:r>
      <w:r w:rsidRPr="00AD0986">
        <w:rPr>
          <w:lang w:val="ru-RU" w:bidi="ru-RU"/>
        </w:rPr>
        <w:t xml:space="preserve"> производство: интернет вещей, искусственный интеллект, цифровые двойники в промышленности 4.0", "Ключевые аспекты интернета вещей, больших данных и искусственного интеллекта и управление ими" и "Интернет-соединения последней мили". Всего эти курсы прошли 502 участника, из которых 215 получили сертификат.</w:t>
      </w:r>
    </w:p>
    <w:p w14:paraId="288A08EC" w14:textId="77777777" w:rsidR="00046356" w:rsidRPr="00AD0986" w:rsidRDefault="00046356" w:rsidP="000E464E">
      <w:pPr>
        <w:pStyle w:val="Heading1"/>
        <w:rPr>
          <w:lang w:val="ru-RU"/>
        </w:rPr>
      </w:pPr>
      <w:r w:rsidRPr="00AD0986">
        <w:rPr>
          <w:lang w:val="ru-RU" w:bidi="ru-RU"/>
        </w:rPr>
        <w:lastRenderedPageBreak/>
        <w:t>3</w:t>
      </w:r>
      <w:r w:rsidRPr="00AD0986">
        <w:rPr>
          <w:lang w:val="ru-RU" w:bidi="ru-RU"/>
        </w:rPr>
        <w:tab/>
        <w:t>IPv6</w:t>
      </w:r>
    </w:p>
    <w:p w14:paraId="52851682" w14:textId="6C6D9729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3.1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 xml:space="preserve">На </w:t>
      </w:r>
      <w:hyperlink r:id="rId44" w:history="1">
        <w:r w:rsidR="000E464E" w:rsidRPr="00AD0986">
          <w:rPr>
            <w:rStyle w:val="Hyperlink"/>
            <w:lang w:val="ru-RU" w:bidi="ru-RU"/>
          </w:rPr>
          <w:t>веб-странице МСЭ IPv6</w:t>
        </w:r>
      </w:hyperlink>
      <w:r w:rsidRPr="00AD0986">
        <w:rPr>
          <w:lang w:val="ru-RU" w:bidi="ru-RU"/>
        </w:rPr>
        <w:t xml:space="preserve"> освещается проводимая МСЭ-Т деятельность по IPV6. Организуются учебные занятия/курсы по всем формам IoT-соединений, в том числе по безопасности и конфиденциальности информации.</w:t>
      </w:r>
    </w:p>
    <w:p w14:paraId="56BD4BB9" w14:textId="40903CB9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3.2</w:t>
      </w:r>
      <w:r w:rsidRPr="00AD0986">
        <w:rPr>
          <w:lang w:val="ru-RU" w:bidi="ru-RU"/>
        </w:rPr>
        <w:tab/>
        <w:t xml:space="preserve">БРЭ и Регуляторный орган электросвязи и почты Судана создали региональный "Экспертный центр МСЭ по IPv6 и IoT для арабского региона", организованный TPRA Судана для </w:t>
      </w:r>
      <w:hyperlink r:id="rId45">
        <w:r w:rsidRPr="00AD0986">
          <w:rPr>
            <w:rStyle w:val="Hyperlink"/>
            <w:lang w:val="ru-RU" w:bidi="ru-RU"/>
          </w:rPr>
          <w:t>проведения учебных мероприятий</w:t>
        </w:r>
      </w:hyperlink>
      <w:r w:rsidRPr="00AD0986">
        <w:rPr>
          <w:lang w:val="ru-RU" w:bidi="ru-RU"/>
        </w:rPr>
        <w:t>.</w:t>
      </w:r>
    </w:p>
    <w:p w14:paraId="370ED186" w14:textId="6DFCD60B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3.3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>БРЭ предоставляет также техническую помощь Черногории по вопросам IPv6. В Университете Черногории начала работу лаборатория IPv6.</w:t>
      </w:r>
    </w:p>
    <w:p w14:paraId="4E88C8F0" w14:textId="6BABD688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3.4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>БРЭ оказывает помощь в создании экспериментального стенда IPv6 в Камеруне и Конго. Предоставляется техническая помощь Ираку, Государству Палестина, Сомали и Судану для разработки их национальных стратегий перехода на IPv6 и создания национальных целевых групп по IPv6.</w:t>
      </w:r>
    </w:p>
    <w:p w14:paraId="70916F0F" w14:textId="6FD0E245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3.5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>БРЭ также уделяет особое внимание специальной программе подготовки инструкторов по теме "IPv6 в сетях 5G". Обучение прошел 31 участник, и 20 человек получили сертификаты.</w:t>
      </w:r>
    </w:p>
    <w:p w14:paraId="165E846B" w14:textId="40C9DE7E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3.6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 xml:space="preserve">Представлен </w:t>
      </w:r>
      <w:hyperlink r:id="rId46">
        <w:r w:rsidR="004C4D58" w:rsidRPr="00AD0986">
          <w:rPr>
            <w:rStyle w:val="Hyperlink"/>
            <w:lang w:val="ru-RU" w:bidi="ru-RU"/>
          </w:rPr>
          <w:t>заключительный отчет</w:t>
        </w:r>
      </w:hyperlink>
      <w:r w:rsidRPr="00AD0986">
        <w:rPr>
          <w:lang w:val="ru-RU" w:bidi="ru-RU"/>
        </w:rPr>
        <w:t xml:space="preserve"> по </w:t>
      </w:r>
      <w:hyperlink r:id="rId47">
        <w:r w:rsidR="004C4D58" w:rsidRPr="00AD0986">
          <w:rPr>
            <w:rStyle w:val="Hyperlink"/>
            <w:lang w:val="ru-RU" w:bidi="ru-RU"/>
          </w:rPr>
          <w:t>Вопросу 1/1</w:t>
        </w:r>
      </w:hyperlink>
      <w:r w:rsidRPr="00AD0986">
        <w:rPr>
          <w:lang w:val="ru-RU" w:bidi="ru-RU"/>
        </w:rPr>
        <w:t xml:space="preserve"> ИК1 МСЭ-D, в котором на основе исследований конкретных ситуаций представлен опыт стран в переходе от IPv4 к IPv6. </w:t>
      </w:r>
      <w:hyperlink r:id="rId48" w:history="1">
        <w:r w:rsidR="004C4D58" w:rsidRPr="00AD0986">
          <w:rPr>
            <w:rStyle w:val="Hyperlink"/>
            <w:lang w:val="ru-RU" w:bidi="ru-RU"/>
          </w:rPr>
          <w:t>Важное руководство</w:t>
        </w:r>
      </w:hyperlink>
      <w:r w:rsidRPr="00AD0986">
        <w:rPr>
          <w:lang w:val="ru-RU" w:bidi="ru-RU"/>
        </w:rPr>
        <w:t xml:space="preserve"> доступно для оказания помощи развивающимся странам в реализации IPv6 в сетях 5G.</w:t>
      </w:r>
    </w:p>
    <w:p w14:paraId="430ABAFD" w14:textId="12F67117" w:rsidR="00046356" w:rsidRPr="00AD0986" w:rsidRDefault="00046356" w:rsidP="004C4D58">
      <w:pPr>
        <w:pStyle w:val="Heading1"/>
        <w:rPr>
          <w:lang w:val="ru-RU"/>
        </w:rPr>
      </w:pPr>
      <w:r w:rsidRPr="00AD0986">
        <w:rPr>
          <w:lang w:val="ru-RU" w:bidi="ru-RU"/>
        </w:rPr>
        <w:t>4</w:t>
      </w:r>
      <w:r w:rsidRPr="00AD0986">
        <w:rPr>
          <w:lang w:val="ru-RU" w:bidi="ru-RU"/>
        </w:rPr>
        <w:tab/>
        <w:t>Вопросы государственной политики, касающиеся интернета, включая управление наименованиями доменов и адресами</w:t>
      </w:r>
    </w:p>
    <w:p w14:paraId="0DB445A5" w14:textId="1124FE3F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4.1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 xml:space="preserve">В Документе </w:t>
      </w:r>
      <w:hyperlink r:id="rId49" w:history="1">
        <w:r w:rsidRPr="00AD0986">
          <w:rPr>
            <w:rStyle w:val="Hyperlink"/>
            <w:lang w:val="ru-RU" w:bidi="ru-RU"/>
          </w:rPr>
          <w:t>C22/58</w:t>
        </w:r>
      </w:hyperlink>
      <w:r w:rsidRPr="00AD0986">
        <w:rPr>
          <w:lang w:val="ru-RU" w:bidi="ru-RU"/>
        </w:rPr>
        <w:t xml:space="preserve"> представлен четырех</w:t>
      </w:r>
      <w:r w:rsidR="00C961A8" w:rsidRPr="00AD0986">
        <w:rPr>
          <w:lang w:val="ru-RU" w:bidi="ru-RU"/>
        </w:rPr>
        <w:t xml:space="preserve">годичный отчет </w:t>
      </w:r>
      <w:r w:rsidRPr="00AD0986">
        <w:rPr>
          <w:lang w:val="ru-RU" w:bidi="ru-RU"/>
        </w:rPr>
        <w:t xml:space="preserve">(2018–2022 гг.) </w:t>
      </w:r>
      <w:hyperlink r:id="rId50" w:history="1">
        <w:r w:rsidRPr="00AD0986">
          <w:rPr>
            <w:rStyle w:val="Hyperlink"/>
            <w:lang w:val="ru-RU" w:bidi="ru-RU"/>
          </w:rPr>
          <w:t>Рабочей группы Совета по вопросам международной государственной политики, касающимся интернета (РГС-Интернет)</w:t>
        </w:r>
      </w:hyperlink>
      <w:r w:rsidRPr="00AD0986">
        <w:rPr>
          <w:lang w:val="ru-RU" w:bidi="ru-RU"/>
        </w:rPr>
        <w:t>.</w:t>
      </w:r>
    </w:p>
    <w:p w14:paraId="57E0743A" w14:textId="1F26AC05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4.2</w:t>
      </w:r>
      <w:r w:rsidRPr="00AD0986">
        <w:rPr>
          <w:lang w:val="ru-RU" w:bidi="ru-RU"/>
        </w:rPr>
        <w:tab/>
        <w:t>МСЭ принял участие в 15-м Форуме по вопросам управления использованием интернета (ФУИ), проходившем в Аддис-Абебе, Эфиопия, с 28 ноября по 2 декабря 2022 года, включая церемонию открытия и сессии высокого уровня, и организовал сессии, посвященные инициативе "Соединение для восстановления" (Connect2Recover, C2R), открытой консультации в отношении Форума ВВУИО 2023 года, открытому форуму GovStack и цифровым навыкам для защиты и участия в онлайновом формате.</w:t>
      </w:r>
    </w:p>
    <w:p w14:paraId="58D7B221" w14:textId="2A50BC27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4.3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>МСЭ продолжает отслеживать вопросы защиты названий и сокращений названий МПО в любых новых gTLD в рамках коалиции МПО, в состав которой входят 35 МПО, в том числе ОЭСР, ООН, ВПС, ВОЗ, ВОИС и Всемирный банк.</w:t>
      </w:r>
    </w:p>
    <w:p w14:paraId="65D98CC1" w14:textId="259CD96D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4.4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>В рамках всех видов деятельности, упомянутых в различных разделах настоящего отчета, в особенности касающихся стран, которые получают помощь по вопросам IPv6, широкополосной связи и создания потенциала, МСЭ стремится решать проблемы, которые стоят перед развивающимися странами, не имеющими выхода к морю, в соответствии с Венской программой действий.</w:t>
      </w:r>
    </w:p>
    <w:p w14:paraId="65F9B01D" w14:textId="77777777" w:rsidR="00046356" w:rsidRPr="00AD0986" w:rsidRDefault="00046356" w:rsidP="00046356">
      <w:pPr>
        <w:rPr>
          <w:b/>
          <w:bCs/>
          <w:lang w:val="ru-RU"/>
        </w:rPr>
      </w:pPr>
      <w:r w:rsidRPr="00AD0986">
        <w:rPr>
          <w:b/>
          <w:lang w:val="ru-RU" w:bidi="ru-RU"/>
        </w:rPr>
        <w:t>4.5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>МСЭ изменил координатора по ICANN, включая ПКК, на г-на Приетама Малура из Генерального секретариата. МСЭ продолжает активно следить за дискуссиями в ПКК в качестве наблюдателя.</w:t>
      </w:r>
    </w:p>
    <w:p w14:paraId="36E626DF" w14:textId="77777777" w:rsidR="00046356" w:rsidRPr="00AD0986" w:rsidRDefault="00046356" w:rsidP="00E80243">
      <w:pPr>
        <w:pStyle w:val="Heading1"/>
        <w:rPr>
          <w:lang w:val="ru-RU"/>
        </w:rPr>
      </w:pPr>
      <w:r w:rsidRPr="00AD0986">
        <w:rPr>
          <w:lang w:val="ru-RU" w:bidi="ru-RU"/>
        </w:rPr>
        <w:lastRenderedPageBreak/>
        <w:t>5</w:t>
      </w:r>
      <w:r w:rsidRPr="00AD0986">
        <w:rPr>
          <w:lang w:val="ru-RU" w:bidi="ru-RU"/>
        </w:rPr>
        <w:tab/>
        <w:t>ENUM</w:t>
      </w:r>
    </w:p>
    <w:p w14:paraId="366E06CA" w14:textId="54D0EDCE" w:rsidR="00046356" w:rsidRPr="00AD0986" w:rsidRDefault="00E80243" w:rsidP="00046356">
      <w:pPr>
        <w:rPr>
          <w:bCs/>
          <w:lang w:val="ru-RU"/>
        </w:rPr>
      </w:pPr>
      <w:r w:rsidRPr="00AD0986">
        <w:rPr>
          <w:lang w:val="ru-RU" w:bidi="ru-RU"/>
        </w:rPr>
        <w:t xml:space="preserve">МСЭ-T поддерживает и ведет </w:t>
      </w:r>
      <w:hyperlink r:id="rId51" w:history="1">
        <w:r w:rsidRPr="00AD0986">
          <w:rPr>
            <w:rStyle w:val="Hyperlink"/>
            <w:lang w:val="ru-RU" w:bidi="ru-RU"/>
          </w:rPr>
          <w:t>обновленную информацию о протоколе ENUM</w:t>
        </w:r>
      </w:hyperlink>
      <w:r w:rsidRPr="00AD0986">
        <w:rPr>
          <w:lang w:val="ru-RU" w:bidi="ru-RU"/>
        </w:rPr>
        <w:t xml:space="preserve">. </w:t>
      </w:r>
      <w:r w:rsidR="00070BD0" w:rsidRPr="00AD0986">
        <w:rPr>
          <w:lang w:val="ru-RU" w:bidi="ru-RU"/>
        </w:rPr>
        <w:t>ИК</w:t>
      </w:r>
      <w:r w:rsidRPr="00AD0986">
        <w:rPr>
          <w:lang w:val="ru-RU" w:bidi="ru-RU"/>
        </w:rPr>
        <w:t>2 МСЭ-Т продолжает работу над проектами новых Рекомендаций о разграничении ENUM и инфраструктурного ENUM.</w:t>
      </w:r>
    </w:p>
    <w:p w14:paraId="36073BB1" w14:textId="369F87F9" w:rsidR="00046356" w:rsidRPr="00AD0986" w:rsidRDefault="00046356" w:rsidP="00E80243">
      <w:pPr>
        <w:pStyle w:val="Heading1"/>
        <w:rPr>
          <w:lang w:val="ru-RU"/>
        </w:rPr>
      </w:pPr>
      <w:bookmarkStart w:id="11" w:name="_Hlk133498507"/>
      <w:r w:rsidRPr="00AD0986">
        <w:rPr>
          <w:lang w:val="ru-RU" w:bidi="ru-RU"/>
        </w:rPr>
        <w:t>6</w:t>
      </w:r>
      <w:r w:rsidRPr="00AD0986">
        <w:rPr>
          <w:lang w:val="ru-RU" w:bidi="ru-RU"/>
        </w:rPr>
        <w:tab/>
        <w:t>Международные интернет-соединения (IIC)/пункты обмена трафиком интернета (IXP)</w:t>
      </w:r>
    </w:p>
    <w:p w14:paraId="4E89B3A4" w14:textId="77777777" w:rsidR="00046356" w:rsidRPr="00AD0986" w:rsidRDefault="00046356" w:rsidP="00046356">
      <w:pPr>
        <w:rPr>
          <w:bCs/>
          <w:lang w:val="ru-RU"/>
        </w:rPr>
      </w:pPr>
      <w:r w:rsidRPr="00AD0986">
        <w:rPr>
          <w:lang w:val="ru-RU" w:bidi="ru-RU"/>
        </w:rPr>
        <w:t xml:space="preserve">БРЭ продолжает работу по оказанию помощи по вопросам, связанным с IXP. Местоположения IXP указаны на интерактивной карте инфраструктуры ИКТ: </w:t>
      </w:r>
      <w:hyperlink r:id="rId52" w:tgtFrame="_blank" w:tooltip="https://bbmaps.itu.int/bbmaps/" w:history="1">
        <w:r w:rsidRPr="00AD0986">
          <w:rPr>
            <w:rStyle w:val="Hyperlink"/>
            <w:lang w:val="ru-RU" w:bidi="ru-RU"/>
          </w:rPr>
          <w:t>https://bbmaps.itu.int/bbmaps/</w:t>
        </w:r>
      </w:hyperlink>
      <w:bookmarkEnd w:id="11"/>
      <w:r w:rsidRPr="00AD0986">
        <w:rPr>
          <w:lang w:val="ru-RU" w:bidi="ru-RU"/>
        </w:rPr>
        <w:t>.</w:t>
      </w:r>
    </w:p>
    <w:p w14:paraId="13BD7937" w14:textId="77777777" w:rsidR="00046356" w:rsidRPr="00AD0986" w:rsidRDefault="00046356" w:rsidP="00E80243">
      <w:pPr>
        <w:pStyle w:val="Heading1"/>
        <w:rPr>
          <w:lang w:val="ru-RU"/>
        </w:rPr>
      </w:pPr>
      <w:r w:rsidRPr="00AD0986">
        <w:rPr>
          <w:lang w:val="ru-RU" w:bidi="ru-RU"/>
        </w:rPr>
        <w:t>7</w:t>
      </w:r>
      <w:r w:rsidRPr="00AD0986">
        <w:rPr>
          <w:lang w:val="ru-RU" w:bidi="ru-RU"/>
        </w:rPr>
        <w:tab/>
        <w:t>OTT</w:t>
      </w:r>
    </w:p>
    <w:p w14:paraId="66DFF644" w14:textId="0CF0C31A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7.1</w:t>
      </w:r>
      <w:r w:rsidRPr="00AD0986">
        <w:rPr>
          <w:b/>
          <w:lang w:val="ru-RU" w:bidi="ru-RU"/>
        </w:rPr>
        <w:tab/>
      </w:r>
      <w:r w:rsidRPr="00AD0986">
        <w:rPr>
          <w:lang w:val="ru-RU" w:bidi="ru-RU"/>
        </w:rPr>
        <w:t xml:space="preserve">В рамках </w:t>
      </w:r>
      <w:r w:rsidRPr="00AD0986">
        <w:rPr>
          <w:b/>
          <w:lang w:val="ru-RU" w:bidi="ru-RU"/>
        </w:rPr>
        <w:t>Вопроса 3/1 МСЭ-D</w:t>
      </w:r>
      <w:r w:rsidRPr="00AD0986">
        <w:rPr>
          <w:lang w:val="ru-RU" w:bidi="ru-RU"/>
        </w:rPr>
        <w:t xml:space="preserve"> продолжается работа по теме "</w:t>
      </w:r>
      <w:r w:rsidRPr="00AD0986">
        <w:rPr>
          <w:i/>
          <w:lang w:val="ru-RU" w:bidi="ru-RU"/>
        </w:rPr>
        <w:t>Появляющиеся технологии, в том числе облачные вычисления, мобильные услуги и услуги OTT: проблемы и перспективы, а также экономические и политические последствия для развивающихся стран</w:t>
      </w:r>
      <w:r w:rsidRPr="00AD0986">
        <w:rPr>
          <w:lang w:val="ru-RU" w:bidi="ru-RU"/>
        </w:rPr>
        <w:t>".</w:t>
      </w:r>
    </w:p>
    <w:p w14:paraId="38F76CE4" w14:textId="264F3912" w:rsidR="00046356" w:rsidRPr="00AD0986" w:rsidRDefault="00046356" w:rsidP="00046356">
      <w:pPr>
        <w:rPr>
          <w:lang w:val="ru-RU"/>
        </w:rPr>
      </w:pPr>
      <w:r w:rsidRPr="00AD0986">
        <w:rPr>
          <w:b/>
          <w:lang w:val="ru-RU" w:bidi="ru-RU"/>
        </w:rPr>
        <w:t>7.2</w:t>
      </w:r>
      <w:r w:rsidRPr="00AD0986">
        <w:rPr>
          <w:b/>
          <w:lang w:val="ru-RU" w:bidi="ru-RU"/>
        </w:rPr>
        <w:tab/>
      </w:r>
      <w:r w:rsidR="00070BD0" w:rsidRPr="00AD0986">
        <w:rPr>
          <w:b/>
          <w:lang w:val="ru-RU" w:bidi="ru-RU"/>
        </w:rPr>
        <w:t>ИК</w:t>
      </w:r>
      <w:r w:rsidRPr="00AD0986">
        <w:rPr>
          <w:b/>
          <w:lang w:val="ru-RU" w:bidi="ru-RU"/>
        </w:rPr>
        <w:t xml:space="preserve">2 МСЭ-Т </w:t>
      </w:r>
      <w:r w:rsidRPr="00AD0986">
        <w:rPr>
          <w:lang w:val="ru-RU" w:bidi="ru-RU"/>
        </w:rPr>
        <w:t>ведет работу по двум направлениям по тематике OTT (TR.OTTnum "</w:t>
      </w:r>
      <w:r w:rsidRPr="00AD0986">
        <w:rPr>
          <w:i/>
          <w:lang w:val="ru-RU" w:bidi="ru-RU"/>
        </w:rPr>
        <w:t>Текущее использование номеров E.164 в качестве идентификаторов для OTT</w:t>
      </w:r>
      <w:r w:rsidRPr="00AD0986">
        <w:rPr>
          <w:lang w:val="ru-RU" w:bidi="ru-RU"/>
        </w:rPr>
        <w:t>" и проект Рекомендации МСЭ-T E.ACP "</w:t>
      </w:r>
      <w:r w:rsidRPr="00AD0986">
        <w:rPr>
          <w:i/>
          <w:lang w:val="ru-RU" w:bidi="ru-RU"/>
        </w:rPr>
        <w:t>Альтернативные процедуры вызова</w:t>
      </w:r>
      <w:r w:rsidRPr="00AD0986">
        <w:rPr>
          <w:lang w:val="ru-RU" w:bidi="ru-RU"/>
        </w:rPr>
        <w:t xml:space="preserve">"), и </w:t>
      </w:r>
      <w:r w:rsidR="00070BD0" w:rsidRPr="00AD0986">
        <w:rPr>
          <w:b/>
          <w:lang w:val="ru-RU" w:bidi="ru-RU"/>
        </w:rPr>
        <w:t>ИК</w:t>
      </w:r>
      <w:r w:rsidRPr="00AD0986">
        <w:rPr>
          <w:b/>
          <w:lang w:val="ru-RU" w:bidi="ru-RU"/>
        </w:rPr>
        <w:t>3 МСЭ-Т</w:t>
      </w:r>
      <w:r w:rsidRPr="00BD0126">
        <w:rPr>
          <w:bCs/>
          <w:lang w:val="ru-RU" w:bidi="ru-RU"/>
        </w:rPr>
        <w:t xml:space="preserve"> </w:t>
      </w:r>
      <w:r w:rsidRPr="00AD0986">
        <w:rPr>
          <w:lang w:val="ru-RU" w:bidi="ru-RU"/>
        </w:rPr>
        <w:t xml:space="preserve">утвердила одну региональную Рекомендацию для Африки по обходной схеме на основе OTT в голосовой связи и в настоящее время готовит два технических отчета для изучения экономических и политических аспектов OTT. </w:t>
      </w:r>
      <w:r w:rsidR="002A33DD" w:rsidRPr="00AD0986">
        <w:rPr>
          <w:lang w:val="ru-RU" w:bidi="ru-RU"/>
        </w:rPr>
        <w:t xml:space="preserve">В Женеве 3–4 ноября 2022 года прошел семинар-практикум </w:t>
      </w:r>
      <w:r w:rsidRPr="00AD0986">
        <w:rPr>
          <w:lang w:val="ru-RU" w:bidi="ru-RU"/>
        </w:rPr>
        <w:t xml:space="preserve">МСЭ </w:t>
      </w:r>
      <w:hyperlink r:id="rId53" w:history="1">
        <w:r w:rsidR="002A33DD" w:rsidRPr="00AD0986">
          <w:rPr>
            <w:rStyle w:val="Hyperlink"/>
            <w:lang w:val="ru-RU" w:bidi="ru-RU"/>
          </w:rPr>
          <w:t>"Экономические и налоговые стимулы для ускорения цифровой трансформации данных и приложений в инфраструктуре электросвязи"</w:t>
        </w:r>
      </w:hyperlink>
      <w:r w:rsidRPr="00AD0986">
        <w:rPr>
          <w:lang w:val="ru-RU" w:bidi="ru-RU"/>
        </w:rPr>
        <w:t>.</w:t>
      </w:r>
    </w:p>
    <w:p w14:paraId="10BC464D" w14:textId="08784FB6" w:rsidR="001E1DF0" w:rsidRPr="00AD0986" w:rsidRDefault="001E1DF0" w:rsidP="001E1DF0">
      <w:pPr>
        <w:spacing w:before="720"/>
        <w:jc w:val="center"/>
        <w:rPr>
          <w:lang w:val="ru-RU"/>
        </w:rPr>
      </w:pPr>
      <w:r w:rsidRPr="00AD0986">
        <w:rPr>
          <w:lang w:val="ru-RU" w:bidi="ru-RU"/>
        </w:rPr>
        <w:t>______________</w:t>
      </w:r>
    </w:p>
    <w:sectPr w:rsidR="001E1DF0" w:rsidRPr="00AD0986" w:rsidSect="00796BD3">
      <w:footerReference w:type="default" r:id="rId54"/>
      <w:headerReference w:type="first" r:id="rId55"/>
      <w:footerReference w:type="first" r:id="rId5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761B" w14:textId="77777777" w:rsidR="0085661E" w:rsidRDefault="0085661E">
      <w:r>
        <w:separator/>
      </w:r>
    </w:p>
  </w:endnote>
  <w:endnote w:type="continuationSeparator" w:id="0">
    <w:p w14:paraId="6B47F6D0" w14:textId="77777777" w:rsidR="0085661E" w:rsidRDefault="008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009ECCED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  <w:lang w:val="ru-RU" w:bidi="ru-RU"/>
            </w:rPr>
            <w:t>DPS 521067</w:t>
          </w:r>
        </w:p>
      </w:tc>
      <w:tc>
        <w:tcPr>
          <w:tcW w:w="8261" w:type="dxa"/>
        </w:tcPr>
        <w:p w14:paraId="66D4967C" w14:textId="2919ABC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C23/33-R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797EF0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2C20125C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C23/33-R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D363" w14:textId="77777777" w:rsidR="0085661E" w:rsidRDefault="0085661E">
      <w:r>
        <w:t>____________________</w:t>
      </w:r>
    </w:p>
  </w:footnote>
  <w:footnote w:type="continuationSeparator" w:id="0">
    <w:p w14:paraId="7BDC361E" w14:textId="77777777" w:rsidR="0085661E" w:rsidRDefault="0085661E">
      <w:r>
        <w:continuationSeparator/>
      </w:r>
    </w:p>
  </w:footnote>
  <w:footnote w:id="1">
    <w:p w14:paraId="071926AC" w14:textId="050AEA8A" w:rsidR="00046356" w:rsidRPr="001A3637" w:rsidRDefault="00046356" w:rsidP="006925D7">
      <w:pPr>
        <w:pStyle w:val="FootnoteText"/>
        <w:rPr>
          <w:lang w:val="ru-RU"/>
        </w:rPr>
      </w:pPr>
      <w:r w:rsidRPr="006925D7">
        <w:rPr>
          <w:rStyle w:val="FootnoteReference"/>
          <w:lang w:val="ru-RU" w:bidi="ru-RU"/>
        </w:rPr>
        <w:footnoteRef/>
      </w:r>
      <w:r w:rsidRPr="006925D7">
        <w:rPr>
          <w:lang w:val="ru-RU" w:bidi="ru-RU"/>
        </w:rPr>
        <w:tab/>
        <w:t>Это общее количество новых/пересмотренных Рекомендаций МСЭ-Т и других текстов, которые были утверждены в период с 1 марта 2022 года по 20 апреля 2023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  <w:lang w:val="ru-RU" w:bidi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2"/>
  <w:p w14:paraId="27EDD1C2" w14:textId="77777777" w:rsidR="00796BD3" w:rsidRDefault="00796BD3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370B2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997B80"/>
    <w:multiLevelType w:val="hybridMultilevel"/>
    <w:tmpl w:val="B3D69926"/>
    <w:lvl w:ilvl="0" w:tplc="AF2A8B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C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4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E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9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300"/>
    <w:multiLevelType w:val="hybridMultilevel"/>
    <w:tmpl w:val="67383494"/>
    <w:lvl w:ilvl="0" w:tplc="59AE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6B52E" w:tentative="1">
      <w:start w:val="1"/>
      <w:numFmt w:val="lowerLetter"/>
      <w:lvlText w:val="%2."/>
      <w:lvlJc w:val="left"/>
      <w:pPr>
        <w:ind w:left="1080" w:hanging="360"/>
      </w:pPr>
    </w:lvl>
    <w:lvl w:ilvl="2" w:tplc="53D0BF02" w:tentative="1">
      <w:start w:val="1"/>
      <w:numFmt w:val="lowerRoman"/>
      <w:lvlText w:val="%3."/>
      <w:lvlJc w:val="right"/>
      <w:pPr>
        <w:ind w:left="1800" w:hanging="180"/>
      </w:pPr>
    </w:lvl>
    <w:lvl w:ilvl="3" w:tplc="43FA3B46" w:tentative="1">
      <w:start w:val="1"/>
      <w:numFmt w:val="decimal"/>
      <w:lvlText w:val="%4."/>
      <w:lvlJc w:val="left"/>
      <w:pPr>
        <w:ind w:left="2520" w:hanging="360"/>
      </w:pPr>
    </w:lvl>
    <w:lvl w:ilvl="4" w:tplc="377CE9CA" w:tentative="1">
      <w:start w:val="1"/>
      <w:numFmt w:val="lowerLetter"/>
      <w:lvlText w:val="%5."/>
      <w:lvlJc w:val="left"/>
      <w:pPr>
        <w:ind w:left="3240" w:hanging="360"/>
      </w:pPr>
    </w:lvl>
    <w:lvl w:ilvl="5" w:tplc="857C708A" w:tentative="1">
      <w:start w:val="1"/>
      <w:numFmt w:val="lowerRoman"/>
      <w:lvlText w:val="%6."/>
      <w:lvlJc w:val="right"/>
      <w:pPr>
        <w:ind w:left="3960" w:hanging="180"/>
      </w:pPr>
    </w:lvl>
    <w:lvl w:ilvl="6" w:tplc="0152FFFA" w:tentative="1">
      <w:start w:val="1"/>
      <w:numFmt w:val="decimal"/>
      <w:lvlText w:val="%7."/>
      <w:lvlJc w:val="left"/>
      <w:pPr>
        <w:ind w:left="4680" w:hanging="360"/>
      </w:pPr>
    </w:lvl>
    <w:lvl w:ilvl="7" w:tplc="DFD458B0" w:tentative="1">
      <w:start w:val="1"/>
      <w:numFmt w:val="lowerLetter"/>
      <w:lvlText w:val="%8."/>
      <w:lvlJc w:val="left"/>
      <w:pPr>
        <w:ind w:left="5400" w:hanging="360"/>
      </w:pPr>
    </w:lvl>
    <w:lvl w:ilvl="8" w:tplc="C0CE0F0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14952">
    <w:abstractNumId w:val="0"/>
  </w:num>
  <w:num w:numId="2" w16cid:durableId="1275284262">
    <w:abstractNumId w:val="2"/>
  </w:num>
  <w:num w:numId="3" w16cid:durableId="774254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23EEA"/>
    <w:rsid w:val="00046356"/>
    <w:rsid w:val="00046B40"/>
    <w:rsid w:val="000569B4"/>
    <w:rsid w:val="000579E3"/>
    <w:rsid w:val="00070BD0"/>
    <w:rsid w:val="00080E82"/>
    <w:rsid w:val="000A0DD4"/>
    <w:rsid w:val="000A63DE"/>
    <w:rsid w:val="000B2DE7"/>
    <w:rsid w:val="000C75EB"/>
    <w:rsid w:val="000D2148"/>
    <w:rsid w:val="000E464E"/>
    <w:rsid w:val="000E568E"/>
    <w:rsid w:val="000E6E6F"/>
    <w:rsid w:val="00126230"/>
    <w:rsid w:val="0014734F"/>
    <w:rsid w:val="00156E9A"/>
    <w:rsid w:val="00156FF3"/>
    <w:rsid w:val="0015710D"/>
    <w:rsid w:val="00163A32"/>
    <w:rsid w:val="001648B6"/>
    <w:rsid w:val="00165D06"/>
    <w:rsid w:val="00192B41"/>
    <w:rsid w:val="001A1ABA"/>
    <w:rsid w:val="001A3637"/>
    <w:rsid w:val="001A6130"/>
    <w:rsid w:val="001B7B09"/>
    <w:rsid w:val="001E1DF0"/>
    <w:rsid w:val="001E6719"/>
    <w:rsid w:val="001E7F50"/>
    <w:rsid w:val="00225368"/>
    <w:rsid w:val="00227FF0"/>
    <w:rsid w:val="002362E4"/>
    <w:rsid w:val="00291EB6"/>
    <w:rsid w:val="00297970"/>
    <w:rsid w:val="002A33DD"/>
    <w:rsid w:val="002B5F25"/>
    <w:rsid w:val="002C525C"/>
    <w:rsid w:val="002D2F57"/>
    <w:rsid w:val="002D45E9"/>
    <w:rsid w:val="002D48C5"/>
    <w:rsid w:val="002E5B64"/>
    <w:rsid w:val="0030351A"/>
    <w:rsid w:val="0033025A"/>
    <w:rsid w:val="00364EF8"/>
    <w:rsid w:val="00371F31"/>
    <w:rsid w:val="0037378C"/>
    <w:rsid w:val="00375C6C"/>
    <w:rsid w:val="003E198F"/>
    <w:rsid w:val="003F099E"/>
    <w:rsid w:val="003F235E"/>
    <w:rsid w:val="004023E0"/>
    <w:rsid w:val="00403DD8"/>
    <w:rsid w:val="00416129"/>
    <w:rsid w:val="00434B1D"/>
    <w:rsid w:val="00442515"/>
    <w:rsid w:val="0045686C"/>
    <w:rsid w:val="004918C4"/>
    <w:rsid w:val="00497703"/>
    <w:rsid w:val="004A0374"/>
    <w:rsid w:val="004A45B5"/>
    <w:rsid w:val="004B2212"/>
    <w:rsid w:val="004C4D58"/>
    <w:rsid w:val="004D0129"/>
    <w:rsid w:val="00501A78"/>
    <w:rsid w:val="00502BEB"/>
    <w:rsid w:val="005039F9"/>
    <w:rsid w:val="00535D60"/>
    <w:rsid w:val="00540B41"/>
    <w:rsid w:val="00542FF5"/>
    <w:rsid w:val="00547419"/>
    <w:rsid w:val="00566BEE"/>
    <w:rsid w:val="00594285"/>
    <w:rsid w:val="005951AB"/>
    <w:rsid w:val="005A64D5"/>
    <w:rsid w:val="005B00E0"/>
    <w:rsid w:val="005B3DEC"/>
    <w:rsid w:val="00601994"/>
    <w:rsid w:val="00645C08"/>
    <w:rsid w:val="006664A6"/>
    <w:rsid w:val="00672F8A"/>
    <w:rsid w:val="006925D7"/>
    <w:rsid w:val="006E2D42"/>
    <w:rsid w:val="00703676"/>
    <w:rsid w:val="00707304"/>
    <w:rsid w:val="00732269"/>
    <w:rsid w:val="00752824"/>
    <w:rsid w:val="00756DEC"/>
    <w:rsid w:val="00760596"/>
    <w:rsid w:val="00762151"/>
    <w:rsid w:val="00763CEA"/>
    <w:rsid w:val="00785ABD"/>
    <w:rsid w:val="00796BD3"/>
    <w:rsid w:val="007A2DD4"/>
    <w:rsid w:val="007B2700"/>
    <w:rsid w:val="007D0A87"/>
    <w:rsid w:val="007D38B5"/>
    <w:rsid w:val="007E13DC"/>
    <w:rsid w:val="007E7EA0"/>
    <w:rsid w:val="00802E0C"/>
    <w:rsid w:val="00807255"/>
    <w:rsid w:val="0081023E"/>
    <w:rsid w:val="008173AA"/>
    <w:rsid w:val="008305DD"/>
    <w:rsid w:val="0083082D"/>
    <w:rsid w:val="00840A14"/>
    <w:rsid w:val="0085661E"/>
    <w:rsid w:val="0087664B"/>
    <w:rsid w:val="00897A26"/>
    <w:rsid w:val="008B258B"/>
    <w:rsid w:val="008B62B4"/>
    <w:rsid w:val="008C4D9C"/>
    <w:rsid w:val="008D2D7B"/>
    <w:rsid w:val="008E0737"/>
    <w:rsid w:val="008E7822"/>
    <w:rsid w:val="008E7C67"/>
    <w:rsid w:val="008F78AA"/>
    <w:rsid w:val="008F7C2C"/>
    <w:rsid w:val="009038B1"/>
    <w:rsid w:val="00940E96"/>
    <w:rsid w:val="00990575"/>
    <w:rsid w:val="0099131E"/>
    <w:rsid w:val="009B0BAE"/>
    <w:rsid w:val="009C1C89"/>
    <w:rsid w:val="009F3448"/>
    <w:rsid w:val="009F4FE9"/>
    <w:rsid w:val="009F5ACE"/>
    <w:rsid w:val="00A01CF9"/>
    <w:rsid w:val="00A31234"/>
    <w:rsid w:val="00A71773"/>
    <w:rsid w:val="00AD0986"/>
    <w:rsid w:val="00AE24F5"/>
    <w:rsid w:val="00AE2C85"/>
    <w:rsid w:val="00B12A37"/>
    <w:rsid w:val="00B166EF"/>
    <w:rsid w:val="00B41837"/>
    <w:rsid w:val="00B63EF2"/>
    <w:rsid w:val="00BA7D89"/>
    <w:rsid w:val="00BB504F"/>
    <w:rsid w:val="00BC00DA"/>
    <w:rsid w:val="00BC0D39"/>
    <w:rsid w:val="00BC7BC0"/>
    <w:rsid w:val="00BD0126"/>
    <w:rsid w:val="00BD57B7"/>
    <w:rsid w:val="00BE63E2"/>
    <w:rsid w:val="00BF2001"/>
    <w:rsid w:val="00C07779"/>
    <w:rsid w:val="00C6384C"/>
    <w:rsid w:val="00C71B8F"/>
    <w:rsid w:val="00C73621"/>
    <w:rsid w:val="00C961A8"/>
    <w:rsid w:val="00CB367D"/>
    <w:rsid w:val="00CD2009"/>
    <w:rsid w:val="00CF629C"/>
    <w:rsid w:val="00D30C03"/>
    <w:rsid w:val="00D62A47"/>
    <w:rsid w:val="00D67150"/>
    <w:rsid w:val="00D9146E"/>
    <w:rsid w:val="00D92EEA"/>
    <w:rsid w:val="00D93B6E"/>
    <w:rsid w:val="00DA35E1"/>
    <w:rsid w:val="00DA5D4E"/>
    <w:rsid w:val="00DC600B"/>
    <w:rsid w:val="00DE2467"/>
    <w:rsid w:val="00DF11F6"/>
    <w:rsid w:val="00E176BA"/>
    <w:rsid w:val="00E34F84"/>
    <w:rsid w:val="00E40E38"/>
    <w:rsid w:val="00E423EC"/>
    <w:rsid w:val="00E55121"/>
    <w:rsid w:val="00E80243"/>
    <w:rsid w:val="00E95125"/>
    <w:rsid w:val="00EB4FCB"/>
    <w:rsid w:val="00EC6BC5"/>
    <w:rsid w:val="00ED4075"/>
    <w:rsid w:val="00F04B23"/>
    <w:rsid w:val="00F35898"/>
    <w:rsid w:val="00F41212"/>
    <w:rsid w:val="00F5225B"/>
    <w:rsid w:val="00FE4D99"/>
    <w:rsid w:val="00FE5701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098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0986"/>
    <w:rPr>
      <w:rFonts w:ascii="Calibri" w:hAnsi="Calibri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Pl,Recommendation,SGLText List Paragraph,b1,b1 + Justified,list1,new"/>
    <w:basedOn w:val="Normal"/>
    <w:link w:val="ListParagraphChar"/>
    <w:uiPriority w:val="34"/>
    <w:qFormat/>
    <w:rsid w:val="00371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Cs w:val="22"/>
      <w:lang w:eastAsia="en-GB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371F31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71F31"/>
  </w:style>
  <w:style w:type="character" w:customStyle="1" w:styleId="ui-provider">
    <w:name w:val="ui-provider"/>
    <w:basedOn w:val="DefaultParagraphFont"/>
    <w:rsid w:val="00371F31"/>
  </w:style>
  <w:style w:type="character" w:customStyle="1" w:styleId="apple-style-span">
    <w:name w:val="apple-style-span"/>
    <w:basedOn w:val="DefaultParagraphFont"/>
    <w:rsid w:val="007E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publications.aspx?lang=en&amp;parent=T-RES-T.49-2016" TargetMode="External"/><Relationship Id="rId18" Type="http://schemas.openxmlformats.org/officeDocument/2006/relationships/hyperlink" Target="https://www.itu.int/pub/publications.aspx?lang=en&amp;parent=T-RES-T.64-2022" TargetMode="External"/><Relationship Id="rId26" Type="http://schemas.openxmlformats.org/officeDocument/2006/relationships/hyperlink" Target="https://www.itu.int/md/S17-CL-C-0033/en" TargetMode="External"/><Relationship Id="rId39" Type="http://schemas.openxmlformats.org/officeDocument/2006/relationships/hyperlink" Target="https://www.itu.int/net/ITU-T/res69/Default.aspx" TargetMode="External"/><Relationship Id="rId21" Type="http://schemas.openxmlformats.org/officeDocument/2006/relationships/hyperlink" Target="https://www.itu.int/pub/publications.aspx?lang=en&amp;parent=T-RES-T.98-2022" TargetMode="External"/><Relationship Id="rId34" Type="http://schemas.openxmlformats.org/officeDocument/2006/relationships/hyperlink" Target="https://www.itu.int/en/ITU-T/focusgroups/tbfxg/Pages/default.aspx" TargetMode="External"/><Relationship Id="rId42" Type="http://schemas.openxmlformats.org/officeDocument/2006/relationships/hyperlink" Target="https://academy.itu.int/" TargetMode="External"/><Relationship Id="rId47" Type="http://schemas.openxmlformats.org/officeDocument/2006/relationships/hyperlink" Target="https://www.itu.int/net4/ITU-D/CDS/sg/rgqlist.asp?lg=1&amp;sp=2014&amp;rgq=D14-SG01-RGQ01.1&amp;stg=1" TargetMode="External"/><Relationship Id="rId50" Type="http://schemas.openxmlformats.org/officeDocument/2006/relationships/hyperlink" Target="https://www.itu.int/en/council/cwg-internet/Pages/default.aspx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itu.int/en/council/Documents/basic-texts-2023/RES-101-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pub/publications.aspx?lang=en&amp;parent=T-RES-T.58-2022" TargetMode="External"/><Relationship Id="rId29" Type="http://schemas.openxmlformats.org/officeDocument/2006/relationships/hyperlink" Target="https://www.itu.int/md/S20-CL-C-0033/en" TargetMode="External"/><Relationship Id="rId11" Type="http://schemas.openxmlformats.org/officeDocument/2006/relationships/hyperlink" Target="https://www.itu.int/pub/publications.aspx?lang=en&amp;parent=T-RES-T.47-2022" TargetMode="External"/><Relationship Id="rId24" Type="http://schemas.openxmlformats.org/officeDocument/2006/relationships/hyperlink" Target="http://www.itu.int/en/action/internet/Documents/Resolution_45_wtdc14.pdf" TargetMode="External"/><Relationship Id="rId32" Type="http://schemas.openxmlformats.org/officeDocument/2006/relationships/hyperlink" Target="https://www.itu.int/itu-t/workprog/wp_search.aspx?isn_sp=8265&amp;isn_status=-1,2&amp;adf=2022-03-01&amp;adt=2023-07-31&amp;pg_size=100&amp;details=0&amp;field=acdefghijo" TargetMode="External"/><Relationship Id="rId37" Type="http://schemas.openxmlformats.org/officeDocument/2006/relationships/hyperlink" Target="https://www.itu.int/en/ITU-T/focusgroups/ai4h" TargetMode="External"/><Relationship Id="rId40" Type="http://schemas.openxmlformats.org/officeDocument/2006/relationships/hyperlink" Target="https://www.itu.int/net/ITU-T/res69/secured/notifications.aspx" TargetMode="External"/><Relationship Id="rId45" Type="http://schemas.openxmlformats.org/officeDocument/2006/relationships/hyperlink" Target="https://www.itu.int/en/ITU-D/Regional-Presence/ArabStates/Pages/Projects/IPv6%26IoT/IPV6-IOT.aspx" TargetMode="External"/><Relationship Id="rId53" Type="http://schemas.openxmlformats.org/officeDocument/2006/relationships/hyperlink" Target="https://www.itu.int/en/ITU-T/Workshops-and-Seminars/2022/1103/Pages/default.aspx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.itu.int/pub/publications.aspx?lang=en&amp;parent=T-RES-T.69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5-CL-C-0113/en" TargetMode="External"/><Relationship Id="rId14" Type="http://schemas.openxmlformats.org/officeDocument/2006/relationships/hyperlink" Target="https://www.itu.int/pub/publications.aspx?lang=en&amp;parent=T-RES-T.50-2022" TargetMode="External"/><Relationship Id="rId22" Type="http://schemas.openxmlformats.org/officeDocument/2006/relationships/hyperlink" Target="https://www.itu.int/en/ITU-D/Conferences/WTDC/WTDC17/Documents/WTDC17_FinalReport_en.pdf" TargetMode="External"/><Relationship Id="rId27" Type="http://schemas.openxmlformats.org/officeDocument/2006/relationships/hyperlink" Target="https://www.itu.int/md/S18-CL-C-0033/en" TargetMode="External"/><Relationship Id="rId30" Type="http://schemas.openxmlformats.org/officeDocument/2006/relationships/hyperlink" Target="https://www.itu.int/md/S21-CL-C-0033/en" TargetMode="External"/><Relationship Id="rId35" Type="http://schemas.openxmlformats.org/officeDocument/2006/relationships/hyperlink" Target="https://www.itu.int/en/ITU-T/focusgroups/ai4ndm/Pages/default.aspx" TargetMode="External"/><Relationship Id="rId43" Type="http://schemas.openxmlformats.org/officeDocument/2006/relationships/hyperlink" Target="https://academy.itu.int/itu-d/projects-activities/centres-excellence/coe-overview" TargetMode="External"/><Relationship Id="rId48" Type="http://schemas.openxmlformats.org/officeDocument/2006/relationships/hyperlink" Target="https://www.itu.int/en/ITU-D/Study-Groups/2018-2021/Pages/Publications.aspx" TargetMode="External"/><Relationship Id="rId56" Type="http://schemas.openxmlformats.org/officeDocument/2006/relationships/footer" Target="footer2.xml"/><Relationship Id="rId8" Type="http://schemas.openxmlformats.org/officeDocument/2006/relationships/hyperlink" Target="http://www.itu.int/md/S09-CL-C-0105" TargetMode="External"/><Relationship Id="rId51" Type="http://schemas.openxmlformats.org/officeDocument/2006/relationships/hyperlink" Target="http://www.itu.int/ITU-T/inr/enu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pub/publications.aspx?lang=en&amp;parent=T-RES-T.48-2022" TargetMode="External"/><Relationship Id="rId17" Type="http://schemas.openxmlformats.org/officeDocument/2006/relationships/hyperlink" Target="https://www.itu.int/pub/publications.aspx?lang=en&amp;parent=T-RES-T.60-2022" TargetMode="External"/><Relationship Id="rId25" Type="http://schemas.openxmlformats.org/officeDocument/2006/relationships/hyperlink" Target="http://www.itu.int/md/S16-CL-C-0033/en" TargetMode="External"/><Relationship Id="rId33" Type="http://schemas.openxmlformats.org/officeDocument/2006/relationships/hyperlink" Target="https://www.itu.int/en/ITU-T/focusgroups/mv/Pages/default.aspx" TargetMode="External"/><Relationship Id="rId38" Type="http://schemas.openxmlformats.org/officeDocument/2006/relationships/hyperlink" Target="https://www.itu.int/en/ITU-T/focusgroups/ai4a/Pages/default.aspx" TargetMode="External"/><Relationship Id="rId46" Type="http://schemas.openxmlformats.org/officeDocument/2006/relationships/hyperlink" Target="https://www.itu.int/pub/D-STG-SG01.01.1-2017" TargetMode="External"/><Relationship Id="rId20" Type="http://schemas.openxmlformats.org/officeDocument/2006/relationships/hyperlink" Target="https://www.itu.int/pub/publications.aspx?lang=en&amp;parent=T-RES-T.75-2022" TargetMode="External"/><Relationship Id="rId41" Type="http://schemas.openxmlformats.org/officeDocument/2006/relationships/hyperlink" Target="https://www.itu.int/md/S23-CL-C-0035/en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pub/publications.aspx?lang=en&amp;parent=T-RES-T.52-2022" TargetMode="External"/><Relationship Id="rId23" Type="http://schemas.openxmlformats.org/officeDocument/2006/relationships/hyperlink" Target="https://www.itu.int/en/ITU-D/Conferences/WTDC/WTDC17/Documents/WTDC17_FinalReport_en.pdf" TargetMode="External"/><Relationship Id="rId28" Type="http://schemas.openxmlformats.org/officeDocument/2006/relationships/hyperlink" Target="https://www.itu.int/md/S19-CL-C-0033/en" TargetMode="External"/><Relationship Id="rId36" Type="http://schemas.openxmlformats.org/officeDocument/2006/relationships/hyperlink" Target="https://www.itu.int/en/ITU-T/focusgroups/an/Pages/default.aspx" TargetMode="External"/><Relationship Id="rId49" Type="http://schemas.openxmlformats.org/officeDocument/2006/relationships/hyperlink" Target="https://www.itu.int/md/S22-CL-C-0058/e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tu.int/md/S15-CL-C-0112/en" TargetMode="External"/><Relationship Id="rId31" Type="http://schemas.openxmlformats.org/officeDocument/2006/relationships/hyperlink" Target="https://www.itu.int/md/S22-CL-C-0033/en" TargetMode="External"/><Relationship Id="rId44" Type="http://schemas.openxmlformats.org/officeDocument/2006/relationships/hyperlink" Target="https://www.itu.int/en/ITU-T/ipv6/Pages/default.aspx" TargetMode="External"/><Relationship Id="rId52" Type="http://schemas.openxmlformats.org/officeDocument/2006/relationships/hyperlink" Target="https://bbmaps.itu.int/bbmap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1650</Words>
  <Characters>14721</Characters>
  <Application>Microsoft Office Word</Application>
  <DocSecurity>0</DocSecurity>
  <Lines>122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16339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Internet activities: Resolutions 101, 102, 133, 180 and 206</dc:title>
  <dc:subject>Council 2023</dc:subject>
  <dc:creator>Antipina, Nadezda</dc:creator>
  <cp:keywords>C2023, C23, Council-23</cp:keywords>
  <dc:description/>
  <cp:lastModifiedBy>Xue, Kun</cp:lastModifiedBy>
  <cp:revision>5</cp:revision>
  <cp:lastPrinted>2006-03-28T16:12:00Z</cp:lastPrinted>
  <dcterms:created xsi:type="dcterms:W3CDTF">2023-07-02T20:27:00Z</dcterms:created>
  <dcterms:modified xsi:type="dcterms:W3CDTF">2023-07-02T20:30:00Z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