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03923FAB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E629C1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F0CB53A" w14:textId="620AA115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E629C1">
              <w:rPr>
                <w:b/>
              </w:rPr>
              <w:t>29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0E9534D8" w:rsidR="00AD3606" w:rsidRPr="00E85629" w:rsidRDefault="00AF649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16 </w:t>
            </w:r>
            <w:r w:rsidR="00E629C1">
              <w:rPr>
                <w:b/>
              </w:rPr>
              <w:t>May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41400723" w:rsidR="00AD3606" w:rsidRPr="00813E5E" w:rsidRDefault="00E629C1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 w:rsidRPr="00E629C1">
              <w:t>TASKS AND FUNCTIONS OF THE DEPUTY SECRETARY-GENERAL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16010412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01EEEAC5" w14:textId="4D71EFD0" w:rsidR="00AD3606" w:rsidRPr="00813E5E" w:rsidRDefault="00E629C1" w:rsidP="00F16BAB">
            <w:r w:rsidRPr="00E629C1">
              <w:t>This report is prepared in line with Resolution 148 (Rev.</w:t>
            </w:r>
            <w:r>
              <w:t> </w:t>
            </w:r>
            <w:r w:rsidRPr="00E629C1">
              <w:t>Bucharest, 2022</w:t>
            </w:r>
            <w:r w:rsidR="00195FC8">
              <w:t>) of the Plenipotentiary Conference</w:t>
            </w:r>
            <w:r w:rsidRPr="00E629C1">
              <w:t>,</w:t>
            </w:r>
            <w:r w:rsidR="00195FC8">
              <w:t xml:space="preserve"> </w:t>
            </w:r>
            <w:r w:rsidRPr="00E629C1">
              <w:t>which instructs the Secretary-General to prepare specific directives on the tasks delegated to the Deputy Secretary-General, in accordance with Article 11</w:t>
            </w:r>
            <w:r>
              <w:t> </w:t>
            </w:r>
            <w:r w:rsidRPr="00E629C1">
              <w:t xml:space="preserve">of the </w:t>
            </w:r>
            <w:r w:rsidR="00B360BD">
              <w:t xml:space="preserve">ITU </w:t>
            </w:r>
            <w:r w:rsidRPr="00E629C1">
              <w:t xml:space="preserve">Constitution and Article 5 of the </w:t>
            </w:r>
            <w:r w:rsidR="00B360BD">
              <w:t xml:space="preserve">ITU </w:t>
            </w:r>
            <w:r w:rsidRPr="00E629C1">
              <w:t xml:space="preserve">Convention, and submit them to the next ordinary session of the </w:t>
            </w:r>
            <w:r w:rsidR="00F6777A">
              <w:t xml:space="preserve">ITU </w:t>
            </w:r>
            <w:r w:rsidRPr="00E629C1">
              <w:t xml:space="preserve">Council for its consideration, as appropriate; </w:t>
            </w:r>
            <w:r w:rsidR="00B360BD">
              <w:t xml:space="preserve">and </w:t>
            </w:r>
            <w:r w:rsidRPr="00E629C1">
              <w:t>to issue clear and specific directives on the tasks delegated to the Deputy Secretary-General, and make them available to the membership of the Union, as well as to the staff of ITU.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3D57EDF8" w14:textId="3FEFE9CF" w:rsidR="00AD3606" w:rsidRPr="00484009" w:rsidRDefault="00E629C1" w:rsidP="00AD3606">
            <w:r w:rsidRPr="00E629C1">
              <w:t xml:space="preserve">The Council is invited </w:t>
            </w:r>
            <w:r w:rsidRPr="00E629C1">
              <w:rPr>
                <w:b/>
                <w:bCs/>
              </w:rPr>
              <w:t>to note</w:t>
            </w:r>
            <w:r w:rsidRPr="00E629C1">
              <w:t xml:space="preserve"> this report.</w:t>
            </w:r>
          </w:p>
          <w:p w14:paraId="71511FA1" w14:textId="1F544385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A54171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503749D7" w14:textId="38885FB3" w:rsidR="00F16BAB" w:rsidRPr="00F16BAB" w:rsidRDefault="00E629C1" w:rsidP="00F16BAB">
            <w:r w:rsidRPr="00E629C1">
              <w:t>Excellence in human resources and organizational innovation</w:t>
            </w:r>
            <w:r>
              <w:t>.</w:t>
            </w:r>
          </w:p>
          <w:p w14:paraId="78C18AC7" w14:textId="2709D901" w:rsidR="00B360B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67EFFFFC" w:rsidR="00F16BAB" w:rsidRDefault="00B360BD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szCs w:val="24"/>
              </w:rPr>
              <w:t>N</w:t>
            </w:r>
            <w:r w:rsidRPr="00E629C1">
              <w:rPr>
                <w:szCs w:val="24"/>
              </w:rPr>
              <w:t>one</w:t>
            </w:r>
            <w:r w:rsidR="00F6777A">
              <w:rPr>
                <w:szCs w:val="24"/>
              </w:rPr>
              <w:t>.</w:t>
            </w:r>
          </w:p>
          <w:p w14:paraId="6F1B8B4E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EBC340A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39ED1CE1" w:rsidR="00AD3606" w:rsidRPr="00E629C1" w:rsidRDefault="004826D3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 w:history="1">
              <w:r w:rsidR="00E629C1" w:rsidRPr="00E629C1">
                <w:rPr>
                  <w:rStyle w:val="Hyperlink"/>
                  <w:i/>
                  <w:iCs/>
                  <w:sz w:val="22"/>
                  <w:szCs w:val="22"/>
                </w:rPr>
                <w:t>Resolution 148 (Rev</w:t>
              </w:r>
              <w:r w:rsidR="00F6777A">
                <w:rPr>
                  <w:rStyle w:val="Hyperlink"/>
                  <w:i/>
                  <w:iCs/>
                  <w:sz w:val="22"/>
                  <w:szCs w:val="22"/>
                </w:rPr>
                <w:t>.</w:t>
              </w:r>
              <w:r w:rsidR="00E629C1" w:rsidRPr="00E629C1">
                <w:rPr>
                  <w:rStyle w:val="Hyperlink"/>
                  <w:i/>
                  <w:iCs/>
                  <w:sz w:val="22"/>
                  <w:szCs w:val="22"/>
                </w:rPr>
                <w:t xml:space="preserve"> Bucharest,</w:t>
              </w:r>
              <w:r w:rsidR="00F6777A">
                <w:rPr>
                  <w:rStyle w:val="Hyperlink"/>
                  <w:i/>
                  <w:iCs/>
                  <w:sz w:val="22"/>
                  <w:szCs w:val="22"/>
                </w:rPr>
                <w:t xml:space="preserve"> </w:t>
              </w:r>
              <w:r w:rsidR="00E629C1" w:rsidRPr="00E629C1">
                <w:rPr>
                  <w:rStyle w:val="Hyperlink"/>
                  <w:i/>
                  <w:iCs/>
                  <w:sz w:val="22"/>
                  <w:szCs w:val="22"/>
                </w:rPr>
                <w:t>2022</w:t>
              </w:r>
              <w:r w:rsidR="00195FC8" w:rsidRPr="00195FC8">
                <w:rPr>
                  <w:rStyle w:val="Hyperlink"/>
                  <w:i/>
                  <w:iCs/>
                  <w:sz w:val="22"/>
                  <w:szCs w:val="22"/>
                </w:rPr>
                <w:t>) of the Plenipotentiary Conference</w:t>
              </w:r>
            </w:hyperlink>
          </w:p>
        </w:tc>
      </w:tr>
      <w:bookmarkEnd w:id="5"/>
    </w:tbl>
    <w:p w14:paraId="7FE52F59" w14:textId="77777777" w:rsidR="0090147A" w:rsidRPr="00195FC8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95FC8">
        <w:br w:type="page"/>
      </w:r>
    </w:p>
    <w:p w14:paraId="0A89E710" w14:textId="05F56B2E" w:rsidR="00E629C1" w:rsidRPr="0035086C" w:rsidRDefault="00E629C1" w:rsidP="00E629C1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709" w:hanging="709"/>
        <w:contextualSpacing w:val="0"/>
        <w:textAlignment w:val="auto"/>
      </w:pPr>
      <w:r>
        <w:lastRenderedPageBreak/>
        <w:t>In accordance with No</w:t>
      </w:r>
      <w:r w:rsidR="00B360BD">
        <w:t>.</w:t>
      </w:r>
      <w:r>
        <w:t xml:space="preserve"> 77 of the </w:t>
      </w:r>
      <w:r w:rsidR="00B360BD">
        <w:t xml:space="preserve">ITU </w:t>
      </w:r>
      <w:r>
        <w:t xml:space="preserve">Constitution and </w:t>
      </w:r>
      <w:r w:rsidR="00B360BD">
        <w:t xml:space="preserve">No. </w:t>
      </w:r>
      <w:r>
        <w:t xml:space="preserve">84 of the </w:t>
      </w:r>
      <w:r w:rsidR="00B360BD">
        <w:t xml:space="preserve">ITU </w:t>
      </w:r>
      <w:r>
        <w:t xml:space="preserve">Convention, and pursuant to Resolution 148 (Rev. Bucharest, 2022) of the Plenipotentiary Conference, the tasks delegated to the Deputy Secretary-General are as follows: </w:t>
      </w:r>
    </w:p>
    <w:p w14:paraId="6771FED1" w14:textId="419F7627" w:rsidR="00E629C1" w:rsidRPr="0035086C" w:rsidRDefault="00E629C1" w:rsidP="00E629C1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textAlignment w:val="auto"/>
      </w:pPr>
      <w:r>
        <w:t>The Deputy Secretary-General is granted full authority for all matters concerning the activities of the Conferences and Publications Department, Information Service</w:t>
      </w:r>
      <w:r w:rsidR="00F6777A">
        <w:t>s</w:t>
      </w:r>
      <w:r>
        <w:t xml:space="preserve"> Department and Facilities Management and Building Project Division, including the establishment and implementation of plans and activities, preparation of cost-based budget estimates, and presentation of reports on their activities to </w:t>
      </w:r>
      <w:r w:rsidR="00B360BD">
        <w:t xml:space="preserve">the </w:t>
      </w:r>
      <w:r>
        <w:t xml:space="preserve">ITU Council. Other </w:t>
      </w:r>
      <w:r w:rsidR="00B360BD">
        <w:t>d</w:t>
      </w:r>
      <w:r>
        <w:t xml:space="preserve">epartments and </w:t>
      </w:r>
      <w:r w:rsidR="00B360BD">
        <w:t>u</w:t>
      </w:r>
      <w:r>
        <w:t xml:space="preserve">nits of the General Secretariat remain under the authority of the Secretary-General. </w:t>
      </w:r>
    </w:p>
    <w:p w14:paraId="1B4985FF" w14:textId="5310D408" w:rsidR="00E629C1" w:rsidRPr="001E2A27" w:rsidRDefault="00E629C1" w:rsidP="00E629C1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textAlignment w:val="auto"/>
      </w:pPr>
      <w:r>
        <w:t xml:space="preserve">Additionally, the Deputy Secretary-General </w:t>
      </w:r>
      <w:r w:rsidR="00B360BD">
        <w:t>sha</w:t>
      </w:r>
      <w:r>
        <w:t>ll support the Secretary-General in implementing the activities of the Strategic Planning and Membership Department, Human Resources Management Department and Financial Resources Management Department by setting, monitoring and assessing departmental performance goals.</w:t>
      </w:r>
    </w:p>
    <w:p w14:paraId="6EA65AF4" w14:textId="5ED57E7B" w:rsidR="00E629C1" w:rsidRPr="0035086C" w:rsidRDefault="00E629C1" w:rsidP="00E629C1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contextualSpacing w:val="0"/>
        <w:textAlignment w:val="auto"/>
      </w:pPr>
      <w:r>
        <w:t xml:space="preserve">Furthermore, the Deputy Secretary-General </w:t>
      </w:r>
      <w:r w:rsidR="00B360BD">
        <w:t xml:space="preserve">shall be </w:t>
      </w:r>
      <w:r>
        <w:t>responsible for implementing inter-</w:t>
      </w:r>
      <w:r w:rsidR="00F6777A">
        <w:t>S</w:t>
      </w:r>
      <w:r>
        <w:t xml:space="preserve">ectoral coordination strategies and mechanisms to strengthen the concept of “One ITU”. </w:t>
      </w:r>
    </w:p>
    <w:p w14:paraId="7EFC423D" w14:textId="4A0C49BB" w:rsidR="00E629C1" w:rsidRPr="0035086C" w:rsidRDefault="00E629C1" w:rsidP="00E629C1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709" w:hanging="709"/>
        <w:contextualSpacing w:val="0"/>
        <w:textAlignment w:val="auto"/>
      </w:pPr>
      <w:r>
        <w:t>Lastly, the Deputy Secretary-General shall perform the duties of the Secretary-General in the absence of the latter, as stipulated in No</w:t>
      </w:r>
      <w:r w:rsidR="00B360BD">
        <w:t>.</w:t>
      </w:r>
      <w:r>
        <w:t xml:space="preserve"> 77 of the Constitution.</w:t>
      </w:r>
    </w:p>
    <w:p w14:paraId="16566EB5" w14:textId="293FD1CC" w:rsidR="00A514A4" w:rsidRDefault="00E629C1" w:rsidP="00E629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</w:pPr>
      <w:r>
        <w:t>Service Order 23/06</w:t>
      </w:r>
      <w:r w:rsidR="00B360BD">
        <w:t>,</w:t>
      </w:r>
      <w:r>
        <w:t xml:space="preserve"> on the </w:t>
      </w:r>
      <w:r w:rsidR="00B360BD">
        <w:t>d</w:t>
      </w:r>
      <w:r>
        <w:t>elegation of authority to the Deputy Secretary-General</w:t>
      </w:r>
      <w:r w:rsidR="00B360BD">
        <w:t>,</w:t>
      </w:r>
      <w:r>
        <w:t xml:space="preserve"> </w:t>
      </w:r>
      <w:r w:rsidR="00B360BD">
        <w:t>w</w:t>
      </w:r>
      <w:r>
        <w:t>as published on 18 April 2023.</w:t>
      </w:r>
    </w:p>
    <w:p w14:paraId="5482DACD" w14:textId="2A47B966" w:rsidR="00E629C1" w:rsidRPr="0090147A" w:rsidRDefault="00E629C1" w:rsidP="00E629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 w:after="120"/>
        <w:jc w:val="center"/>
        <w:textAlignment w:val="auto"/>
        <w:rPr>
          <w:lang w:val="es-ES"/>
        </w:rPr>
      </w:pPr>
      <w:r>
        <w:t>_______________</w:t>
      </w:r>
    </w:p>
    <w:sectPr w:rsidR="00E629C1" w:rsidRPr="0090147A" w:rsidSect="00AD3606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F395" w14:textId="77777777" w:rsidR="00A3379C" w:rsidRDefault="00A3379C">
      <w:r>
        <w:separator/>
      </w:r>
    </w:p>
  </w:endnote>
  <w:endnote w:type="continuationSeparator" w:id="0">
    <w:p w14:paraId="290EA7A4" w14:textId="77777777" w:rsidR="00A3379C" w:rsidRDefault="00A3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605CEF4A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629C1">
            <w:rPr>
              <w:noProof/>
            </w:rPr>
            <w:t>521063</w:t>
          </w:r>
        </w:p>
      </w:tc>
      <w:tc>
        <w:tcPr>
          <w:tcW w:w="8261" w:type="dxa"/>
        </w:tcPr>
        <w:p w14:paraId="35709C74" w14:textId="1405BB74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E629C1">
            <w:rPr>
              <w:bCs/>
            </w:rPr>
            <w:t>29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4826D3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2A773EAE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E629C1">
            <w:rPr>
              <w:bCs/>
            </w:rPr>
            <w:t>29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63EA" w14:textId="77777777" w:rsidR="00A3379C" w:rsidRDefault="00A3379C">
      <w:r>
        <w:t>____________________</w:t>
      </w:r>
    </w:p>
  </w:footnote>
  <w:footnote w:type="continuationSeparator" w:id="0">
    <w:p w14:paraId="784E6230" w14:textId="77777777" w:rsidR="00A3379C" w:rsidRDefault="00A3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315005"/>
    <w:multiLevelType w:val="hybridMultilevel"/>
    <w:tmpl w:val="3AF063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105659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trackRevisions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63016"/>
    <w:rsid w:val="00066795"/>
    <w:rsid w:val="00076AF6"/>
    <w:rsid w:val="00082DC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95FC8"/>
    <w:rsid w:val="001A7D1D"/>
    <w:rsid w:val="001B51DD"/>
    <w:rsid w:val="001C628E"/>
    <w:rsid w:val="001D3498"/>
    <w:rsid w:val="001E0F7B"/>
    <w:rsid w:val="001E2A27"/>
    <w:rsid w:val="001E4E2B"/>
    <w:rsid w:val="002119FD"/>
    <w:rsid w:val="002130E0"/>
    <w:rsid w:val="00226DDE"/>
    <w:rsid w:val="00264425"/>
    <w:rsid w:val="00265875"/>
    <w:rsid w:val="0027303B"/>
    <w:rsid w:val="0028109B"/>
    <w:rsid w:val="00295A66"/>
    <w:rsid w:val="002A2188"/>
    <w:rsid w:val="002B1F58"/>
    <w:rsid w:val="002C1C7A"/>
    <w:rsid w:val="002C54E2"/>
    <w:rsid w:val="0030160F"/>
    <w:rsid w:val="00320223"/>
    <w:rsid w:val="00322D0D"/>
    <w:rsid w:val="0035086C"/>
    <w:rsid w:val="00361465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544D9"/>
    <w:rsid w:val="00472BAD"/>
    <w:rsid w:val="004826D3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379C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F6498"/>
    <w:rsid w:val="00AF6E49"/>
    <w:rsid w:val="00B04A67"/>
    <w:rsid w:val="00B0583C"/>
    <w:rsid w:val="00B360BD"/>
    <w:rsid w:val="00B40A81"/>
    <w:rsid w:val="00B44910"/>
    <w:rsid w:val="00B72267"/>
    <w:rsid w:val="00B76EB6"/>
    <w:rsid w:val="00B7737B"/>
    <w:rsid w:val="00B8077B"/>
    <w:rsid w:val="00B824C8"/>
    <w:rsid w:val="00B84B9D"/>
    <w:rsid w:val="00BC251A"/>
    <w:rsid w:val="00BD032B"/>
    <w:rsid w:val="00BE2640"/>
    <w:rsid w:val="00BE3763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60F04"/>
    <w:rsid w:val="00E629C1"/>
    <w:rsid w:val="00E65B24"/>
    <w:rsid w:val="00E854E4"/>
    <w:rsid w:val="00E86DBF"/>
    <w:rsid w:val="00EB0D6F"/>
    <w:rsid w:val="00EB2232"/>
    <w:rsid w:val="00EC5337"/>
    <w:rsid w:val="00EE3405"/>
    <w:rsid w:val="00EE49E8"/>
    <w:rsid w:val="00F16BAB"/>
    <w:rsid w:val="00F2150A"/>
    <w:rsid w:val="00F231D8"/>
    <w:rsid w:val="00F44C00"/>
    <w:rsid w:val="00F46C5F"/>
    <w:rsid w:val="00F632C0"/>
    <w:rsid w:val="00F6777A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E629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29C1"/>
    <w:pPr>
      <w:ind w:left="720"/>
      <w:contextualSpacing/>
    </w:pPr>
  </w:style>
  <w:style w:type="paragraph" w:styleId="Revision">
    <w:name w:val="Revision"/>
    <w:hidden/>
    <w:uiPriority w:val="99"/>
    <w:semiHidden/>
    <w:rsid w:val="00B8077B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RES-148-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2DF1A-081F-4321-97F5-894B455AA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7E513-E794-465C-B0C8-0A32DC4A4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44C501-7B5B-4825-A1A8-F29DA5FF35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TASKS AND FUNCTIONS OF THE DEPUTY SECRETARY-GENERAL</vt:lpstr>
    </vt:vector>
  </TitlesOfParts>
  <Manager>General Secretariat - Pool</Manager>
  <Company>International Telecommunication Union (ITU)</Company>
  <LinksUpToDate>false</LinksUpToDate>
  <CharactersWithSpaces>2732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TASKS AND FUNCTIONS OF THE DEPUTY SECRETARY-GENERAL</dc:title>
  <dc:subject>Council 2023</dc:subject>
  <dc:creator>Pluchon, Beatrice</dc:creator>
  <cp:keywords>C2023, C23, Council-23</cp:keywords>
  <dc:description/>
  <cp:lastModifiedBy>Xue, Kun</cp:lastModifiedBy>
  <cp:revision>3</cp:revision>
  <cp:lastPrinted>2000-07-18T13:30:00Z</cp:lastPrinted>
  <dcterms:created xsi:type="dcterms:W3CDTF">2023-05-17T10:10:00Z</dcterms:created>
  <dcterms:modified xsi:type="dcterms:W3CDTF">2023-05-17T10:12:00Z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</Properties>
</file>