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6EA614C" w14:textId="77777777" w:rsidTr="00F363FE">
        <w:tc>
          <w:tcPr>
            <w:tcW w:w="6512" w:type="dxa"/>
          </w:tcPr>
          <w:p w14:paraId="5B00C219" w14:textId="35CBE2A3"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BD125F">
              <w:rPr>
                <w:rFonts w:hint="cs"/>
                <w:b/>
                <w:bCs/>
                <w:rtl/>
                <w:lang w:bidi="ar-EG"/>
              </w:rPr>
              <w:t xml:space="preserve"> </w:t>
            </w:r>
            <w:r w:rsidR="00BD125F">
              <w:rPr>
                <w:b/>
                <w:bCs/>
                <w:lang w:bidi="ar-EG"/>
              </w:rPr>
              <w:t>PL 2</w:t>
            </w:r>
          </w:p>
        </w:tc>
        <w:tc>
          <w:tcPr>
            <w:tcW w:w="3117" w:type="dxa"/>
          </w:tcPr>
          <w:p w14:paraId="47230E5A" w14:textId="5D37BB62"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FB5C96">
              <w:rPr>
                <w:b/>
                <w:bCs/>
                <w:lang w:bidi="ar-EG"/>
              </w:rPr>
              <w:t>29</w:t>
            </w:r>
            <w:r w:rsidRPr="007B0AA0">
              <w:rPr>
                <w:b/>
                <w:bCs/>
                <w:lang w:bidi="ar-EG"/>
              </w:rPr>
              <w:t>-A</w:t>
            </w:r>
          </w:p>
        </w:tc>
      </w:tr>
      <w:tr w:rsidR="007B0AA0" w14:paraId="2FC063DD" w14:textId="77777777" w:rsidTr="00F363FE">
        <w:tc>
          <w:tcPr>
            <w:tcW w:w="6512" w:type="dxa"/>
          </w:tcPr>
          <w:p w14:paraId="08A368D8" w14:textId="77777777" w:rsidR="007B0AA0" w:rsidRPr="007B0AA0" w:rsidRDefault="007B0AA0" w:rsidP="00F363FE">
            <w:pPr>
              <w:spacing w:before="60" w:after="60" w:line="260" w:lineRule="exact"/>
              <w:rPr>
                <w:b/>
                <w:bCs/>
                <w:rtl/>
                <w:lang w:bidi="ar-EG"/>
              </w:rPr>
            </w:pPr>
          </w:p>
        </w:tc>
        <w:tc>
          <w:tcPr>
            <w:tcW w:w="3117" w:type="dxa"/>
          </w:tcPr>
          <w:p w14:paraId="7FF9DDD6" w14:textId="559843D5" w:rsidR="007B0AA0" w:rsidRPr="007B0AA0" w:rsidRDefault="00FB5C96" w:rsidP="00F363FE">
            <w:pPr>
              <w:spacing w:before="60" w:after="60" w:line="260" w:lineRule="exact"/>
              <w:rPr>
                <w:b/>
                <w:bCs/>
                <w:rtl/>
                <w:lang w:bidi="ar-EG"/>
              </w:rPr>
            </w:pPr>
            <w:r>
              <w:rPr>
                <w:b/>
                <w:bCs/>
                <w:lang w:bidi="ar-EG"/>
              </w:rPr>
              <w:t>16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2023</w:t>
            </w:r>
          </w:p>
        </w:tc>
      </w:tr>
      <w:tr w:rsidR="007B0AA0" w14:paraId="3E782E3D" w14:textId="77777777" w:rsidTr="00F363FE">
        <w:tc>
          <w:tcPr>
            <w:tcW w:w="6512" w:type="dxa"/>
          </w:tcPr>
          <w:p w14:paraId="02C3D85A" w14:textId="77777777" w:rsidR="007B0AA0" w:rsidRPr="007B0AA0" w:rsidRDefault="007B0AA0" w:rsidP="00F363FE">
            <w:pPr>
              <w:spacing w:before="60" w:after="60" w:line="260" w:lineRule="exact"/>
              <w:rPr>
                <w:b/>
                <w:bCs/>
                <w:rtl/>
                <w:lang w:bidi="ar-EG"/>
              </w:rPr>
            </w:pPr>
          </w:p>
        </w:tc>
        <w:tc>
          <w:tcPr>
            <w:tcW w:w="3117" w:type="dxa"/>
          </w:tcPr>
          <w:p w14:paraId="2E4F979D"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3D1D5E81" w14:textId="77777777" w:rsidTr="00F363FE">
        <w:tc>
          <w:tcPr>
            <w:tcW w:w="6512" w:type="dxa"/>
          </w:tcPr>
          <w:p w14:paraId="2392C097" w14:textId="77777777" w:rsidR="007B0AA0" w:rsidRDefault="007B0AA0" w:rsidP="00F363FE">
            <w:pPr>
              <w:spacing w:before="60" w:after="60" w:line="260" w:lineRule="exact"/>
              <w:rPr>
                <w:lang w:bidi="ar-EG"/>
              </w:rPr>
            </w:pPr>
          </w:p>
        </w:tc>
        <w:tc>
          <w:tcPr>
            <w:tcW w:w="3117" w:type="dxa"/>
          </w:tcPr>
          <w:p w14:paraId="4FF31FF2" w14:textId="77777777" w:rsidR="007B0AA0" w:rsidRDefault="007B0AA0" w:rsidP="00F363FE">
            <w:pPr>
              <w:spacing w:before="60" w:after="60" w:line="260" w:lineRule="exact"/>
              <w:rPr>
                <w:rtl/>
                <w:lang w:bidi="ar-EG"/>
              </w:rPr>
            </w:pPr>
          </w:p>
        </w:tc>
      </w:tr>
      <w:tr w:rsidR="007B0AA0" w14:paraId="0B1298B1" w14:textId="77777777" w:rsidTr="00EE7446">
        <w:tc>
          <w:tcPr>
            <w:tcW w:w="9629" w:type="dxa"/>
            <w:gridSpan w:val="2"/>
          </w:tcPr>
          <w:p w14:paraId="2ABF61AB"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2104B632" w14:textId="77777777" w:rsidTr="007B0AA0">
        <w:tc>
          <w:tcPr>
            <w:tcW w:w="9629" w:type="dxa"/>
            <w:gridSpan w:val="2"/>
            <w:tcBorders>
              <w:bottom w:val="single" w:sz="4" w:space="0" w:color="auto"/>
            </w:tcBorders>
          </w:tcPr>
          <w:p w14:paraId="63788149" w14:textId="394EAC54" w:rsidR="007B0AA0" w:rsidRDefault="00FB5C96" w:rsidP="007B0AA0">
            <w:pPr>
              <w:pStyle w:val="Subtitle0"/>
            </w:pPr>
            <w:r>
              <w:rPr>
                <w:rFonts w:hint="cs"/>
                <w:rtl/>
              </w:rPr>
              <w:t>المهام والوظائف المنوطة بنائب الأمينة العامة</w:t>
            </w:r>
          </w:p>
        </w:tc>
      </w:tr>
      <w:tr w:rsidR="007B0AA0" w14:paraId="27883C9F" w14:textId="77777777" w:rsidTr="007B0AA0">
        <w:tc>
          <w:tcPr>
            <w:tcW w:w="9629" w:type="dxa"/>
            <w:gridSpan w:val="2"/>
            <w:tcBorders>
              <w:top w:val="single" w:sz="4" w:space="0" w:color="auto"/>
              <w:bottom w:val="single" w:sz="4" w:space="0" w:color="auto"/>
            </w:tcBorders>
          </w:tcPr>
          <w:p w14:paraId="4CCE6C7D" w14:textId="6E17EC62" w:rsidR="007B0AA0" w:rsidRPr="007B0AA0" w:rsidRDefault="007B0AA0" w:rsidP="007B0AA0">
            <w:pPr>
              <w:rPr>
                <w:b/>
                <w:bCs/>
                <w:rtl/>
              </w:rPr>
            </w:pPr>
            <w:r w:rsidRPr="007B0AA0">
              <w:rPr>
                <w:rFonts w:hint="cs"/>
                <w:b/>
                <w:bCs/>
                <w:rtl/>
              </w:rPr>
              <w:t>الغرض</w:t>
            </w:r>
          </w:p>
          <w:p w14:paraId="2624C676" w14:textId="3C4302AB" w:rsidR="007B0AA0" w:rsidRDefault="00757FB0" w:rsidP="00757FB0">
            <w:pPr>
              <w:rPr>
                <w:rtl/>
                <w:lang w:bidi="ar-EG"/>
              </w:rPr>
            </w:pPr>
            <w:r w:rsidRPr="00A5412F">
              <w:rPr>
                <w:rFonts w:hint="cs"/>
                <w:rtl/>
              </w:rPr>
              <w:t xml:space="preserve">أُعد هذا التقرير وفقاً للقرار </w:t>
            </w:r>
            <w:r w:rsidRPr="00A5412F">
              <w:t>148</w:t>
            </w:r>
            <w:r w:rsidRPr="00A5412F">
              <w:rPr>
                <w:rFonts w:hint="cs"/>
                <w:rtl/>
                <w:lang w:bidi="ar-EG"/>
              </w:rPr>
              <w:t xml:space="preserve"> (المراجَع في بوخارست، </w:t>
            </w:r>
            <w:r w:rsidRPr="00A5412F">
              <w:rPr>
                <w:lang w:bidi="ar-EG"/>
              </w:rPr>
              <w:t>2022</w:t>
            </w:r>
            <w:r w:rsidRPr="00A5412F">
              <w:rPr>
                <w:rFonts w:hint="cs"/>
                <w:rtl/>
                <w:lang w:bidi="ar-EG"/>
              </w:rPr>
              <w:t xml:space="preserve">) لمؤتمر المندوبين المفوضين، حيث تكلَّف الأمينة العامة بإعداد توجيهات محددة بشأن المهام </w:t>
            </w:r>
            <w:r w:rsidRPr="00A5412F">
              <w:rPr>
                <w:rtl/>
                <w:lang w:val="fr-FR"/>
              </w:rPr>
              <w:t xml:space="preserve">المفوّضة </w:t>
            </w:r>
            <w:r w:rsidRPr="00A5412F">
              <w:rPr>
                <w:rFonts w:hint="cs"/>
                <w:rtl/>
                <w:lang w:bidi="ar-EG"/>
              </w:rPr>
              <w:t xml:space="preserve">إلى نائب الأمينة العامة، وفقاً للمادة </w:t>
            </w:r>
            <w:r w:rsidRPr="00A5412F">
              <w:rPr>
                <w:lang w:bidi="ar-EG"/>
              </w:rPr>
              <w:t>11</w:t>
            </w:r>
            <w:r w:rsidRPr="00A5412F">
              <w:rPr>
                <w:rFonts w:hint="cs"/>
                <w:rtl/>
                <w:lang w:bidi="ar-EG"/>
              </w:rPr>
              <w:t xml:space="preserve"> من دستور الاتحاد والمادة </w:t>
            </w:r>
            <w:r w:rsidRPr="00A5412F">
              <w:rPr>
                <w:lang w:bidi="ar-EG"/>
              </w:rPr>
              <w:t>5</w:t>
            </w:r>
            <w:r w:rsidRPr="00A5412F">
              <w:rPr>
                <w:rFonts w:hint="cs"/>
                <w:rtl/>
                <w:lang w:bidi="ar-EG"/>
              </w:rPr>
              <w:t xml:space="preserve"> من اتفاقية الاتحاد، وتقديمها إلى الدورة العادية التالية لمجلس الاتحاد للنظر فيها، حسب الاقتضاء؛ وإصدار توجيهات واضحة ومحددة بشأن المهام </w:t>
            </w:r>
            <w:r w:rsidRPr="00A5412F">
              <w:rPr>
                <w:rtl/>
                <w:lang w:val="fr-FR"/>
              </w:rPr>
              <w:t xml:space="preserve">المفوّضة </w:t>
            </w:r>
            <w:r w:rsidRPr="00A5412F">
              <w:rPr>
                <w:rFonts w:hint="cs"/>
                <w:rtl/>
                <w:lang w:bidi="ar-EG"/>
              </w:rPr>
              <w:t>إلى نائب الأمينة العامة، وإتاحتها لأعضاء الاتحاد، وكذلك لموظفي الاتحاد.</w:t>
            </w:r>
          </w:p>
          <w:p w14:paraId="6BDE688B" w14:textId="77777777" w:rsidR="007B0AA0" w:rsidRPr="007B0AA0" w:rsidRDefault="007B0AA0" w:rsidP="007B0AA0">
            <w:pPr>
              <w:rPr>
                <w:b/>
                <w:bCs/>
                <w:rtl/>
              </w:rPr>
            </w:pPr>
            <w:r w:rsidRPr="007B0AA0">
              <w:rPr>
                <w:rFonts w:hint="cs"/>
                <w:b/>
                <w:bCs/>
                <w:rtl/>
              </w:rPr>
              <w:t>الإجراء المطلوب من المجلس</w:t>
            </w:r>
          </w:p>
          <w:p w14:paraId="4E5D87DE" w14:textId="734F8C06" w:rsidR="007B0AA0" w:rsidRDefault="00757FB0" w:rsidP="007B0AA0">
            <w:pPr>
              <w:rPr>
                <w:rtl/>
              </w:rPr>
            </w:pPr>
            <w:r w:rsidRPr="00611289">
              <w:rPr>
                <w:rtl/>
                <w:lang w:bidi="ar-EG"/>
              </w:rPr>
              <w:t xml:space="preserve">يُدعى المجلس إلى </w:t>
            </w:r>
            <w:r w:rsidRPr="00611289">
              <w:rPr>
                <w:b/>
                <w:bCs/>
                <w:rtl/>
                <w:lang w:bidi="ar-EG"/>
              </w:rPr>
              <w:t>الإحاطة علماً</w:t>
            </w:r>
            <w:r w:rsidRPr="00611289">
              <w:rPr>
                <w:rtl/>
                <w:lang w:bidi="ar-EG"/>
              </w:rPr>
              <w:t xml:space="preserve"> بهذا التقرير</w:t>
            </w:r>
            <w:r w:rsidRPr="00611289">
              <w:rPr>
                <w:lang w:bidi="ar-EG"/>
              </w:rPr>
              <w:t>.</w:t>
            </w:r>
          </w:p>
          <w:p w14:paraId="753234B9" w14:textId="5509B5D7"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221D9EAF" w14:textId="2E805CBB" w:rsidR="007B0AA0" w:rsidRDefault="00757FB0" w:rsidP="007B0AA0">
            <w:pPr>
              <w:rPr>
                <w:rtl/>
              </w:rPr>
            </w:pPr>
            <w:r>
              <w:rPr>
                <w:rFonts w:hint="cs"/>
                <w:rtl/>
              </w:rPr>
              <w:t xml:space="preserve">التميز في الموارد البشرية والابتكار </w:t>
            </w:r>
            <w:r>
              <w:rPr>
                <w:rFonts w:hint="cs"/>
                <w:rtl/>
                <w:lang w:bidi="ar-EG"/>
              </w:rPr>
              <w:t>التنظيمي.</w:t>
            </w:r>
          </w:p>
          <w:p w14:paraId="542AF2B7" w14:textId="77777777" w:rsidR="00757FB0" w:rsidRDefault="007B0AA0" w:rsidP="007B0AA0">
            <w:pPr>
              <w:rPr>
                <w:b/>
                <w:bCs/>
                <w:rtl/>
              </w:rPr>
            </w:pPr>
            <w:r w:rsidRPr="007B0AA0">
              <w:rPr>
                <w:rFonts w:hint="cs"/>
                <w:b/>
                <w:bCs/>
                <w:rtl/>
              </w:rPr>
              <w:t xml:space="preserve">الآثار المالية: </w:t>
            </w:r>
          </w:p>
          <w:p w14:paraId="655D749E" w14:textId="0EAE41DB" w:rsidR="007B0AA0" w:rsidRPr="007B0AA0" w:rsidRDefault="007B0AA0" w:rsidP="00757FB0">
            <w:pPr>
              <w:rPr>
                <w:rtl/>
              </w:rPr>
            </w:pPr>
            <w:r w:rsidRPr="007B0AA0">
              <w:rPr>
                <w:rFonts w:hint="cs"/>
                <w:rtl/>
              </w:rPr>
              <w:t>لا يوجد</w:t>
            </w:r>
            <w:r w:rsidR="00757FB0">
              <w:rPr>
                <w:rFonts w:hint="cs"/>
                <w:rtl/>
              </w:rPr>
              <w:t>.</w:t>
            </w:r>
          </w:p>
          <w:p w14:paraId="4D4FB17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557AA1A" w14:textId="77777777" w:rsidR="007B0AA0" w:rsidRPr="007B0AA0" w:rsidRDefault="007B0AA0" w:rsidP="007B0AA0">
            <w:pPr>
              <w:rPr>
                <w:b/>
                <w:bCs/>
                <w:rtl/>
              </w:rPr>
            </w:pPr>
            <w:r w:rsidRPr="007B0AA0">
              <w:rPr>
                <w:rFonts w:hint="cs"/>
                <w:b/>
                <w:bCs/>
                <w:rtl/>
              </w:rPr>
              <w:t>المراجع</w:t>
            </w:r>
          </w:p>
          <w:p w14:paraId="0F255DB2" w14:textId="3BFF46AC" w:rsidR="007B0AA0" w:rsidRDefault="001409F1" w:rsidP="00AA243F">
            <w:pPr>
              <w:spacing w:after="120"/>
              <w:rPr>
                <w:rtl/>
              </w:rPr>
            </w:pPr>
            <w:r>
              <w:fldChar w:fldCharType="begin"/>
            </w:r>
            <w:r>
              <w:instrText>HYPERLINK "https://www.itu.int/en/council/Documents/basic-texts-2023/RES-148-a.pdf"</w:instrText>
            </w:r>
            <w:r>
              <w:fldChar w:fldCharType="separate"/>
            </w:r>
            <w:r w:rsidR="00AA243F" w:rsidRPr="0072286A">
              <w:rPr>
                <w:rStyle w:val="Hyperlink"/>
                <w:rFonts w:hint="cs"/>
                <w:i/>
                <w:iCs/>
                <w:rtl/>
              </w:rPr>
              <w:t xml:space="preserve">القرار </w:t>
            </w:r>
            <w:r w:rsidR="00AA243F" w:rsidRPr="0072286A">
              <w:rPr>
                <w:rStyle w:val="Hyperlink"/>
                <w:i/>
                <w:iCs/>
              </w:rPr>
              <w:t>148</w:t>
            </w:r>
            <w:r w:rsidR="00AA243F" w:rsidRPr="0072286A">
              <w:rPr>
                <w:rStyle w:val="Hyperlink"/>
                <w:rFonts w:hint="cs"/>
                <w:i/>
                <w:iCs/>
                <w:rtl/>
                <w:lang w:bidi="ar-EG"/>
              </w:rPr>
              <w:t xml:space="preserve"> (المراجَع في بوخارست، </w:t>
            </w:r>
            <w:r w:rsidR="00AA243F" w:rsidRPr="0072286A">
              <w:rPr>
                <w:rStyle w:val="Hyperlink"/>
                <w:i/>
                <w:iCs/>
                <w:lang w:bidi="ar-EG"/>
              </w:rPr>
              <w:t>2022</w:t>
            </w:r>
            <w:r w:rsidR="00AA243F" w:rsidRPr="0072286A">
              <w:rPr>
                <w:rStyle w:val="Hyperlink"/>
                <w:rFonts w:hint="cs"/>
                <w:i/>
                <w:iCs/>
                <w:rtl/>
                <w:lang w:bidi="ar-EG"/>
              </w:rPr>
              <w:t>) لمؤتمر المندوبين المفوضين</w:t>
            </w:r>
            <w:r>
              <w:rPr>
                <w:rStyle w:val="Hyperlink"/>
                <w:i/>
                <w:iCs/>
                <w:lang w:bidi="ar-EG"/>
              </w:rPr>
              <w:fldChar w:fldCharType="end"/>
            </w:r>
          </w:p>
        </w:tc>
      </w:tr>
    </w:tbl>
    <w:p w14:paraId="308A7A20" w14:textId="77777777" w:rsidR="00E61BE8" w:rsidRDefault="00E61BE8" w:rsidP="00E61BE8">
      <w:pPr>
        <w:rPr>
          <w:rtl/>
          <w:lang w:bidi="ar-EG"/>
        </w:rPr>
      </w:pPr>
    </w:p>
    <w:p w14:paraId="4B7BF9B6" w14:textId="77777777" w:rsidR="00F50E3F" w:rsidRDefault="00F50E3F">
      <w:pPr>
        <w:tabs>
          <w:tab w:val="clear" w:pos="794"/>
        </w:tabs>
        <w:bidi w:val="0"/>
        <w:spacing w:before="0" w:after="160" w:line="259" w:lineRule="auto"/>
        <w:jc w:val="left"/>
        <w:rPr>
          <w:rtl/>
          <w:lang w:bidi="ar-EG"/>
        </w:rPr>
      </w:pPr>
      <w:r>
        <w:rPr>
          <w:rtl/>
          <w:lang w:bidi="ar-EG"/>
        </w:rPr>
        <w:br w:type="page"/>
      </w:r>
    </w:p>
    <w:p w14:paraId="38149A7A" w14:textId="77777777" w:rsidR="00AA243F" w:rsidRDefault="00AA243F" w:rsidP="00AA243F">
      <w:pPr>
        <w:pStyle w:val="enumlev1"/>
        <w:rPr>
          <w:rtl/>
        </w:rPr>
      </w:pPr>
      <w:r w:rsidRPr="00A5412F">
        <w:lastRenderedPageBreak/>
        <w:t>1</w:t>
      </w:r>
      <w:r w:rsidRPr="00A5412F">
        <w:rPr>
          <w:rtl/>
        </w:rPr>
        <w:tab/>
      </w:r>
      <w:r w:rsidRPr="00A5412F">
        <w:rPr>
          <w:rFonts w:hint="cs"/>
          <w:rtl/>
        </w:rPr>
        <w:t xml:space="preserve">وفقاً للرقم </w:t>
      </w:r>
      <w:r w:rsidRPr="00A5412F">
        <w:t>77</w:t>
      </w:r>
      <w:r w:rsidRPr="00A5412F">
        <w:rPr>
          <w:rFonts w:hint="cs"/>
          <w:rtl/>
        </w:rPr>
        <w:t xml:space="preserve"> من دستور الاتحاد والرقم </w:t>
      </w:r>
      <w:r w:rsidRPr="00A5412F">
        <w:t>84</w:t>
      </w:r>
      <w:r w:rsidRPr="00A5412F">
        <w:rPr>
          <w:rFonts w:hint="cs"/>
          <w:rtl/>
        </w:rPr>
        <w:t xml:space="preserve"> من اتفاقية الاتحاد، وعملاً بالقرار </w:t>
      </w:r>
      <w:r w:rsidRPr="00A5412F">
        <w:t>148</w:t>
      </w:r>
      <w:r w:rsidRPr="00A5412F">
        <w:rPr>
          <w:rFonts w:hint="cs"/>
          <w:rtl/>
        </w:rPr>
        <w:t xml:space="preserve"> (المراجَع في بوخارست، </w:t>
      </w:r>
      <w:r w:rsidRPr="00A5412F">
        <w:t>2022</w:t>
      </w:r>
      <w:r w:rsidRPr="00A5412F">
        <w:rPr>
          <w:rFonts w:hint="cs"/>
          <w:rtl/>
        </w:rPr>
        <w:t>) لمؤتمر المندوبين المفوضين، تتمثل المهام المفوضة لنائب الأمينة العامة في</w:t>
      </w:r>
      <w:r>
        <w:rPr>
          <w:rFonts w:hint="cs"/>
          <w:rtl/>
        </w:rPr>
        <w:t xml:space="preserve"> </w:t>
      </w:r>
      <w:r w:rsidRPr="00A5412F">
        <w:rPr>
          <w:rFonts w:hint="cs"/>
          <w:rtl/>
        </w:rPr>
        <w:t>ما يلي:</w:t>
      </w:r>
    </w:p>
    <w:p w14:paraId="0977069A" w14:textId="6C560D36" w:rsidR="00AA243F" w:rsidRDefault="00AA243F" w:rsidP="00AA243F">
      <w:pPr>
        <w:pStyle w:val="enumlev2"/>
        <w:rPr>
          <w:rtl/>
          <w:lang w:bidi="ar-EG"/>
        </w:rPr>
      </w:pPr>
      <w:proofErr w:type="gramStart"/>
      <w:r>
        <w:rPr>
          <w:rFonts w:hint="cs"/>
          <w:rtl/>
          <w:lang w:bidi="ar-EG"/>
        </w:rPr>
        <w:t>أ</w:t>
      </w:r>
      <w:r w:rsidR="0076037E">
        <w:rPr>
          <w:rFonts w:hint="cs"/>
          <w:rtl/>
          <w:lang w:bidi="ar-EG"/>
        </w:rPr>
        <w:t xml:space="preserve"> )</w:t>
      </w:r>
      <w:proofErr w:type="gramEnd"/>
      <w:r>
        <w:rPr>
          <w:rtl/>
          <w:lang w:bidi="ar-EG"/>
        </w:rPr>
        <w:tab/>
      </w:r>
      <w:r>
        <w:rPr>
          <w:rFonts w:hint="cs"/>
          <w:rtl/>
          <w:lang w:bidi="ar-EG"/>
        </w:rPr>
        <w:t xml:space="preserve">يُمنح نائب </w:t>
      </w:r>
      <w:r w:rsidRPr="007760FD">
        <w:rPr>
          <w:rFonts w:hint="cs"/>
          <w:rtl/>
          <w:lang w:bidi="ar-EG"/>
        </w:rPr>
        <w:t>الأمينة العامة</w:t>
      </w:r>
      <w:r>
        <w:rPr>
          <w:rFonts w:hint="cs"/>
          <w:rtl/>
          <w:lang w:bidi="ar-EG"/>
        </w:rPr>
        <w:t xml:space="preserve"> السلطة الكاملة فيما</w:t>
      </w:r>
      <w:r>
        <w:rPr>
          <w:rFonts w:hint="eastAsia"/>
          <w:rtl/>
          <w:lang w:bidi="ar-EG"/>
        </w:rPr>
        <w:t> </w:t>
      </w:r>
      <w:r>
        <w:rPr>
          <w:rFonts w:hint="cs"/>
          <w:rtl/>
          <w:lang w:bidi="ar-EG"/>
        </w:rPr>
        <w:t xml:space="preserve">يخص جميع المسائل المتعلقة بأنشطة دائرة المؤتمرات والمنشورات ودائرة خدمات المعلومات وشعبة إدارة المرافق ومشروع المبنى، بما في ذلك إرساء الخطط والأنشطة وتنفيذها، وإعداد تقديرات الميزانية على أساس التكاليف، وتقديم تقارير عن أنشطتها إلى مجلس الاتحاد. وتبقى الدوائر والوحدات الأخرى التابعة للأمانة العامة تحت </w:t>
      </w:r>
      <w:r w:rsidRPr="007760FD">
        <w:rPr>
          <w:rFonts w:hint="cs"/>
          <w:rtl/>
          <w:lang w:bidi="ar-EG"/>
        </w:rPr>
        <w:t>سلطة الأمينة العامة</w:t>
      </w:r>
      <w:r>
        <w:rPr>
          <w:rFonts w:hint="cs"/>
          <w:rtl/>
          <w:lang w:bidi="ar-EG"/>
        </w:rPr>
        <w:t>.</w:t>
      </w:r>
    </w:p>
    <w:p w14:paraId="3644F1FA" w14:textId="453A6589" w:rsidR="00AA243F" w:rsidRDefault="00AA243F" w:rsidP="00AA243F">
      <w:pPr>
        <w:pStyle w:val="enumlev2"/>
        <w:rPr>
          <w:rtl/>
          <w:lang w:bidi="ar-EG"/>
        </w:rPr>
      </w:pPr>
      <w:r w:rsidRPr="007760FD">
        <w:rPr>
          <w:rFonts w:hint="cs"/>
          <w:rtl/>
          <w:lang w:bidi="ar-EG"/>
        </w:rPr>
        <w:t>ب</w:t>
      </w:r>
      <w:r w:rsidR="0076037E">
        <w:rPr>
          <w:rFonts w:hint="cs"/>
          <w:rtl/>
          <w:lang w:bidi="ar-EG"/>
        </w:rPr>
        <w:t>)</w:t>
      </w:r>
      <w:r w:rsidRPr="007760FD">
        <w:rPr>
          <w:rtl/>
          <w:lang w:bidi="ar-EG"/>
        </w:rPr>
        <w:tab/>
      </w:r>
      <w:r w:rsidRPr="007760FD">
        <w:rPr>
          <w:rFonts w:hint="cs"/>
          <w:rtl/>
          <w:lang w:bidi="ar-EG"/>
        </w:rPr>
        <w:t>وإضافةً إلى ذلك، يقوم نائب الأمينة العامة بدعم الأمينة العامة في تنفيذ أنشطة دائرة التخطيط الاستراتيجي وشؤون الأعضاء، ودائرة إدارة الموارد البشرية ودائرة إدارة الموارد المالية عن طريق تحديد أهداف أداء الدوائر ورصدها وتقييمها.</w:t>
      </w:r>
    </w:p>
    <w:p w14:paraId="0E03C7DC" w14:textId="5BBC8D61" w:rsidR="00AA243F" w:rsidRDefault="00AA243F" w:rsidP="00AA243F">
      <w:pPr>
        <w:pStyle w:val="enumlev2"/>
        <w:rPr>
          <w:rtl/>
          <w:lang w:bidi="ar-EG"/>
        </w:rPr>
      </w:pPr>
      <w:r w:rsidRPr="00FA0880">
        <w:rPr>
          <w:rFonts w:hint="cs"/>
          <w:rtl/>
          <w:lang w:bidi="ar-EG"/>
        </w:rPr>
        <w:t>ج</w:t>
      </w:r>
      <w:r w:rsidR="0076037E">
        <w:rPr>
          <w:rFonts w:hint="cs"/>
          <w:rtl/>
          <w:lang w:bidi="ar-EG"/>
        </w:rPr>
        <w:t>)</w:t>
      </w:r>
      <w:r w:rsidRPr="00FA0880">
        <w:rPr>
          <w:rtl/>
          <w:lang w:bidi="ar-EG"/>
        </w:rPr>
        <w:tab/>
      </w:r>
      <w:r w:rsidRPr="00FA0880">
        <w:rPr>
          <w:rFonts w:hint="cs"/>
          <w:rtl/>
          <w:lang w:bidi="ar-EG"/>
        </w:rPr>
        <w:t>وعلاوةً على ذلك، يكون نائب الأمينة العامة مسؤولاً عن تنفيذ استراتيجيات وآليات التنسيق بين القطاعات لتعزيز مفهوم "الاتحاد الواحد".</w:t>
      </w:r>
    </w:p>
    <w:p w14:paraId="4216F3B3" w14:textId="77777777" w:rsidR="00AA243F" w:rsidRDefault="00AA243F" w:rsidP="00AA243F">
      <w:pPr>
        <w:pStyle w:val="enumlev1"/>
        <w:rPr>
          <w:rtl/>
        </w:rPr>
      </w:pPr>
      <w:r w:rsidRPr="00FA0880">
        <w:t>2</w:t>
      </w:r>
      <w:r w:rsidRPr="00FA0880">
        <w:rPr>
          <w:rtl/>
        </w:rPr>
        <w:tab/>
      </w:r>
      <w:r w:rsidRPr="00FA0880">
        <w:rPr>
          <w:rFonts w:hint="cs"/>
          <w:rtl/>
        </w:rPr>
        <w:t xml:space="preserve">وأخيراً، يقوم نائب الأمينة العامة بمهام الأمينة العامة في غيابها، على النحو المنصوص عليه في الرقم </w:t>
      </w:r>
      <w:r w:rsidRPr="00FA0880">
        <w:t>77</w:t>
      </w:r>
      <w:r w:rsidRPr="00FA0880">
        <w:rPr>
          <w:rFonts w:hint="cs"/>
          <w:rtl/>
        </w:rPr>
        <w:t xml:space="preserve"> من الدستور.</w:t>
      </w:r>
    </w:p>
    <w:p w14:paraId="7FF86CE4" w14:textId="77777777" w:rsidR="00AA243F" w:rsidRDefault="00AA243F" w:rsidP="00AA243F">
      <w:pPr>
        <w:rPr>
          <w:rtl/>
          <w:lang w:bidi="ar-EG"/>
        </w:rPr>
      </w:pPr>
      <w:r>
        <w:rPr>
          <w:rFonts w:hint="cs"/>
          <w:rtl/>
          <w:lang w:bidi="ar-EG"/>
        </w:rPr>
        <w:t xml:space="preserve">وفي 18 أبريل 2023، نُشِر الأمر الإداري </w:t>
      </w:r>
      <w:r>
        <w:rPr>
          <w:lang w:bidi="ar-EG"/>
        </w:rPr>
        <w:t>23/06</w:t>
      </w:r>
      <w:r>
        <w:rPr>
          <w:rFonts w:hint="cs"/>
          <w:rtl/>
          <w:lang w:bidi="ar-EG"/>
        </w:rPr>
        <w:t xml:space="preserve"> بشأن تفويض السلطة إلى نائب </w:t>
      </w:r>
      <w:r w:rsidRPr="00E219D2">
        <w:rPr>
          <w:rFonts w:hint="cs"/>
          <w:rtl/>
          <w:lang w:bidi="ar-EG"/>
        </w:rPr>
        <w:t>الأمينة العامة</w:t>
      </w:r>
      <w:r>
        <w:rPr>
          <w:rFonts w:hint="cs"/>
          <w:rtl/>
          <w:lang w:bidi="ar-EG"/>
        </w:rPr>
        <w:t>.</w:t>
      </w:r>
    </w:p>
    <w:p w14:paraId="7876744A" w14:textId="77777777" w:rsidR="00AA243F" w:rsidRDefault="00AA243F" w:rsidP="00AA243F">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w:t>
      </w:r>
    </w:p>
    <w:sectPr w:rsidR="00AA243F" w:rsidSect="006C3242">
      <w:foot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6493" w14:textId="77777777" w:rsidR="000C5CC3" w:rsidRDefault="000C5CC3" w:rsidP="006C3242">
      <w:pPr>
        <w:spacing w:before="0" w:line="240" w:lineRule="auto"/>
      </w:pPr>
      <w:r>
        <w:separator/>
      </w:r>
    </w:p>
  </w:endnote>
  <w:endnote w:type="continuationSeparator" w:id="0">
    <w:p w14:paraId="1A524567" w14:textId="77777777" w:rsidR="000C5CC3" w:rsidRDefault="000C5CC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221E5AA" w14:textId="77777777" w:rsidTr="00357086">
      <w:trPr>
        <w:jc w:val="center"/>
      </w:trPr>
      <w:tc>
        <w:tcPr>
          <w:tcW w:w="868" w:type="pct"/>
          <w:vAlign w:val="center"/>
        </w:tcPr>
        <w:p w14:paraId="43741B80" w14:textId="4805A8F9"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AA243F">
            <w:rPr>
              <w:rFonts w:ascii="Calibri" w:hAnsi="Calibri" w:cs="Arial"/>
              <w:sz w:val="18"/>
              <w:szCs w:val="14"/>
            </w:rPr>
            <w:t>521063</w:t>
          </w:r>
        </w:p>
      </w:tc>
      <w:tc>
        <w:tcPr>
          <w:tcW w:w="3912" w:type="pct"/>
        </w:tcPr>
        <w:p w14:paraId="584FD444" w14:textId="62101194"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A243F">
            <w:rPr>
              <w:rFonts w:ascii="Calibri" w:hAnsi="Calibri" w:cs="Arial"/>
              <w:bCs/>
              <w:color w:val="7F7F7F"/>
              <w:sz w:val="18"/>
            </w:rPr>
            <w:t>29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98F1B95"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9748FFC" w14:textId="1D7F47B7" w:rsidR="006C3242" w:rsidRPr="0026373E" w:rsidRDefault="006C3242" w:rsidP="00AA243F">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5057715" w14:textId="77777777" w:rsidTr="00F50E3F">
      <w:trPr>
        <w:jc w:val="center"/>
      </w:trPr>
      <w:tc>
        <w:tcPr>
          <w:tcW w:w="868" w:type="pct"/>
          <w:vAlign w:val="center"/>
        </w:tcPr>
        <w:p w14:paraId="2D7AD27A" w14:textId="77777777" w:rsidR="007B0AA0" w:rsidRPr="007B0AA0" w:rsidRDefault="001409F1"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BE96CD5" w14:textId="0BBD5D73"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A243F">
            <w:rPr>
              <w:rFonts w:ascii="Calibri" w:hAnsi="Calibri" w:cs="Arial"/>
              <w:bCs/>
              <w:color w:val="7F7F7F"/>
              <w:sz w:val="18"/>
            </w:rPr>
            <w:t>29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5011168"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DB6323A" w14:textId="7AB6C3A4" w:rsidR="0006468A" w:rsidRPr="007B0AA0" w:rsidRDefault="0006468A" w:rsidP="00AA243F">
    <w:pPr>
      <w:pStyle w:val="Footer"/>
      <w:tabs>
        <w:tab w:val="clear" w:pos="4153"/>
        <w:tab w:val="clear" w:pos="8306"/>
        <w:tab w:val="center" w:pos="5103"/>
        <w:tab w:val="right" w:pos="9639"/>
      </w:tabs>
      <w:spacing w:before="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F3E4" w14:textId="77777777" w:rsidR="000C5CC3" w:rsidRDefault="000C5CC3" w:rsidP="006C3242">
      <w:pPr>
        <w:spacing w:before="0" w:line="240" w:lineRule="auto"/>
      </w:pPr>
      <w:r>
        <w:separator/>
      </w:r>
    </w:p>
  </w:footnote>
  <w:footnote w:type="continuationSeparator" w:id="0">
    <w:p w14:paraId="05DB4B2E" w14:textId="77777777" w:rsidR="000C5CC3" w:rsidRDefault="000C5CC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7D89" w14:textId="77777777" w:rsidR="007B0AA0" w:rsidRDefault="00D13941" w:rsidP="007B0AA0">
    <w:pPr>
      <w:pStyle w:val="Header"/>
      <w:spacing w:before="120" w:after="240"/>
    </w:pPr>
    <w:r>
      <w:rPr>
        <w:noProof/>
      </w:rPr>
      <w:drawing>
        <wp:inline distT="0" distB="0" distL="0" distR="0" wp14:anchorId="7E87A9A3" wp14:editId="3583C814">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C3"/>
    <w:rsid w:val="0006468A"/>
    <w:rsid w:val="00090574"/>
    <w:rsid w:val="000933EF"/>
    <w:rsid w:val="000C1C0E"/>
    <w:rsid w:val="000C548A"/>
    <w:rsid w:val="000C5CC3"/>
    <w:rsid w:val="001409F1"/>
    <w:rsid w:val="001C0169"/>
    <w:rsid w:val="001D1D50"/>
    <w:rsid w:val="001D6745"/>
    <w:rsid w:val="001E446E"/>
    <w:rsid w:val="00201C0E"/>
    <w:rsid w:val="002154EE"/>
    <w:rsid w:val="002276D2"/>
    <w:rsid w:val="0023283D"/>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B7334"/>
    <w:rsid w:val="004E11DC"/>
    <w:rsid w:val="00525DDD"/>
    <w:rsid w:val="005409AC"/>
    <w:rsid w:val="0055516A"/>
    <w:rsid w:val="0058491B"/>
    <w:rsid w:val="00592EA5"/>
    <w:rsid w:val="00594CA9"/>
    <w:rsid w:val="005A3170"/>
    <w:rsid w:val="00677396"/>
    <w:rsid w:val="0069200F"/>
    <w:rsid w:val="006A65CB"/>
    <w:rsid w:val="006C3242"/>
    <w:rsid w:val="006C7CC0"/>
    <w:rsid w:val="006F63F7"/>
    <w:rsid w:val="007025C7"/>
    <w:rsid w:val="00706D7A"/>
    <w:rsid w:val="00722F0D"/>
    <w:rsid w:val="0074420E"/>
    <w:rsid w:val="00750D58"/>
    <w:rsid w:val="00757FB0"/>
    <w:rsid w:val="0076037E"/>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1702E"/>
    <w:rsid w:val="00923B0C"/>
    <w:rsid w:val="009270C0"/>
    <w:rsid w:val="0094021C"/>
    <w:rsid w:val="00952F86"/>
    <w:rsid w:val="00982B28"/>
    <w:rsid w:val="009D313F"/>
    <w:rsid w:val="00A47A5A"/>
    <w:rsid w:val="00A6683B"/>
    <w:rsid w:val="00A97F94"/>
    <w:rsid w:val="00AA243F"/>
    <w:rsid w:val="00AA7EA2"/>
    <w:rsid w:val="00B03099"/>
    <w:rsid w:val="00B05BC8"/>
    <w:rsid w:val="00B64B47"/>
    <w:rsid w:val="00B95654"/>
    <w:rsid w:val="00BD125F"/>
    <w:rsid w:val="00C002DE"/>
    <w:rsid w:val="00C1433C"/>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92863"/>
    <w:rsid w:val="00EB796D"/>
    <w:rsid w:val="00F058DC"/>
    <w:rsid w:val="00F24FC4"/>
    <w:rsid w:val="00F2676C"/>
    <w:rsid w:val="00F363FE"/>
    <w:rsid w:val="00F50E3F"/>
    <w:rsid w:val="00F84366"/>
    <w:rsid w:val="00F85089"/>
    <w:rsid w:val="00F974C5"/>
    <w:rsid w:val="00FA6F46"/>
    <w:rsid w:val="00FB5C9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8CD8"/>
  <w15:chartTrackingRefBased/>
  <w15:docId w15:val="{6DDEC3BB-6A2A-44BE-B9CB-BE1526A6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Tasks and functions of the Deputy Secretary-General</dc:title>
  <dc:subject>Council 2023</dc:subject>
  <dc:creator>Arabic-SA</dc:creator>
  <cp:keywords>C2023, C23, Council-23</cp:keywords>
  <dc:description/>
  <cp:lastModifiedBy>Xue, Kun</cp:lastModifiedBy>
  <cp:revision>2</cp:revision>
  <dcterms:created xsi:type="dcterms:W3CDTF">2023-06-15T07:17:00Z</dcterms:created>
  <dcterms:modified xsi:type="dcterms:W3CDTF">2023-06-15T07:17:00Z</dcterms:modified>
  <cp:category>Conference document</cp:category>
</cp:coreProperties>
</file>