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FE57F6" w:rsidRPr="00813E5E" w14:paraId="06E8C5B2" w14:textId="77777777" w:rsidTr="00C538FC">
        <w:trPr>
          <w:cantSplit/>
          <w:trHeight w:val="23"/>
        </w:trPr>
        <w:tc>
          <w:tcPr>
            <w:tcW w:w="3969" w:type="dxa"/>
            <w:vMerge w:val="restart"/>
            <w:tcMar>
              <w:left w:w="0" w:type="dxa"/>
            </w:tcMar>
          </w:tcPr>
          <w:p w14:paraId="50B785E3" w14:textId="28E57D0B" w:rsidR="00FE57F6" w:rsidRPr="00E85629" w:rsidRDefault="00607477" w:rsidP="00C538FC">
            <w:pPr>
              <w:tabs>
                <w:tab w:val="left" w:pos="851"/>
              </w:tabs>
              <w:spacing w:before="0" w:line="240" w:lineRule="atLeast"/>
              <w:rPr>
                <w:b/>
              </w:rPr>
            </w:pPr>
            <w:bookmarkStart w:id="0" w:name="_Hlk133421839"/>
            <w:r w:rsidRPr="00EC08D4">
              <w:rPr>
                <w:b/>
                <w:bCs/>
                <w:lang w:val="es-ES"/>
              </w:rPr>
              <w:t>Punto del orden del día: PL 2</w:t>
            </w:r>
          </w:p>
        </w:tc>
        <w:tc>
          <w:tcPr>
            <w:tcW w:w="5245" w:type="dxa"/>
          </w:tcPr>
          <w:p w14:paraId="2B9825A4" w14:textId="14B24F20" w:rsidR="00FE57F6" w:rsidRPr="00E85629" w:rsidRDefault="00FE57F6" w:rsidP="00C538FC">
            <w:pPr>
              <w:tabs>
                <w:tab w:val="left" w:pos="851"/>
              </w:tabs>
              <w:spacing w:before="0" w:line="240" w:lineRule="atLeast"/>
              <w:jc w:val="right"/>
              <w:rPr>
                <w:b/>
              </w:rPr>
            </w:pPr>
            <w:r>
              <w:rPr>
                <w:b/>
              </w:rPr>
              <w:t>Document</w:t>
            </w:r>
            <w:r w:rsidR="00F24B71">
              <w:rPr>
                <w:b/>
              </w:rPr>
              <w:t>o</w:t>
            </w:r>
            <w:r>
              <w:rPr>
                <w:b/>
              </w:rPr>
              <w:t xml:space="preserve"> C23/</w:t>
            </w:r>
            <w:r w:rsidR="00607477">
              <w:rPr>
                <w:b/>
              </w:rPr>
              <w:t>27</w:t>
            </w:r>
            <w:r>
              <w:rPr>
                <w:b/>
              </w:rPr>
              <w:t>-</w:t>
            </w:r>
            <w:r w:rsidR="00F24B71">
              <w:rPr>
                <w:b/>
              </w:rPr>
              <w:t>S</w:t>
            </w:r>
          </w:p>
        </w:tc>
      </w:tr>
      <w:tr w:rsidR="00FE57F6" w:rsidRPr="00813E5E" w14:paraId="7C4EC8C6" w14:textId="77777777" w:rsidTr="00C538FC">
        <w:trPr>
          <w:cantSplit/>
        </w:trPr>
        <w:tc>
          <w:tcPr>
            <w:tcW w:w="3969" w:type="dxa"/>
            <w:vMerge/>
          </w:tcPr>
          <w:p w14:paraId="2AF4EB39" w14:textId="77777777" w:rsidR="00FE57F6" w:rsidRPr="00813E5E" w:rsidRDefault="00FE57F6" w:rsidP="00C538FC">
            <w:pPr>
              <w:tabs>
                <w:tab w:val="left" w:pos="851"/>
              </w:tabs>
              <w:spacing w:line="240" w:lineRule="atLeast"/>
              <w:rPr>
                <w:b/>
              </w:rPr>
            </w:pPr>
          </w:p>
        </w:tc>
        <w:tc>
          <w:tcPr>
            <w:tcW w:w="5245" w:type="dxa"/>
          </w:tcPr>
          <w:p w14:paraId="10F0ADF8" w14:textId="71C5BF5D" w:rsidR="00FE57F6" w:rsidRPr="00E85629" w:rsidRDefault="00607477" w:rsidP="00C538FC">
            <w:pPr>
              <w:tabs>
                <w:tab w:val="left" w:pos="851"/>
              </w:tabs>
              <w:spacing w:before="0"/>
              <w:jc w:val="right"/>
              <w:rPr>
                <w:b/>
              </w:rPr>
            </w:pPr>
            <w:r w:rsidRPr="00EC08D4">
              <w:rPr>
                <w:b/>
                <w:lang w:val="es-ES"/>
              </w:rPr>
              <w:t>25 de mayo de 2023</w:t>
            </w:r>
          </w:p>
        </w:tc>
      </w:tr>
      <w:tr w:rsidR="00FE57F6" w:rsidRPr="00F24B71" w14:paraId="3621DDAC" w14:textId="77777777" w:rsidTr="00C538FC">
        <w:trPr>
          <w:cantSplit/>
          <w:trHeight w:val="23"/>
        </w:trPr>
        <w:tc>
          <w:tcPr>
            <w:tcW w:w="3969" w:type="dxa"/>
            <w:vMerge/>
          </w:tcPr>
          <w:p w14:paraId="75795148" w14:textId="77777777" w:rsidR="00FE57F6" w:rsidRPr="00813E5E" w:rsidRDefault="00FE57F6" w:rsidP="00C538FC">
            <w:pPr>
              <w:tabs>
                <w:tab w:val="left" w:pos="851"/>
              </w:tabs>
              <w:spacing w:line="240" w:lineRule="atLeast"/>
              <w:rPr>
                <w:b/>
              </w:rPr>
            </w:pPr>
          </w:p>
        </w:tc>
        <w:tc>
          <w:tcPr>
            <w:tcW w:w="5245" w:type="dxa"/>
          </w:tcPr>
          <w:p w14:paraId="4A303303" w14:textId="77777777" w:rsidR="00FE57F6" w:rsidRPr="00F24B71" w:rsidRDefault="00F24B71" w:rsidP="00C538FC">
            <w:pPr>
              <w:tabs>
                <w:tab w:val="left" w:pos="851"/>
              </w:tabs>
              <w:spacing w:before="0" w:line="240" w:lineRule="atLeast"/>
              <w:jc w:val="right"/>
              <w:rPr>
                <w:b/>
                <w:bCs/>
              </w:rPr>
            </w:pPr>
            <w:r w:rsidRPr="00F24B71">
              <w:rPr>
                <w:rFonts w:cstheme="minorHAnsi"/>
                <w:b/>
                <w:bCs/>
                <w:lang w:val="fr-CH"/>
              </w:rPr>
              <w:t>Original: inglés</w:t>
            </w:r>
          </w:p>
        </w:tc>
      </w:tr>
      <w:tr w:rsidR="00FE57F6" w:rsidRPr="00813E5E" w14:paraId="5453099B" w14:textId="77777777" w:rsidTr="00C538FC">
        <w:trPr>
          <w:cantSplit/>
          <w:trHeight w:val="23"/>
        </w:trPr>
        <w:tc>
          <w:tcPr>
            <w:tcW w:w="3969" w:type="dxa"/>
          </w:tcPr>
          <w:p w14:paraId="4C41D252" w14:textId="77777777" w:rsidR="00FE57F6" w:rsidRPr="00813E5E" w:rsidRDefault="00FE57F6" w:rsidP="00C538FC">
            <w:pPr>
              <w:tabs>
                <w:tab w:val="left" w:pos="851"/>
              </w:tabs>
              <w:spacing w:line="240" w:lineRule="atLeast"/>
              <w:rPr>
                <w:b/>
              </w:rPr>
            </w:pPr>
          </w:p>
        </w:tc>
        <w:tc>
          <w:tcPr>
            <w:tcW w:w="5245" w:type="dxa"/>
          </w:tcPr>
          <w:p w14:paraId="142E6E88" w14:textId="77777777" w:rsidR="00FE57F6" w:rsidRDefault="00FE57F6" w:rsidP="00C538FC">
            <w:pPr>
              <w:tabs>
                <w:tab w:val="left" w:pos="851"/>
              </w:tabs>
              <w:spacing w:before="0" w:line="240" w:lineRule="atLeast"/>
              <w:jc w:val="right"/>
              <w:rPr>
                <w:b/>
              </w:rPr>
            </w:pPr>
          </w:p>
        </w:tc>
      </w:tr>
      <w:tr w:rsidR="00FE57F6" w:rsidRPr="00FE57F6" w14:paraId="1001EA2E" w14:textId="77777777" w:rsidTr="00C538FC">
        <w:trPr>
          <w:cantSplit/>
        </w:trPr>
        <w:tc>
          <w:tcPr>
            <w:tcW w:w="9214" w:type="dxa"/>
            <w:gridSpan w:val="2"/>
            <w:tcMar>
              <w:left w:w="0" w:type="dxa"/>
            </w:tcMar>
          </w:tcPr>
          <w:p w14:paraId="10A473FA" w14:textId="77777777" w:rsidR="00FE57F6" w:rsidRPr="004B5D49" w:rsidRDefault="00F24B71" w:rsidP="00C538FC">
            <w:pPr>
              <w:pStyle w:val="Source"/>
              <w:jc w:val="left"/>
              <w:rPr>
                <w:sz w:val="34"/>
                <w:szCs w:val="34"/>
                <w:lang w:val="es-ES"/>
              </w:rPr>
            </w:pPr>
            <w:r w:rsidRPr="00C538FC">
              <w:rPr>
                <w:rFonts w:cstheme="minorHAnsi"/>
                <w:sz w:val="34"/>
                <w:szCs w:val="34"/>
              </w:rPr>
              <w:t>Informe de</w:t>
            </w:r>
            <w:r w:rsidR="004B5D49">
              <w:rPr>
                <w:rFonts w:cstheme="minorHAnsi"/>
                <w:sz w:val="34"/>
                <w:szCs w:val="34"/>
              </w:rPr>
              <w:t xml:space="preserve"> </w:t>
            </w:r>
            <w:r w:rsidRPr="00C538FC">
              <w:rPr>
                <w:rFonts w:cstheme="minorHAnsi"/>
                <w:sz w:val="34"/>
                <w:szCs w:val="34"/>
              </w:rPr>
              <w:t>l</w:t>
            </w:r>
            <w:r w:rsidR="004B5D49">
              <w:rPr>
                <w:rFonts w:cstheme="minorHAnsi"/>
                <w:sz w:val="34"/>
                <w:szCs w:val="34"/>
              </w:rPr>
              <w:t>a</w:t>
            </w:r>
            <w:r w:rsidRPr="00C538FC">
              <w:rPr>
                <w:rFonts w:cstheme="minorHAnsi"/>
                <w:sz w:val="34"/>
                <w:szCs w:val="34"/>
              </w:rPr>
              <w:t xml:space="preserve"> Secretari</w:t>
            </w:r>
            <w:r w:rsidR="004B5D49">
              <w:rPr>
                <w:rFonts w:cstheme="minorHAnsi"/>
                <w:sz w:val="34"/>
                <w:szCs w:val="34"/>
              </w:rPr>
              <w:t>a</w:t>
            </w:r>
            <w:r w:rsidRPr="00C538FC">
              <w:rPr>
                <w:rFonts w:cstheme="minorHAnsi"/>
                <w:sz w:val="34"/>
                <w:szCs w:val="34"/>
              </w:rPr>
              <w:t xml:space="preserve"> General</w:t>
            </w:r>
          </w:p>
        </w:tc>
      </w:tr>
      <w:tr w:rsidR="00FE57F6" w:rsidRPr="00813E5E" w14:paraId="6E12D1EE" w14:textId="77777777" w:rsidTr="00C538FC">
        <w:trPr>
          <w:cantSplit/>
        </w:trPr>
        <w:tc>
          <w:tcPr>
            <w:tcW w:w="9214" w:type="dxa"/>
            <w:gridSpan w:val="2"/>
            <w:tcMar>
              <w:left w:w="0" w:type="dxa"/>
            </w:tcMar>
          </w:tcPr>
          <w:p w14:paraId="3481AE91" w14:textId="2AAA713E" w:rsidR="00FE57F6" w:rsidRPr="00607477" w:rsidRDefault="00607477" w:rsidP="00C538FC">
            <w:pPr>
              <w:pStyle w:val="Subtitle"/>
              <w:framePr w:hSpace="0" w:wrap="auto" w:hAnchor="text" w:xAlign="left" w:yAlign="inline"/>
              <w:rPr>
                <w:lang w:val="es-ES"/>
              </w:rPr>
            </w:pPr>
            <w:bookmarkStart w:id="1" w:name="_Hlk137629401"/>
            <w:r w:rsidRPr="00EC08D4">
              <w:rPr>
                <w:rFonts w:cstheme="minorHAnsi"/>
                <w:lang w:val="es-ES"/>
              </w:rPr>
              <w:t>ESTRATEGIA DE COORDINACIÓN DE LOS TRABAJOS DE LOS TRES SECTORES DE LA UNIÓN</w:t>
            </w:r>
            <w:bookmarkEnd w:id="1"/>
          </w:p>
        </w:tc>
      </w:tr>
      <w:tr w:rsidR="00FE57F6" w:rsidRPr="00813E5E" w14:paraId="26B12921" w14:textId="77777777" w:rsidTr="00C538FC">
        <w:trPr>
          <w:cantSplit/>
        </w:trPr>
        <w:tc>
          <w:tcPr>
            <w:tcW w:w="9214" w:type="dxa"/>
            <w:gridSpan w:val="2"/>
            <w:tcBorders>
              <w:top w:val="single" w:sz="4" w:space="0" w:color="auto"/>
              <w:bottom w:val="single" w:sz="4" w:space="0" w:color="auto"/>
            </w:tcBorders>
            <w:tcMar>
              <w:left w:w="0" w:type="dxa"/>
            </w:tcMar>
          </w:tcPr>
          <w:p w14:paraId="630C8ED2" w14:textId="77777777" w:rsidR="00FE57F6" w:rsidRPr="00F24B71" w:rsidRDefault="00F24B71" w:rsidP="00C538FC">
            <w:pPr>
              <w:spacing w:before="160"/>
              <w:rPr>
                <w:b/>
                <w:bCs/>
                <w:sz w:val="26"/>
                <w:szCs w:val="26"/>
                <w:lang w:val="es-ES"/>
              </w:rPr>
            </w:pPr>
            <w:r w:rsidRPr="00F24B71">
              <w:rPr>
                <w:b/>
                <w:bCs/>
                <w:sz w:val="26"/>
                <w:szCs w:val="26"/>
                <w:lang w:val="es-ES"/>
              </w:rPr>
              <w:t>Finalidad (Objetivo)</w:t>
            </w:r>
          </w:p>
          <w:p w14:paraId="469B31E1" w14:textId="77777777" w:rsidR="00607477" w:rsidRDefault="00607477" w:rsidP="00C538FC">
            <w:pPr>
              <w:spacing w:before="160"/>
              <w:rPr>
                <w:lang w:val="es-ES"/>
              </w:rPr>
            </w:pPr>
            <w:r w:rsidRPr="00EC08D4">
              <w:rPr>
                <w:lang w:val="es-ES"/>
              </w:rPr>
              <w:t>En este documento se presenta la estrategia para la coordinación de esfuerzos entre los tres Sectores de la Unión y la Secretaría General tras las decisiones de los Estados Miembros adoptadas en la Conferencia de Plenipotenciarios (Bucarest, 2022) (PP-22).</w:t>
            </w:r>
          </w:p>
          <w:p w14:paraId="0C143420" w14:textId="20786A85" w:rsidR="00FE57F6" w:rsidRPr="00F24B71" w:rsidRDefault="00F24B71" w:rsidP="00C538FC">
            <w:pPr>
              <w:spacing w:before="160"/>
              <w:rPr>
                <w:b/>
                <w:bCs/>
                <w:sz w:val="26"/>
                <w:szCs w:val="26"/>
                <w:lang w:val="es-ES"/>
              </w:rPr>
            </w:pPr>
            <w:r w:rsidRPr="00F24B71">
              <w:rPr>
                <w:b/>
                <w:bCs/>
                <w:sz w:val="26"/>
                <w:szCs w:val="26"/>
                <w:lang w:val="es-ES"/>
              </w:rPr>
              <w:t xml:space="preserve">Acción solicitada </w:t>
            </w:r>
            <w:r w:rsidR="00677A97">
              <w:rPr>
                <w:b/>
                <w:bCs/>
                <w:sz w:val="26"/>
                <w:szCs w:val="26"/>
                <w:lang w:val="es-ES"/>
              </w:rPr>
              <w:t>al</w:t>
            </w:r>
            <w:r w:rsidRPr="00F24B71">
              <w:rPr>
                <w:b/>
                <w:bCs/>
                <w:sz w:val="26"/>
                <w:szCs w:val="26"/>
                <w:lang w:val="es-ES"/>
              </w:rPr>
              <w:t xml:space="preserve"> Consejo</w:t>
            </w:r>
          </w:p>
          <w:p w14:paraId="7E2073E2" w14:textId="0DFBB528" w:rsidR="00FE57F6" w:rsidRPr="00F24B71" w:rsidRDefault="00607477" w:rsidP="00C538FC">
            <w:pPr>
              <w:rPr>
                <w:lang w:val="es-ES"/>
              </w:rPr>
            </w:pPr>
            <w:r w:rsidRPr="00EC08D4">
              <w:rPr>
                <w:lang w:val="es-ES"/>
              </w:rPr>
              <w:t>Se invita al Consejo a tomar nota de este informe y a solicitar a la Secretaría que lo transmita, a título informativo, al Grupo Asesor de Radiocomunicaciones (GAR), al Grupo Asesor de Normalización de las Telecomunicaciones (GANT) y al Grupo Asesor de Desarrollo de las Telecomunicaciones (GADT).</w:t>
            </w:r>
          </w:p>
          <w:p w14:paraId="3E0A9126" w14:textId="77777777" w:rsidR="00FE57F6" w:rsidRPr="00F24B71" w:rsidRDefault="00F24B71" w:rsidP="00C538FC">
            <w:pPr>
              <w:spacing w:before="160"/>
              <w:rPr>
                <w:b/>
                <w:bCs/>
                <w:sz w:val="26"/>
                <w:szCs w:val="26"/>
                <w:lang w:val="es-ES"/>
              </w:rPr>
            </w:pPr>
            <w:r w:rsidRPr="00F24B71">
              <w:rPr>
                <w:b/>
                <w:bCs/>
                <w:sz w:val="26"/>
                <w:szCs w:val="26"/>
                <w:lang w:val="es-ES"/>
              </w:rPr>
              <w:t>Vínculos pertinentes con el Plan Estratégico</w:t>
            </w:r>
          </w:p>
          <w:p w14:paraId="366F35F2" w14:textId="38EC9490" w:rsidR="00FE57F6" w:rsidRPr="00F24B71" w:rsidRDefault="00607477" w:rsidP="00C538FC">
            <w:pPr>
              <w:rPr>
                <w:lang w:val="es-ES"/>
              </w:rPr>
            </w:pPr>
            <w:r w:rsidRPr="00EC08D4">
              <w:rPr>
                <w:lang w:val="es-ES"/>
              </w:rPr>
              <w:t>Excelencia en recursos humanos e innovación institucional.</w:t>
            </w:r>
          </w:p>
          <w:p w14:paraId="43331EB7" w14:textId="77777777" w:rsidR="00607477" w:rsidRDefault="00F24B71" w:rsidP="00C538FC">
            <w:pPr>
              <w:spacing w:before="160"/>
              <w:rPr>
                <w:b/>
                <w:bCs/>
                <w:sz w:val="26"/>
                <w:szCs w:val="26"/>
              </w:rPr>
            </w:pPr>
            <w:r w:rsidRPr="00F24B71">
              <w:rPr>
                <w:b/>
                <w:bCs/>
                <w:sz w:val="26"/>
                <w:szCs w:val="26"/>
              </w:rPr>
              <w:t xml:space="preserve">Repercusiones financieras: </w:t>
            </w:r>
          </w:p>
          <w:p w14:paraId="63756844" w14:textId="0E83ED51" w:rsidR="00FE57F6" w:rsidRDefault="00607477" w:rsidP="00C538FC">
            <w:pPr>
              <w:spacing w:before="160"/>
              <w:rPr>
                <w:b/>
                <w:bCs/>
                <w:sz w:val="26"/>
                <w:szCs w:val="26"/>
              </w:rPr>
            </w:pPr>
            <w:r w:rsidRPr="00EC08D4">
              <w:rPr>
                <w:lang w:val="es-ES"/>
              </w:rPr>
              <w:t>Ninguna</w:t>
            </w:r>
            <w:r>
              <w:rPr>
                <w:lang w:val="es-ES"/>
              </w:rPr>
              <w:t>.</w:t>
            </w:r>
          </w:p>
          <w:p w14:paraId="2A2DF35D" w14:textId="77777777" w:rsidR="00FE57F6" w:rsidRPr="00813E5E" w:rsidRDefault="00FE57F6" w:rsidP="00C538FC">
            <w:pPr>
              <w:spacing w:before="160"/>
              <w:rPr>
                <w:caps/>
                <w:sz w:val="22"/>
              </w:rPr>
            </w:pPr>
            <w:r w:rsidRPr="00813E5E">
              <w:rPr>
                <w:sz w:val="22"/>
              </w:rPr>
              <w:t>____________</w:t>
            </w:r>
            <w:r>
              <w:rPr>
                <w:sz w:val="22"/>
              </w:rPr>
              <w:t>______</w:t>
            </w:r>
          </w:p>
          <w:p w14:paraId="3FDDF786" w14:textId="0604564D" w:rsidR="00FE57F6" w:rsidRDefault="00F24B71" w:rsidP="00C538FC">
            <w:pPr>
              <w:spacing w:before="160"/>
              <w:rPr>
                <w:b/>
                <w:bCs/>
                <w:sz w:val="26"/>
                <w:szCs w:val="26"/>
              </w:rPr>
            </w:pPr>
            <w:r w:rsidRPr="00F24B71">
              <w:rPr>
                <w:b/>
                <w:bCs/>
                <w:sz w:val="26"/>
                <w:szCs w:val="26"/>
              </w:rPr>
              <w:t>Referencia</w:t>
            </w:r>
            <w:r w:rsidR="00607477">
              <w:rPr>
                <w:b/>
                <w:bCs/>
                <w:sz w:val="26"/>
                <w:szCs w:val="26"/>
              </w:rPr>
              <w:t>s</w:t>
            </w:r>
          </w:p>
          <w:bookmarkStart w:id="2" w:name="lt_pId023"/>
          <w:p w14:paraId="416DA71F" w14:textId="3AA868A6" w:rsidR="00FE57F6" w:rsidRDefault="00607477" w:rsidP="00C538FC">
            <w:pPr>
              <w:spacing w:after="160"/>
            </w:pPr>
            <w:r w:rsidRPr="00EC08D4">
              <w:fldChar w:fldCharType="begin"/>
            </w:r>
            <w:r w:rsidR="00307F66">
              <w:instrText>HYPERLINK "https://www.itu.int/en/council/Documents/basic-texts-2023/RES-071-s.pdf"</w:instrText>
            </w:r>
            <w:r w:rsidRPr="00EC08D4">
              <w:fldChar w:fldCharType="separate"/>
            </w:r>
            <w:r w:rsidRPr="00EC08D4">
              <w:rPr>
                <w:rStyle w:val="Hyperlink"/>
                <w:i/>
                <w:iCs/>
                <w:sz w:val="22"/>
                <w:szCs w:val="22"/>
                <w:lang w:val="es-ES"/>
              </w:rPr>
              <w:t>Resolución 71</w:t>
            </w:r>
            <w:r w:rsidRPr="00EC08D4">
              <w:rPr>
                <w:rStyle w:val="Hyperlink"/>
                <w:i/>
                <w:iCs/>
                <w:sz w:val="22"/>
                <w:szCs w:val="22"/>
                <w:lang w:val="es-ES"/>
              </w:rPr>
              <w:fldChar w:fldCharType="end"/>
            </w:r>
            <w:r w:rsidRPr="00EC08D4">
              <w:rPr>
                <w:i/>
                <w:iCs/>
                <w:sz w:val="22"/>
                <w:szCs w:val="22"/>
                <w:lang w:val="es-ES"/>
              </w:rPr>
              <w:t xml:space="preserve"> (Rev. Bucarest, 2022) y Resolución </w:t>
            </w:r>
            <w:hyperlink r:id="rId6" w:history="1">
              <w:r w:rsidRPr="00EC08D4">
                <w:rPr>
                  <w:rStyle w:val="Hyperlink"/>
                  <w:i/>
                  <w:iCs/>
                  <w:sz w:val="22"/>
                  <w:szCs w:val="22"/>
                  <w:lang w:val="es-ES"/>
                </w:rPr>
                <w:t>191</w:t>
              </w:r>
            </w:hyperlink>
            <w:r w:rsidRPr="00EC08D4">
              <w:rPr>
                <w:i/>
                <w:iCs/>
                <w:sz w:val="22"/>
                <w:szCs w:val="22"/>
                <w:lang w:val="es-ES"/>
              </w:rPr>
              <w:t xml:space="preserve"> (Rev. Bucarest, 2022), y </w:t>
            </w:r>
            <w:hyperlink r:id="rId7" w:history="1">
              <w:r w:rsidRPr="00EC08D4">
                <w:rPr>
                  <w:rStyle w:val="Hyperlink"/>
                  <w:i/>
                  <w:iCs/>
                  <w:sz w:val="22"/>
                  <w:szCs w:val="22"/>
                  <w:lang w:val="es-ES"/>
                </w:rPr>
                <w:t>Decisión 5</w:t>
              </w:r>
            </w:hyperlink>
            <w:r w:rsidRPr="00EC08D4">
              <w:rPr>
                <w:i/>
                <w:iCs/>
                <w:sz w:val="22"/>
                <w:szCs w:val="22"/>
                <w:lang w:val="es-ES"/>
              </w:rPr>
              <w:t xml:space="preserve"> (Rev. Bucarest, 2022) </w:t>
            </w:r>
            <w:bookmarkEnd w:id="2"/>
            <w:r w:rsidRPr="00EC08D4">
              <w:rPr>
                <w:i/>
                <w:iCs/>
                <w:sz w:val="22"/>
                <w:szCs w:val="22"/>
                <w:lang w:val="es-ES"/>
              </w:rPr>
              <w:t>de la Conferencia de Plenipotenciarios</w:t>
            </w:r>
          </w:p>
        </w:tc>
      </w:tr>
      <w:bookmarkEnd w:id="0"/>
    </w:tbl>
    <w:p w14:paraId="75839ACC" w14:textId="77777777" w:rsidR="00093EEB" w:rsidRDefault="00093EEB"/>
    <w:p w14:paraId="54D66CB5" w14:textId="77777777" w:rsidR="001559F5" w:rsidRDefault="001559F5">
      <w:pPr>
        <w:tabs>
          <w:tab w:val="clear" w:pos="567"/>
          <w:tab w:val="clear" w:pos="1134"/>
          <w:tab w:val="clear" w:pos="1701"/>
          <w:tab w:val="clear" w:pos="2268"/>
          <w:tab w:val="clear" w:pos="2835"/>
        </w:tabs>
        <w:overflowPunct/>
        <w:autoSpaceDE/>
        <w:autoSpaceDN/>
        <w:adjustRightInd/>
        <w:spacing w:before="0"/>
        <w:textAlignment w:val="auto"/>
      </w:pPr>
      <w:r>
        <w:br w:type="page"/>
      </w:r>
    </w:p>
    <w:p w14:paraId="7A490D0D" w14:textId="77777777" w:rsidR="00607477" w:rsidRPr="009B6B55" w:rsidRDefault="00607477" w:rsidP="00607477">
      <w:pPr>
        <w:pStyle w:val="Heading1"/>
      </w:pPr>
      <w:r w:rsidRPr="009B6B55">
        <w:lastRenderedPageBreak/>
        <w:t>1</w:t>
      </w:r>
      <w:r w:rsidRPr="009B6B55">
        <w:tab/>
      </w:r>
      <w:bookmarkStart w:id="3" w:name="_Hlk135836563"/>
      <w:r w:rsidRPr="009B6B55">
        <w:t>Estrategia para la coordinación intersectorial</w:t>
      </w:r>
    </w:p>
    <w:p w14:paraId="5F86B12B" w14:textId="77777777" w:rsidR="00607477" w:rsidRPr="009B6B55" w:rsidRDefault="00607477" w:rsidP="00607477">
      <w:r w:rsidRPr="009B6B55">
        <w:t>1.1</w:t>
      </w:r>
      <w:r w:rsidRPr="009B6B55">
        <w:tab/>
        <w:t>La Conferencia de Plenipotenciarios de 2022 (PP-22) encarga a la Secretaria General, mediante la Resolución 191 (Rev. Bucarest, 2022), que siga mejorando la estrategia de coordinación y cooperación para lograr un trabajo eficaz y eficiente en aquellas temáticas de interés mutuo para los tres Sectores de la Unión y la Secretaría General, a fin de evitar la duplicación de actividades y optimizar la utilización de recursos de la Unión. Por añadidura, encarga a la Secretaria General que determine toda forma y ejemplo de solapamiento de funciones y actividades entre los Sectores de la UIT y con la Secretaría General, y que proponga soluciones al respecto.</w:t>
      </w:r>
    </w:p>
    <w:bookmarkEnd w:id="3"/>
    <w:p w14:paraId="4D47ABCB" w14:textId="77777777" w:rsidR="00607477" w:rsidRPr="009B6B55" w:rsidRDefault="00607477" w:rsidP="00607477">
      <w:r w:rsidRPr="009B6B55">
        <w:t>1.2</w:t>
      </w:r>
      <w:r w:rsidRPr="009B6B55">
        <w:tab/>
      </w:r>
      <w:bookmarkStart w:id="4" w:name="_Hlk135836641"/>
      <w:r w:rsidRPr="009B6B55">
        <w:t>En virtud de la Orden de Servicio Nº 23/06, la Secretaria General ha delegado en el Vicesecretario General la puesta en marcha de estrategias y mecanismos de coordinación intersectorial para facilitar la colaboración y coordinación de actividades dentro de la Unión, a través de equipos intersectoriales, con el fin de lograr "Una UIT".</w:t>
      </w:r>
      <w:bookmarkEnd w:id="4"/>
    </w:p>
    <w:p w14:paraId="5196572C" w14:textId="77777777" w:rsidR="00607477" w:rsidRPr="009B6B55" w:rsidRDefault="00607477" w:rsidP="00607477">
      <w:r w:rsidRPr="009B6B55">
        <w:t>1.3</w:t>
      </w:r>
      <w:r w:rsidRPr="009B6B55">
        <w:tab/>
        <w:t xml:space="preserve">La relación de Resoluciones de las principales conferencias y asambleas de la UIT (Conferencia de Plenipotenciarios, Asamblea de Radiocomunicaciones, Conferencia Mundial de Radiocomunicaciones, Asamblea Mundial de Normalización de las Telecomunicaciones y Conferencia Mundial de Desarrollo de las Telecomunicaciones), que se llevó a cabo una vez concluidos los trabajos de la PP-22 en octubre de 2022, puede consultarse en el sitio web de la UIT, en el punto </w:t>
      </w:r>
      <w:hyperlink r:id="rId8" w:history="1">
        <w:r w:rsidRPr="009B6B55">
          <w:rPr>
            <w:rStyle w:val="Hyperlink"/>
          </w:rPr>
          <w:t>Coordinación intersectorial</w:t>
        </w:r>
      </w:hyperlink>
      <w:r w:rsidRPr="009B6B55">
        <w:t>.</w:t>
      </w:r>
    </w:p>
    <w:p w14:paraId="0F9B1751" w14:textId="6DC1E5E5" w:rsidR="00607477" w:rsidRPr="009B6B55" w:rsidRDefault="00607477" w:rsidP="00607477">
      <w:r w:rsidRPr="009B6B55">
        <w:t>1.4</w:t>
      </w:r>
      <w:r w:rsidRPr="009B6B55">
        <w:tab/>
        <w:t>El Vicesecretario General dirigió un análisis más detallado con el fin de proponer una estrategia que permita gestionar el creciente número de esferas de interés común, en la que se defina claramente el objetivo y las relaciones jerárquicas, así como mecanismos de supervisión y evaluación, para facilitar el seguimiento de la aplicación de la Resolución</w:t>
      </w:r>
      <w:r w:rsidR="001A1013">
        <w:t> </w:t>
      </w:r>
      <w:r w:rsidRPr="009B6B55">
        <w:t>191 (Rev. Bucarest, 2022) de la Conferencia de Plenipotenciarios.</w:t>
      </w:r>
    </w:p>
    <w:p w14:paraId="4BDA3A38" w14:textId="77777777" w:rsidR="00607477" w:rsidRPr="009B6B55" w:rsidRDefault="00607477" w:rsidP="00607477">
      <w:r w:rsidRPr="009B6B55">
        <w:t>1.5</w:t>
      </w:r>
      <w:r w:rsidRPr="009B6B55">
        <w:tab/>
        <w:t>En la nueva estrategia se propone un mecanismo de coordinación intersectorial que se articula en torno a tres vías en función de los temas y el nivel de coordinación necesarios. Estas vías son:</w:t>
      </w:r>
    </w:p>
    <w:p w14:paraId="0DF84E3D" w14:textId="77777777" w:rsidR="00607477" w:rsidRPr="009B6B55" w:rsidRDefault="00607477" w:rsidP="00607477">
      <w:pPr>
        <w:pStyle w:val="enumlev1"/>
      </w:pPr>
      <w:r w:rsidRPr="009B6B55">
        <w:t>a)</w:t>
      </w:r>
      <w:r w:rsidRPr="009B6B55">
        <w:tab/>
        <w:t>Dirección estratégica</w:t>
      </w:r>
    </w:p>
    <w:p w14:paraId="09DE301D" w14:textId="77777777" w:rsidR="00607477" w:rsidRPr="009B6B55" w:rsidRDefault="00607477" w:rsidP="00607477">
      <w:pPr>
        <w:pStyle w:val="enumlev1"/>
      </w:pPr>
      <w:r w:rsidRPr="009B6B55">
        <w:tab/>
        <w:t>El Vicesecretario General y los Directores de las Oficinas "propugnarán" temas considerados estratégicos para que la Unión dirija y oriente su labor, con arreglo a su mandato y sus objetivos estratégicos (conectividad universal y transformación digital sostenible), y a la importancia de impulsar el sistema dentro de las Naciones Unidas hacia la consecución de los Objetivos de Desarrollo Sostenible para 2030.</w:t>
      </w:r>
    </w:p>
    <w:p w14:paraId="2BE8739F" w14:textId="77777777" w:rsidR="00607477" w:rsidRPr="009B6B55" w:rsidRDefault="00607477" w:rsidP="00607477">
      <w:pPr>
        <w:pStyle w:val="enumlev1"/>
      </w:pPr>
      <w:r w:rsidRPr="009B6B55">
        <w:tab/>
        <w:t>Esta vía se coordinará y revisará en el Comité de Coordinación (CoCo).</w:t>
      </w:r>
      <w:r w:rsidRPr="009B6B55">
        <w:rPr>
          <w:rStyle w:val="FootnoteReference"/>
        </w:rPr>
        <w:footnoteReference w:id="1"/>
      </w:r>
    </w:p>
    <w:p w14:paraId="2F808FCA" w14:textId="77777777" w:rsidR="001A1013" w:rsidRDefault="001A1013">
      <w:pPr>
        <w:tabs>
          <w:tab w:val="clear" w:pos="567"/>
          <w:tab w:val="clear" w:pos="1134"/>
          <w:tab w:val="clear" w:pos="1701"/>
          <w:tab w:val="clear" w:pos="2268"/>
          <w:tab w:val="clear" w:pos="2835"/>
        </w:tabs>
        <w:overflowPunct/>
        <w:autoSpaceDE/>
        <w:autoSpaceDN/>
        <w:adjustRightInd/>
        <w:spacing w:before="0"/>
        <w:textAlignment w:val="auto"/>
      </w:pPr>
      <w:r>
        <w:br w:type="page"/>
      </w:r>
    </w:p>
    <w:p w14:paraId="0FA85F40" w14:textId="429D8192" w:rsidR="00607477" w:rsidRPr="009B6B55" w:rsidRDefault="00607477" w:rsidP="00607477">
      <w:pPr>
        <w:pStyle w:val="enumlev1"/>
      </w:pPr>
      <w:r w:rsidRPr="009B6B55">
        <w:lastRenderedPageBreak/>
        <w:t>b)</w:t>
      </w:r>
      <w:r w:rsidRPr="009B6B55">
        <w:tab/>
        <w:t>Coordinación programática</w:t>
      </w:r>
    </w:p>
    <w:p w14:paraId="495ACE7A" w14:textId="77777777" w:rsidR="00607477" w:rsidRPr="009B6B55" w:rsidRDefault="00607477" w:rsidP="00607477">
      <w:pPr>
        <w:pStyle w:val="enumlev1"/>
      </w:pPr>
      <w:r w:rsidRPr="009B6B55">
        <w:tab/>
        <w:t>Esta vía sustituirá al Grupo Especial de Coordinación Intersectorial (GE-CIS) y estará dirigida por el Grupo de Coordinación de la Gestión (GCG),</w:t>
      </w:r>
      <w:r w:rsidRPr="009B6B55">
        <w:rPr>
          <w:rStyle w:val="FootnoteReference"/>
        </w:rPr>
        <w:footnoteReference w:id="2"/>
      </w:r>
      <w:r w:rsidRPr="009B6B55">
        <w:t xml:space="preserve"> incluidos los directores regionales, para garantizar sinergias, evitar la duplicación de actividades y optimizar la utilización de los recursos, a fin de aprovechar al máximo los efectos de los temas programáticos, así como para mejorar la coordinación y la colaboración entre los tres Sectores de la UIT y la Secretaría General en la ejecución de las actividades a través de las oficinas regionales.</w:t>
      </w:r>
    </w:p>
    <w:p w14:paraId="3BAFE8F3" w14:textId="77777777" w:rsidR="00607477" w:rsidRPr="009B6B55" w:rsidRDefault="00607477" w:rsidP="00607477">
      <w:pPr>
        <w:pStyle w:val="enumlev1"/>
      </w:pPr>
      <w:r w:rsidRPr="009B6B55">
        <w:tab/>
        <w:t>Se elaborará un plan de trabajo anual e informes semestrales por tema con fines de seguimiento y evaluación.</w:t>
      </w:r>
    </w:p>
    <w:p w14:paraId="668888D1" w14:textId="77777777" w:rsidR="00607477" w:rsidRPr="009B6B55" w:rsidRDefault="00607477" w:rsidP="00607477">
      <w:pPr>
        <w:pStyle w:val="enumlev1"/>
      </w:pPr>
      <w:r w:rsidRPr="009B6B55">
        <w:t>c)</w:t>
      </w:r>
      <w:r w:rsidRPr="009B6B55">
        <w:tab/>
        <w:t>Decisiones relativas al rendimiento y la transformación</w:t>
      </w:r>
    </w:p>
    <w:p w14:paraId="1EF5B243" w14:textId="1538ECBE" w:rsidR="00607477" w:rsidRPr="00EC08D4" w:rsidRDefault="00607477" w:rsidP="00607477">
      <w:pPr>
        <w:pStyle w:val="enumlev1"/>
        <w:rPr>
          <w:rStyle w:val="normaltextrun"/>
          <w:rFonts w:cs="Calibri"/>
          <w:szCs w:val="24"/>
          <w:lang w:val="es-ES" w:eastAsia="en-GB"/>
        </w:rPr>
      </w:pPr>
      <w:r w:rsidRPr="009B6B55">
        <w:tab/>
        <w:t>Esta vía abordará temas relacionados con la excelencia institucional. Bajo la dirección del Vicesecretario General, se adoptarán medidas coordinadas junto con los Directores</w:t>
      </w:r>
      <w:r w:rsidR="001A1013">
        <w:t> </w:t>
      </w:r>
      <w:r w:rsidRPr="009B6B55">
        <w:t>Adjuntos de las Oficinas del grupo D2</w:t>
      </w:r>
      <w:r w:rsidRPr="009B6B55">
        <w:rPr>
          <w:rStyle w:val="FootnoteReference"/>
        </w:rPr>
        <w:footnoteReference w:id="3"/>
      </w:r>
      <w:r w:rsidRPr="009B6B55">
        <w:t>, para que los trabajos se ajusten al concepto de "Una UIT".</w:t>
      </w:r>
    </w:p>
    <w:p w14:paraId="52C4833D" w14:textId="5B7E71AB" w:rsidR="00607477" w:rsidRPr="00EC08D4" w:rsidRDefault="00607477" w:rsidP="00607477">
      <w:pPr>
        <w:rPr>
          <w:rStyle w:val="normaltextrun"/>
          <w:rFonts w:cs="Calibri"/>
          <w:lang w:val="es-ES" w:eastAsia="en-GB"/>
        </w:rPr>
      </w:pPr>
      <w:r w:rsidRPr="00EC08D4">
        <w:rPr>
          <w:rStyle w:val="normaltextrun"/>
          <w:rFonts w:cs="Calibri"/>
          <w:lang w:val="es-ES" w:eastAsia="en-GB"/>
        </w:rPr>
        <w:t>1.6</w:t>
      </w:r>
      <w:r w:rsidRPr="00EC08D4">
        <w:rPr>
          <w:lang w:val="es-ES"/>
        </w:rPr>
        <w:tab/>
      </w:r>
      <w:r w:rsidRPr="00466BC7">
        <w:rPr>
          <w:lang w:val="es-ES" w:eastAsia="en-GB"/>
        </w:rPr>
        <w:t>Los temas que no puedan coordinarse estrechamente en ninguna de las tres vías propuestas, se comunicarán a través del "mecanismo de intercambio de información". El</w:t>
      </w:r>
      <w:r w:rsidR="001A1013">
        <w:rPr>
          <w:lang w:val="es-ES" w:eastAsia="en-GB"/>
        </w:rPr>
        <w:t> </w:t>
      </w:r>
      <w:r w:rsidRPr="00466BC7">
        <w:rPr>
          <w:lang w:val="es-ES" w:eastAsia="en-GB"/>
        </w:rPr>
        <w:t xml:space="preserve">CoCo, el </w:t>
      </w:r>
      <w:r w:rsidRPr="00C35C44">
        <w:rPr>
          <w:rStyle w:val="normaltextrun"/>
          <w:rFonts w:cs="Calibri"/>
          <w:szCs w:val="24"/>
          <w:lang w:val="es-ES" w:eastAsia="en-GB"/>
        </w:rPr>
        <w:t>GCG</w:t>
      </w:r>
      <w:r w:rsidRPr="00466BC7">
        <w:rPr>
          <w:lang w:val="es-ES" w:eastAsia="en-GB"/>
        </w:rPr>
        <w:t xml:space="preserve"> y el grupo D2 decidirán</w:t>
      </w:r>
      <w:r>
        <w:rPr>
          <w:lang w:val="es-ES" w:eastAsia="en-GB"/>
        </w:rPr>
        <w:t xml:space="preserve"> </w:t>
      </w:r>
      <w:r w:rsidRPr="00466BC7">
        <w:rPr>
          <w:lang w:val="es-ES" w:eastAsia="en-GB"/>
        </w:rPr>
        <w:t>(</w:t>
      </w:r>
      <w:r>
        <w:rPr>
          <w:lang w:val="es-ES" w:eastAsia="en-GB"/>
        </w:rPr>
        <w:t>en función de</w:t>
      </w:r>
      <w:r w:rsidRPr="00466BC7">
        <w:rPr>
          <w:lang w:val="es-ES" w:eastAsia="en-GB"/>
        </w:rPr>
        <w:t xml:space="preserve"> la categoría </w:t>
      </w:r>
      <w:r>
        <w:rPr>
          <w:lang w:val="es-ES" w:eastAsia="en-GB"/>
        </w:rPr>
        <w:t xml:space="preserve">a la que </w:t>
      </w:r>
      <w:r w:rsidRPr="00466BC7">
        <w:rPr>
          <w:lang w:val="es-ES" w:eastAsia="en-GB"/>
        </w:rPr>
        <w:t>pertenezca el tema en cuestión</w:t>
      </w:r>
      <w:r>
        <w:rPr>
          <w:lang w:val="es-ES" w:eastAsia="en-GB"/>
        </w:rPr>
        <w:t xml:space="preserve"> de entre las categorías descritas</w:t>
      </w:r>
      <w:r w:rsidRPr="00466BC7">
        <w:rPr>
          <w:lang w:val="es-ES" w:eastAsia="en-GB"/>
        </w:rPr>
        <w:t>) quién se encargará de coordinar todos los temas acordados. La Secretaría de la UIT elaborará directrices para supervisar la aplicación y evaluar la incidencia de la coordinación intersectorial en su conjunto, incluido el mecanismo de intercambio de información a escala de la UIT</w:t>
      </w:r>
      <w:r w:rsidRPr="00EC08D4">
        <w:rPr>
          <w:rStyle w:val="normaltextrun"/>
          <w:rFonts w:cs="Calibri"/>
          <w:lang w:val="es-ES" w:eastAsia="en-GB"/>
        </w:rPr>
        <w:t>.</w:t>
      </w:r>
    </w:p>
    <w:p w14:paraId="57EB9F43" w14:textId="77777777" w:rsidR="00607477" w:rsidRPr="009B6B55" w:rsidRDefault="00607477" w:rsidP="00607477">
      <w:r w:rsidRPr="009B6B55">
        <w:t>1.7</w:t>
      </w:r>
      <w:r w:rsidRPr="009B6B55">
        <w:tab/>
        <w:t>La Secretaría, bajo la coordinación del Vicesecretario General, también se mantendrá en contacto con los Grupos Asesores de los Sectores y con el Grupo de Coordinación Intersectorial de dichos Grupos Asesores para determinar las necesidades de los Miembros.</w:t>
      </w:r>
    </w:p>
    <w:p w14:paraId="0549C0F5" w14:textId="1CDB925A" w:rsidR="00607477" w:rsidRPr="009B6B55" w:rsidRDefault="00607477" w:rsidP="00607477">
      <w:pPr>
        <w:pStyle w:val="Heading1"/>
      </w:pPr>
      <w:bookmarkStart w:id="5" w:name="_Hlk133931815"/>
      <w:r w:rsidRPr="009B6B55">
        <w:t>2</w:t>
      </w:r>
      <w:r w:rsidRPr="009B6B55">
        <w:tab/>
        <w:t>Grupo de Coordinación Intersectorial</w:t>
      </w:r>
      <w:bookmarkEnd w:id="5"/>
    </w:p>
    <w:p w14:paraId="797C34E4" w14:textId="77777777" w:rsidR="00607477" w:rsidRPr="009B6B55" w:rsidRDefault="00607477" w:rsidP="00607477">
      <w:r w:rsidRPr="00EC08D4">
        <w:rPr>
          <w:rStyle w:val="normaltextrun"/>
          <w:rFonts w:cs="Calibri"/>
          <w:szCs w:val="24"/>
          <w:lang w:val="es-ES" w:eastAsia="en-GB"/>
        </w:rPr>
        <w:t>2.1</w:t>
      </w:r>
      <w:r w:rsidRPr="00EC08D4">
        <w:rPr>
          <w:rStyle w:val="normaltextrun"/>
          <w:rFonts w:cs="Calibri"/>
          <w:szCs w:val="24"/>
          <w:lang w:val="es-ES" w:eastAsia="en-GB"/>
        </w:rPr>
        <w:tab/>
      </w:r>
      <w:r w:rsidRPr="00C35C44">
        <w:rPr>
          <w:rStyle w:val="normaltextrun"/>
          <w:rFonts w:cs="Calibri"/>
          <w:szCs w:val="24"/>
          <w:lang w:val="es-ES" w:eastAsia="en-GB"/>
        </w:rPr>
        <w:t xml:space="preserve">El Grupo de Coordinación Intersectorial (GCI), en su calidad de mecanismo de coordinación de los </w:t>
      </w:r>
      <w:r w:rsidRPr="009B6B55">
        <w:t xml:space="preserve">Miembros, se reunió el 2 de mayo de 2023, junto con el Grupo Asesor de Radiocomunicaciones (GAR), y continuó debatiendo sobre la accesibilidad, el cambio climático y las reuniones electrónicas, con el objetivo de identificar las necesidades de los Miembros y proporcionar a la Secretaría el asesoramiento necesario en esferas de interés común. Se presentó verbalmente un informe a la reunión del GAR. El informe de la reunión también se presentó al Grupo Asesor de Normalización de las Telecomunicaciones (GANT) y al Grupo Asesor de Desarrollo de las Telecomunicaciones (GADT), en junio de 2023, para información y acción. </w:t>
      </w:r>
    </w:p>
    <w:p w14:paraId="2D061061" w14:textId="150B2DC0" w:rsidR="00607477" w:rsidRPr="00EC08D4" w:rsidRDefault="00607477" w:rsidP="00607477">
      <w:pPr>
        <w:rPr>
          <w:rStyle w:val="normaltextrun"/>
          <w:rFonts w:cs="Calibri"/>
          <w:lang w:val="es-ES" w:eastAsia="en-GB"/>
        </w:rPr>
      </w:pPr>
      <w:r w:rsidRPr="009B6B55">
        <w:lastRenderedPageBreak/>
        <w:t>2.2</w:t>
      </w:r>
      <w:r w:rsidRPr="009B6B55">
        <w:tab/>
        <w:t>Entre los temas debatidos, el GCI manifestó su interés por participar en el proyecto del nuevo edificio para asegurarse de que se tienen en cuenta todas las cuestiones relativas a la accesibilidad. Además, se planteó la necesidad de establecer procedimientos normalizados para las reuniones de</w:t>
      </w:r>
      <w:r w:rsidRPr="00C35C44">
        <w:rPr>
          <w:rStyle w:val="normaltextrun"/>
          <w:rFonts w:cs="Calibri"/>
          <w:szCs w:val="24"/>
          <w:lang w:val="es-ES" w:eastAsia="en-GB"/>
        </w:rPr>
        <w:t xml:space="preserve"> la UIT. El </w:t>
      </w:r>
      <w:r>
        <w:rPr>
          <w:rStyle w:val="normaltextrun"/>
          <w:rFonts w:cs="Calibri"/>
          <w:szCs w:val="24"/>
          <w:lang w:val="es-ES" w:eastAsia="en-GB"/>
        </w:rPr>
        <w:t>GCI</w:t>
      </w:r>
      <w:r w:rsidRPr="00C35C44">
        <w:rPr>
          <w:rStyle w:val="normaltextrun"/>
          <w:rFonts w:cs="Calibri"/>
          <w:szCs w:val="24"/>
          <w:lang w:val="es-ES" w:eastAsia="en-GB"/>
        </w:rPr>
        <w:t xml:space="preserve"> también instó a la Secretaría de la UIT a avanzar en los trabajos de armonización de los sitios web de los Sectores de la UIT para garantizar la claridad, facilitar la </w:t>
      </w:r>
      <w:r w:rsidRPr="009B6B55">
        <w:t>navegación</w:t>
      </w:r>
      <w:r w:rsidRPr="00C35C44">
        <w:rPr>
          <w:rStyle w:val="normaltextrun"/>
          <w:rFonts w:cs="Calibri"/>
          <w:szCs w:val="24"/>
          <w:lang w:val="es-ES" w:eastAsia="en-GB"/>
        </w:rPr>
        <w:t xml:space="preserve"> y dar una imagen de "Una UIT", en particular mediante la utilización de los seis idiomas oficiales de la Unión en igualdad de condiciones y la mejora del sistema de búsqueda. Para más información sobre el </w:t>
      </w:r>
      <w:r>
        <w:rPr>
          <w:rStyle w:val="normaltextrun"/>
          <w:rFonts w:cs="Calibri"/>
          <w:szCs w:val="24"/>
          <w:lang w:val="es-ES" w:eastAsia="en-GB"/>
        </w:rPr>
        <w:t>GCI</w:t>
      </w:r>
      <w:r w:rsidRPr="00C35C44">
        <w:rPr>
          <w:rStyle w:val="normaltextrun"/>
          <w:rFonts w:cs="Calibri"/>
          <w:szCs w:val="24"/>
          <w:lang w:val="es-ES" w:eastAsia="en-GB"/>
        </w:rPr>
        <w:t xml:space="preserve">, se invita al Consejo a visitar el </w:t>
      </w:r>
      <w:hyperlink r:id="rId9">
        <w:r>
          <w:rPr>
            <w:rStyle w:val="Hyperlink"/>
            <w:rFonts w:cs="Calibri"/>
            <w:lang w:val="es-ES" w:eastAsia="en-GB"/>
          </w:rPr>
          <w:t>sitio</w:t>
        </w:r>
        <w:r w:rsidR="001A1013">
          <w:rPr>
            <w:rStyle w:val="Hyperlink"/>
            <w:rFonts w:cs="Calibri"/>
            <w:lang w:val="es-ES" w:eastAsia="en-GB"/>
          </w:rPr>
          <w:t> </w:t>
        </w:r>
        <w:r w:rsidRPr="00EC08D4">
          <w:rPr>
            <w:rStyle w:val="Hyperlink"/>
            <w:rFonts w:cs="Calibri"/>
            <w:lang w:val="es-ES" w:eastAsia="en-GB"/>
          </w:rPr>
          <w:t>web</w:t>
        </w:r>
        <w:r>
          <w:rPr>
            <w:rStyle w:val="Hyperlink"/>
            <w:rFonts w:cs="Calibri"/>
            <w:lang w:val="es-ES" w:eastAsia="en-GB"/>
          </w:rPr>
          <w:t xml:space="preserve"> del </w:t>
        </w:r>
        <w:r w:rsidRPr="00C35C44">
          <w:rPr>
            <w:rStyle w:val="Hyperlink"/>
            <w:rFonts w:cs="Calibri"/>
            <w:lang w:val="es-ES" w:eastAsia="en-GB"/>
          </w:rPr>
          <w:t>GCI</w:t>
        </w:r>
      </w:hyperlink>
      <w:r w:rsidRPr="00EC08D4">
        <w:rPr>
          <w:rStyle w:val="normaltextrun"/>
          <w:rFonts w:cs="Calibri"/>
          <w:lang w:val="es-ES" w:eastAsia="en-GB"/>
        </w:rPr>
        <w:t xml:space="preserve">. </w:t>
      </w:r>
    </w:p>
    <w:p w14:paraId="5CAF3553" w14:textId="77777777" w:rsidR="00607477" w:rsidRPr="00EC08D4" w:rsidRDefault="00607477" w:rsidP="00607477">
      <w:pPr>
        <w:pStyle w:val="Heading1"/>
        <w:rPr>
          <w:rStyle w:val="normaltextrun"/>
          <w:rFonts w:cs="Calibri"/>
          <w:bCs/>
          <w:szCs w:val="28"/>
          <w:lang w:val="es-ES" w:eastAsia="en-GB"/>
        </w:rPr>
      </w:pPr>
      <w:r w:rsidRPr="00EC08D4">
        <w:rPr>
          <w:rStyle w:val="normaltextrun"/>
          <w:rFonts w:cs="Calibri"/>
          <w:bCs/>
          <w:szCs w:val="28"/>
          <w:lang w:val="es-ES" w:eastAsia="en-GB"/>
        </w:rPr>
        <w:t>3</w:t>
      </w:r>
      <w:r w:rsidRPr="00EC08D4">
        <w:rPr>
          <w:rStyle w:val="normaltextrun"/>
          <w:rFonts w:cs="Calibri"/>
          <w:bCs/>
          <w:szCs w:val="28"/>
          <w:lang w:val="es-ES" w:eastAsia="en-GB"/>
        </w:rPr>
        <w:tab/>
      </w:r>
      <w:r w:rsidRPr="009B6B55">
        <w:t>Propuesta</w:t>
      </w:r>
    </w:p>
    <w:p w14:paraId="41154B79" w14:textId="489D940F" w:rsidR="00927F93" w:rsidRDefault="00607477" w:rsidP="00607477">
      <w:r w:rsidRPr="009B6B55">
        <w:t>Se invita al Consejo a tomar nota del presente informe y a solicitar a la Secretaría que lo transmita al GAR, al GANT y al GADT a título informativo.</w:t>
      </w:r>
    </w:p>
    <w:p w14:paraId="17BEF5C6" w14:textId="77777777" w:rsidR="00607477" w:rsidRDefault="00607477" w:rsidP="00411C49">
      <w:pPr>
        <w:pStyle w:val="Reasons"/>
      </w:pPr>
    </w:p>
    <w:p w14:paraId="29AE1DEE" w14:textId="32BCF5AA" w:rsidR="00607477" w:rsidRPr="000B0D00" w:rsidRDefault="00607477" w:rsidP="00607477">
      <w:pPr>
        <w:jc w:val="center"/>
      </w:pPr>
      <w:r>
        <w:t>______________</w:t>
      </w:r>
    </w:p>
    <w:sectPr w:rsidR="00607477" w:rsidRPr="000B0D00" w:rsidSect="00C538FC">
      <w:footerReference w:type="default" r:id="rId10"/>
      <w:headerReference w:type="first" r:id="rId11"/>
      <w:footerReference w:type="first" r:id="rId12"/>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E8367" w14:textId="77777777" w:rsidR="00607477" w:rsidRDefault="00607477">
      <w:r>
        <w:separator/>
      </w:r>
    </w:p>
  </w:endnote>
  <w:endnote w:type="continuationSeparator" w:id="0">
    <w:p w14:paraId="7E18B86B" w14:textId="77777777" w:rsidR="00607477" w:rsidRDefault="00607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55DC84DA" w14:textId="77777777" w:rsidTr="00E31DCE">
      <w:trPr>
        <w:jc w:val="center"/>
      </w:trPr>
      <w:tc>
        <w:tcPr>
          <w:tcW w:w="1803" w:type="dxa"/>
          <w:vAlign w:val="center"/>
        </w:tcPr>
        <w:p w14:paraId="4B88FACA" w14:textId="6961803C" w:rsidR="003273A4" w:rsidRDefault="003273A4" w:rsidP="003273A4">
          <w:pPr>
            <w:pStyle w:val="Header"/>
            <w:jc w:val="left"/>
            <w:rPr>
              <w:noProof/>
            </w:rPr>
          </w:pPr>
          <w:r>
            <w:rPr>
              <w:noProof/>
            </w:rPr>
            <w:t xml:space="preserve">DPS </w:t>
          </w:r>
          <w:r w:rsidR="00607477">
            <w:rPr>
              <w:noProof/>
            </w:rPr>
            <w:t>520941</w:t>
          </w:r>
        </w:p>
      </w:tc>
      <w:tc>
        <w:tcPr>
          <w:tcW w:w="8261" w:type="dxa"/>
        </w:tcPr>
        <w:p w14:paraId="6109F3D8" w14:textId="2CC77322" w:rsidR="003273A4" w:rsidRPr="00E06FD5" w:rsidRDefault="003273A4" w:rsidP="003273A4">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23</w:t>
          </w:r>
          <w:r w:rsidRPr="00623AE3">
            <w:rPr>
              <w:bCs/>
            </w:rPr>
            <w:t>/</w:t>
          </w:r>
          <w:r w:rsidR="00607477">
            <w:rPr>
              <w:bCs/>
            </w:rPr>
            <w:t>27</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07E181CE" w14:textId="14FE449F" w:rsidR="00760F1C" w:rsidRPr="000E7013" w:rsidRDefault="000E7013" w:rsidP="003273A4">
    <w:pPr>
      <w:pStyle w:val="Footer"/>
      <w:rPr>
        <w:b/>
        <w:bCs/>
        <w:lang w:val="fr-FR"/>
      </w:rPr>
    </w:pPr>
    <w:r w:rsidRPr="00307F66">
      <w:rPr>
        <w:color w:val="F2F2F2" w:themeColor="background1" w:themeShade="F2"/>
      </w:rPr>
      <w:fldChar w:fldCharType="begin"/>
    </w:r>
    <w:r w:rsidRPr="00307F66">
      <w:rPr>
        <w:color w:val="F2F2F2" w:themeColor="background1" w:themeShade="F2"/>
        <w:lang w:val="fr-FR"/>
      </w:rPr>
      <w:instrText xml:space="preserve"> FILENAME \p  \* MERGEFORMAT </w:instrText>
    </w:r>
    <w:r w:rsidRPr="00307F66">
      <w:rPr>
        <w:color w:val="F2F2F2" w:themeColor="background1" w:themeShade="F2"/>
      </w:rPr>
      <w:fldChar w:fldCharType="separate"/>
    </w:r>
    <w:r w:rsidRPr="00307F66">
      <w:rPr>
        <w:color w:val="F2F2F2" w:themeColor="background1" w:themeShade="F2"/>
        <w:lang w:val="fr-FR"/>
      </w:rPr>
      <w:t>P:\ESP\SG\CONSEIL\C23\000\027S.docx</w:t>
    </w:r>
    <w:r w:rsidRPr="00307F66">
      <w:rPr>
        <w:color w:val="F2F2F2" w:themeColor="background1" w:themeShade="F2"/>
      </w:rPr>
      <w:fldChar w:fldCharType="end"/>
    </w:r>
    <w:r w:rsidRPr="00307F66">
      <w:rPr>
        <w:color w:val="F2F2F2" w:themeColor="background1" w:themeShade="F2"/>
        <w:lang w:val="fr-FR"/>
      </w:rPr>
      <w:t xml:space="preserve"> (520941)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2B0DB250" w14:textId="77777777" w:rsidTr="00E31DCE">
      <w:trPr>
        <w:jc w:val="center"/>
      </w:trPr>
      <w:tc>
        <w:tcPr>
          <w:tcW w:w="1803" w:type="dxa"/>
          <w:vAlign w:val="center"/>
        </w:tcPr>
        <w:p w14:paraId="3BD799E0" w14:textId="77777777" w:rsidR="00F24B71" w:rsidRDefault="00307F66" w:rsidP="00F24B71">
          <w:pPr>
            <w:pStyle w:val="Header"/>
            <w:jc w:val="left"/>
            <w:rPr>
              <w:noProof/>
            </w:rPr>
          </w:pPr>
          <w:hyperlink r:id="rId1" w:history="1">
            <w:r w:rsidR="00F24B71" w:rsidRPr="00A514A4">
              <w:rPr>
                <w:rStyle w:val="Hyperlink"/>
                <w:szCs w:val="14"/>
              </w:rPr>
              <w:t>www.itu.int/council</w:t>
            </w:r>
          </w:hyperlink>
        </w:p>
      </w:tc>
      <w:tc>
        <w:tcPr>
          <w:tcW w:w="8261" w:type="dxa"/>
        </w:tcPr>
        <w:p w14:paraId="5936EC22" w14:textId="4D423924" w:rsidR="00F24B71" w:rsidRPr="00E06FD5" w:rsidRDefault="00F24B71" w:rsidP="00F24B71">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23</w:t>
          </w:r>
          <w:r w:rsidRPr="00623AE3">
            <w:rPr>
              <w:bCs/>
            </w:rPr>
            <w:t>/</w:t>
          </w:r>
          <w:r w:rsidR="00607477">
            <w:rPr>
              <w:bCs/>
            </w:rPr>
            <w:t>27</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477E785C" w14:textId="095FB968" w:rsidR="00760F1C" w:rsidRPr="000E7013" w:rsidRDefault="000E7013" w:rsidP="000E7013">
    <w:pPr>
      <w:pStyle w:val="Footer"/>
      <w:rPr>
        <w:lang w:val="fr-FR"/>
      </w:rPr>
    </w:pPr>
    <w:r w:rsidRPr="00307F66">
      <w:rPr>
        <w:color w:val="F2F2F2" w:themeColor="background1" w:themeShade="F2"/>
      </w:rPr>
      <w:fldChar w:fldCharType="begin"/>
    </w:r>
    <w:r w:rsidRPr="00307F66">
      <w:rPr>
        <w:color w:val="F2F2F2" w:themeColor="background1" w:themeShade="F2"/>
        <w:lang w:val="fr-FR"/>
      </w:rPr>
      <w:instrText xml:space="preserve"> FILENAME \p  \* MERGEFORMAT </w:instrText>
    </w:r>
    <w:r w:rsidRPr="00307F66">
      <w:rPr>
        <w:color w:val="F2F2F2" w:themeColor="background1" w:themeShade="F2"/>
      </w:rPr>
      <w:fldChar w:fldCharType="separate"/>
    </w:r>
    <w:r w:rsidRPr="00307F66">
      <w:rPr>
        <w:color w:val="F2F2F2" w:themeColor="background1" w:themeShade="F2"/>
        <w:lang w:val="fr-FR"/>
      </w:rPr>
      <w:t>P:\ESP\SG\CONSEIL\C23\000\027S.docx</w:t>
    </w:r>
    <w:r w:rsidRPr="00307F66">
      <w:rPr>
        <w:color w:val="F2F2F2" w:themeColor="background1" w:themeShade="F2"/>
      </w:rPr>
      <w:fldChar w:fldCharType="end"/>
    </w:r>
    <w:r w:rsidRPr="00307F66">
      <w:rPr>
        <w:color w:val="F2F2F2" w:themeColor="background1" w:themeShade="F2"/>
        <w:lang w:val="fr-FR"/>
      </w:rPr>
      <w:t xml:space="preserve"> (520941)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D3420" w14:textId="77777777" w:rsidR="00607477" w:rsidRDefault="00607477">
      <w:r>
        <w:t>____________________</w:t>
      </w:r>
    </w:p>
  </w:footnote>
  <w:footnote w:type="continuationSeparator" w:id="0">
    <w:p w14:paraId="3CC982C7" w14:textId="77777777" w:rsidR="00607477" w:rsidRDefault="00607477">
      <w:r>
        <w:continuationSeparator/>
      </w:r>
    </w:p>
  </w:footnote>
  <w:footnote w:id="1">
    <w:p w14:paraId="6045D44C" w14:textId="5E33D868" w:rsidR="00607477" w:rsidRPr="007D4F0D" w:rsidRDefault="00607477" w:rsidP="00607477">
      <w:pPr>
        <w:pStyle w:val="FootnoteText"/>
        <w:tabs>
          <w:tab w:val="clear" w:pos="256"/>
        </w:tabs>
        <w:spacing w:before="60"/>
        <w:ind w:left="284" w:hanging="284"/>
        <w:rPr>
          <w:sz w:val="16"/>
          <w:szCs w:val="16"/>
          <w:lang w:val="es-ES"/>
        </w:rPr>
      </w:pPr>
      <w:r w:rsidRPr="007D4F0D">
        <w:rPr>
          <w:rStyle w:val="FootnoteReference"/>
          <w:lang w:val="es-ES"/>
        </w:rPr>
        <w:footnoteRef/>
      </w:r>
      <w:r w:rsidRPr="007D4F0D">
        <w:rPr>
          <w:lang w:val="es-ES"/>
        </w:rPr>
        <w:tab/>
      </w:r>
      <w:r w:rsidRPr="007D4F0D">
        <w:rPr>
          <w:sz w:val="18"/>
          <w:szCs w:val="18"/>
          <w:lang w:val="es-ES"/>
        </w:rPr>
        <w:t>El Comité de Coordinación (</w:t>
      </w:r>
      <w:hyperlink r:id="rId1" w:history="1">
        <w:r w:rsidRPr="007D4F0D">
          <w:rPr>
            <w:rStyle w:val="Hyperlink"/>
            <w:sz w:val="18"/>
            <w:szCs w:val="18"/>
            <w:lang w:val="es-ES"/>
          </w:rPr>
          <w:t>CoCo</w:t>
        </w:r>
      </w:hyperlink>
      <w:r w:rsidRPr="007D4F0D">
        <w:rPr>
          <w:sz w:val="18"/>
          <w:szCs w:val="18"/>
          <w:lang w:val="es-ES"/>
        </w:rPr>
        <w:t xml:space="preserve">) asistirá y asesorará a la Secretaria General en todos los asuntos citados en el </w:t>
      </w:r>
      <w:r>
        <w:rPr>
          <w:sz w:val="18"/>
          <w:szCs w:val="18"/>
          <w:lang w:val="es-ES"/>
        </w:rPr>
        <w:t>A</w:t>
      </w:r>
      <w:r w:rsidRPr="007D4F0D">
        <w:rPr>
          <w:sz w:val="18"/>
          <w:szCs w:val="18"/>
          <w:lang w:val="es-ES"/>
        </w:rPr>
        <w:t>rtículo</w:t>
      </w:r>
      <w:r w:rsidR="001A1013">
        <w:rPr>
          <w:sz w:val="18"/>
          <w:szCs w:val="18"/>
          <w:lang w:val="es-ES"/>
        </w:rPr>
        <w:t> </w:t>
      </w:r>
      <w:r w:rsidRPr="007D4F0D">
        <w:rPr>
          <w:sz w:val="18"/>
          <w:szCs w:val="18"/>
          <w:lang w:val="es-ES"/>
        </w:rPr>
        <w:t xml:space="preserve">26 de la Constitución y en los </w:t>
      </w:r>
      <w:r>
        <w:rPr>
          <w:sz w:val="18"/>
          <w:szCs w:val="18"/>
          <w:lang w:val="es-ES"/>
        </w:rPr>
        <w:t>A</w:t>
      </w:r>
      <w:r w:rsidRPr="007D4F0D">
        <w:rPr>
          <w:sz w:val="18"/>
          <w:szCs w:val="18"/>
          <w:lang w:val="es-ES"/>
        </w:rPr>
        <w:t>rtículos pertinentes del Convenio (Art. 6). Está integrado por los cinco</w:t>
      </w:r>
      <w:r w:rsidR="001A1013">
        <w:rPr>
          <w:sz w:val="18"/>
          <w:szCs w:val="18"/>
          <w:lang w:val="es-ES"/>
        </w:rPr>
        <w:t> </w:t>
      </w:r>
      <w:r w:rsidRPr="007D4F0D">
        <w:rPr>
          <w:sz w:val="18"/>
          <w:szCs w:val="18"/>
          <w:lang w:val="es-ES"/>
        </w:rPr>
        <w:t xml:space="preserve">funcionarios electos. Véanse los textos fundamentales de la Unión, en este </w:t>
      </w:r>
      <w:hyperlink r:id="rId2" w:history="1">
        <w:r w:rsidRPr="007D4F0D">
          <w:rPr>
            <w:rStyle w:val="Hyperlink"/>
            <w:sz w:val="18"/>
            <w:szCs w:val="18"/>
            <w:lang w:val="es-ES"/>
          </w:rPr>
          <w:t>enlace</w:t>
        </w:r>
      </w:hyperlink>
      <w:r w:rsidRPr="007D4F0D">
        <w:rPr>
          <w:sz w:val="18"/>
          <w:szCs w:val="18"/>
          <w:lang w:val="es-ES"/>
        </w:rPr>
        <w:t>.</w:t>
      </w:r>
    </w:p>
  </w:footnote>
  <w:footnote w:id="2">
    <w:p w14:paraId="71EE4112" w14:textId="5C1A579F" w:rsidR="00607477" w:rsidRPr="007D4F0D" w:rsidRDefault="00607477" w:rsidP="00607477">
      <w:pPr>
        <w:pStyle w:val="FootnoteText"/>
        <w:tabs>
          <w:tab w:val="clear" w:pos="256"/>
        </w:tabs>
        <w:spacing w:before="60"/>
        <w:ind w:left="284" w:hanging="284"/>
        <w:rPr>
          <w:lang w:val="es-ES"/>
        </w:rPr>
      </w:pPr>
      <w:r w:rsidRPr="007D4F0D">
        <w:rPr>
          <w:rStyle w:val="FootnoteReference"/>
          <w:lang w:val="es-ES"/>
        </w:rPr>
        <w:footnoteRef/>
      </w:r>
      <w:r w:rsidRPr="007D4F0D">
        <w:rPr>
          <w:lang w:val="es-ES"/>
        </w:rPr>
        <w:tab/>
      </w:r>
      <w:r w:rsidRPr="00466BC7">
        <w:rPr>
          <w:sz w:val="18"/>
          <w:szCs w:val="18"/>
          <w:lang w:val="es-ES"/>
        </w:rPr>
        <w:t xml:space="preserve">El Grupo de Coordinación de la Gestión </w:t>
      </w:r>
      <w:r w:rsidRPr="007D4F0D">
        <w:rPr>
          <w:sz w:val="18"/>
          <w:szCs w:val="18"/>
          <w:lang w:val="es-ES"/>
        </w:rPr>
        <w:t>(</w:t>
      </w:r>
      <w:hyperlink r:id="rId3" w:history="1">
        <w:r w:rsidRPr="007D4F0D">
          <w:rPr>
            <w:rStyle w:val="Hyperlink"/>
            <w:sz w:val="18"/>
            <w:szCs w:val="18"/>
            <w:lang w:val="es-ES"/>
          </w:rPr>
          <w:t>MCG</w:t>
        </w:r>
      </w:hyperlink>
      <w:r w:rsidRPr="007D4F0D">
        <w:rPr>
          <w:sz w:val="18"/>
          <w:szCs w:val="18"/>
          <w:lang w:val="es-ES"/>
        </w:rPr>
        <w:t xml:space="preserve">) </w:t>
      </w:r>
      <w:r w:rsidRPr="00466BC7">
        <w:rPr>
          <w:sz w:val="18"/>
          <w:szCs w:val="18"/>
          <w:lang w:val="es-ES"/>
        </w:rPr>
        <w:t>formula dictámenes y recomendaciones que se someten a la consideración del Comité de Coordinación. Está integrado por los cinco funcionarios electos, los puestos</w:t>
      </w:r>
      <w:r w:rsidR="001A1013">
        <w:rPr>
          <w:sz w:val="18"/>
          <w:szCs w:val="18"/>
          <w:lang w:val="es-ES"/>
        </w:rPr>
        <w:t> </w:t>
      </w:r>
      <w:r w:rsidRPr="00466BC7">
        <w:rPr>
          <w:sz w:val="18"/>
          <w:szCs w:val="18"/>
          <w:lang w:val="es-ES"/>
        </w:rPr>
        <w:t>D2 (actualmente los Directores Adjuntos de las Oficinas) y los jefes del Departamento de Planificación Estratégica y Afiliación (SPM), el Departamento de Gestión de Recursos Humanos (HRMD), el Departamento de Gestión de Recursos Financieros (FRMD) y la Unidad de Asuntos Jurídicos (JUR). El MCG+ incluye a los directores regionales</w:t>
      </w:r>
      <w:r w:rsidRPr="007D4F0D">
        <w:rPr>
          <w:sz w:val="18"/>
          <w:szCs w:val="18"/>
          <w:lang w:val="es-ES"/>
        </w:rPr>
        <w:t>.</w:t>
      </w:r>
    </w:p>
  </w:footnote>
  <w:footnote w:id="3">
    <w:p w14:paraId="5C434B18" w14:textId="59A250F2" w:rsidR="00607477" w:rsidRPr="007D4F0D" w:rsidRDefault="00607477" w:rsidP="00607477">
      <w:pPr>
        <w:pStyle w:val="FootnoteText"/>
        <w:spacing w:before="60"/>
        <w:rPr>
          <w:sz w:val="16"/>
          <w:szCs w:val="16"/>
          <w:lang w:val="es-ES"/>
        </w:rPr>
      </w:pPr>
      <w:r w:rsidRPr="007D4F0D">
        <w:rPr>
          <w:rStyle w:val="FootnoteReference"/>
          <w:lang w:val="es-ES"/>
        </w:rPr>
        <w:footnoteRef/>
      </w:r>
      <w:r w:rsidRPr="007D4F0D">
        <w:rPr>
          <w:lang w:val="es-ES"/>
        </w:rPr>
        <w:tab/>
      </w:r>
      <w:r w:rsidRPr="00466BC7">
        <w:rPr>
          <w:sz w:val="18"/>
          <w:szCs w:val="18"/>
          <w:lang w:val="es-ES"/>
        </w:rPr>
        <w:t>El grupo D2 está integrado por los Directores Adjuntos de las Oficinas (puestos D2) y presidido por el Vicesecretario</w:t>
      </w:r>
      <w:r w:rsidR="001A1013">
        <w:rPr>
          <w:sz w:val="18"/>
          <w:szCs w:val="18"/>
          <w:lang w:val="es-ES"/>
        </w:rPr>
        <w:t> </w:t>
      </w:r>
      <w:r w:rsidR="001A1013" w:rsidRPr="00466BC7">
        <w:rPr>
          <w:sz w:val="18"/>
          <w:szCs w:val="18"/>
          <w:lang w:val="es-ES"/>
        </w:rPr>
        <w:t>General.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30"/>
    </w:tblGrid>
    <w:tr w:rsidR="001559F5" w:rsidRPr="00784011" w14:paraId="77F09C99" w14:textId="77777777" w:rsidTr="00E31DCE">
      <w:trPr>
        <w:trHeight w:val="1104"/>
        <w:jc w:val="center"/>
      </w:trPr>
      <w:tc>
        <w:tcPr>
          <w:tcW w:w="4390" w:type="dxa"/>
          <w:vAlign w:val="center"/>
        </w:tcPr>
        <w:p w14:paraId="5D1D9F25" w14:textId="77777777" w:rsidR="001559F5" w:rsidRPr="009621F8" w:rsidRDefault="001559F5" w:rsidP="001559F5">
          <w:pPr>
            <w:pStyle w:val="Header"/>
            <w:jc w:val="left"/>
            <w:rPr>
              <w:rFonts w:ascii="Arial" w:hAnsi="Arial" w:cs="Arial"/>
              <w:b/>
              <w:bCs/>
              <w:color w:val="009CD6"/>
              <w:sz w:val="36"/>
              <w:szCs w:val="36"/>
            </w:rPr>
          </w:pPr>
          <w:bookmarkStart w:id="6" w:name="_Hlk133422111"/>
          <w:r>
            <w:rPr>
              <w:noProof/>
            </w:rPr>
            <w:drawing>
              <wp:inline distT="0" distB="0" distL="0" distR="0" wp14:anchorId="2AC38100" wp14:editId="29389460">
                <wp:extent cx="1887322" cy="530367"/>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136" cy="548581"/>
                        </a:xfrm>
                        <a:prstGeom prst="rect">
                          <a:avLst/>
                        </a:prstGeom>
                        <a:noFill/>
                        <a:ln>
                          <a:noFill/>
                        </a:ln>
                      </pic:spPr>
                    </pic:pic>
                  </a:graphicData>
                </a:graphic>
              </wp:inline>
            </w:drawing>
          </w:r>
        </w:p>
      </w:tc>
      <w:tc>
        <w:tcPr>
          <w:tcW w:w="5630" w:type="dxa"/>
        </w:tcPr>
        <w:p w14:paraId="546F48A6" w14:textId="77777777" w:rsidR="001559F5" w:rsidRDefault="001559F5" w:rsidP="001559F5">
          <w:pPr>
            <w:pStyle w:val="Header"/>
            <w:jc w:val="right"/>
            <w:rPr>
              <w:rFonts w:ascii="Arial" w:hAnsi="Arial" w:cs="Arial"/>
              <w:b/>
              <w:bCs/>
              <w:color w:val="009CD6"/>
              <w:szCs w:val="18"/>
            </w:rPr>
          </w:pPr>
        </w:p>
        <w:p w14:paraId="4C42EBF5" w14:textId="77777777" w:rsidR="001559F5" w:rsidRDefault="001559F5" w:rsidP="001559F5">
          <w:pPr>
            <w:pStyle w:val="Header"/>
            <w:jc w:val="right"/>
            <w:rPr>
              <w:rFonts w:ascii="Arial" w:hAnsi="Arial" w:cs="Arial"/>
              <w:b/>
              <w:bCs/>
              <w:color w:val="009CD6"/>
              <w:szCs w:val="18"/>
            </w:rPr>
          </w:pPr>
        </w:p>
        <w:p w14:paraId="3E63062C" w14:textId="77777777" w:rsidR="001559F5" w:rsidRPr="00784011" w:rsidRDefault="001559F5" w:rsidP="001559F5">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6"/>
  <w:p w14:paraId="64B498E2" w14:textId="77777777" w:rsidR="001559F5" w:rsidRDefault="001559F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7AA0E344" wp14:editId="093B90FB">
              <wp:simplePos x="0" y="0"/>
              <wp:positionH relativeFrom="page">
                <wp:posOffset>13005</wp:posOffset>
              </wp:positionH>
              <wp:positionV relativeFrom="topMargin">
                <wp:posOffset>659765</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3161E4" id="Rectangle 5" o:spid="_x0000_s1026" style="position:absolute;margin-left:1pt;margin-top:51.9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" fillcolor="#009cd5" stroked="f">
              <w10:wrap anchorx="page" anchory="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477"/>
    <w:rsid w:val="000007D1"/>
    <w:rsid w:val="00093EEB"/>
    <w:rsid w:val="000B0D00"/>
    <w:rsid w:val="000B7C15"/>
    <w:rsid w:val="000D1D0F"/>
    <w:rsid w:val="000E7013"/>
    <w:rsid w:val="000F5290"/>
    <w:rsid w:val="0010165C"/>
    <w:rsid w:val="00146BFB"/>
    <w:rsid w:val="001559F5"/>
    <w:rsid w:val="001A1013"/>
    <w:rsid w:val="001F14A2"/>
    <w:rsid w:val="002801AA"/>
    <w:rsid w:val="002C4676"/>
    <w:rsid w:val="002C70B0"/>
    <w:rsid w:val="002F3CC4"/>
    <w:rsid w:val="00307F66"/>
    <w:rsid w:val="003273A4"/>
    <w:rsid w:val="004B5D49"/>
    <w:rsid w:val="00513630"/>
    <w:rsid w:val="00560125"/>
    <w:rsid w:val="00585553"/>
    <w:rsid w:val="005B34D9"/>
    <w:rsid w:val="005D0CCF"/>
    <w:rsid w:val="005F3BCB"/>
    <w:rsid w:val="005F410F"/>
    <w:rsid w:val="0060149A"/>
    <w:rsid w:val="00601924"/>
    <w:rsid w:val="00607477"/>
    <w:rsid w:val="006447EA"/>
    <w:rsid w:val="0064731F"/>
    <w:rsid w:val="00664572"/>
    <w:rsid w:val="006710F6"/>
    <w:rsid w:val="00677A97"/>
    <w:rsid w:val="006C1B56"/>
    <w:rsid w:val="006D4761"/>
    <w:rsid w:val="00726872"/>
    <w:rsid w:val="00760F1C"/>
    <w:rsid w:val="007657F0"/>
    <w:rsid w:val="0077252D"/>
    <w:rsid w:val="007955DA"/>
    <w:rsid w:val="007E5DD3"/>
    <w:rsid w:val="007F350B"/>
    <w:rsid w:val="00820BE4"/>
    <w:rsid w:val="008451E8"/>
    <w:rsid w:val="00913B9C"/>
    <w:rsid w:val="00927F93"/>
    <w:rsid w:val="00956E77"/>
    <w:rsid w:val="009F4811"/>
    <w:rsid w:val="00AA390C"/>
    <w:rsid w:val="00B0200A"/>
    <w:rsid w:val="00B574DB"/>
    <w:rsid w:val="00B826C2"/>
    <w:rsid w:val="00B8298E"/>
    <w:rsid w:val="00BD0723"/>
    <w:rsid w:val="00BD2518"/>
    <w:rsid w:val="00BF1D1C"/>
    <w:rsid w:val="00C20C59"/>
    <w:rsid w:val="00C2727F"/>
    <w:rsid w:val="00C538FC"/>
    <w:rsid w:val="00C55B1F"/>
    <w:rsid w:val="00CF1A67"/>
    <w:rsid w:val="00D2750E"/>
    <w:rsid w:val="00D50A36"/>
    <w:rsid w:val="00D62446"/>
    <w:rsid w:val="00DA4EA2"/>
    <w:rsid w:val="00DC3D3E"/>
    <w:rsid w:val="00DE2C90"/>
    <w:rsid w:val="00DE3B24"/>
    <w:rsid w:val="00E06947"/>
    <w:rsid w:val="00E34072"/>
    <w:rsid w:val="00E3592D"/>
    <w:rsid w:val="00E92DE8"/>
    <w:rsid w:val="00EB1212"/>
    <w:rsid w:val="00ED65AB"/>
    <w:rsid w:val="00F12850"/>
    <w:rsid w:val="00F24B71"/>
    <w:rsid w:val="00F33BF4"/>
    <w:rsid w:val="00F7105E"/>
    <w:rsid w:val="00F75F57"/>
    <w:rsid w:val="00F82FEE"/>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91F75C"/>
  <w15:docId w15:val="{90C01F52-3AC4-4FC3-9191-E9F859BB3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0D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Title1"/>
    <w:qFormat/>
    <w:rsid w:val="00FE57F6"/>
    <w:pPr>
      <w:framePr w:hSpace="180" w:wrap="around" w:hAnchor="page" w:x="1821" w:y="2317"/>
      <w:spacing w:before="120" w:after="160"/>
      <w:jc w:val="left"/>
    </w:pPr>
    <w:rPr>
      <w:caps w:val="0"/>
      <w:sz w:val="34"/>
      <w:lang w:val="en-GB"/>
    </w:rPr>
  </w:style>
  <w:style w:type="character" w:customStyle="1" w:styleId="HeaderChar">
    <w:name w:val="Header Char"/>
    <w:basedOn w:val="DefaultParagraphFont"/>
    <w:link w:val="Header"/>
    <w:uiPriority w:val="99"/>
    <w:rsid w:val="001559F5"/>
    <w:rPr>
      <w:rFonts w:ascii="Calibri" w:hAnsi="Calibri"/>
      <w:sz w:val="18"/>
      <w:lang w:val="es-ES_tradnl" w:eastAsia="en-US"/>
    </w:rPr>
  </w:style>
  <w:style w:type="table" w:styleId="TableGrid">
    <w:name w:val="Table Grid"/>
    <w:basedOn w:val="TableNormal"/>
    <w:uiPriority w:val="39"/>
    <w:rsid w:val="001559F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07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general-secretariat/Pages/intersectoral-coordination.aspx"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tu.int/en/council/Documents/basic-texts-2023/DEC-005-s.pdf"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tu.int/en/council/Documents/basic-texts-2023/RES-191-s.pdf"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itu.int/en/general-secretariat/Pages/ISCG/default.aspx"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tu.int/en/council/Pages/mcg.aspx" TargetMode="External"/><Relationship Id="rId2" Type="http://schemas.openxmlformats.org/officeDocument/2006/relationships/hyperlink" Target="https://www.itu.int/pub/S-CONF-PLEN-2022" TargetMode="External"/><Relationship Id="rId1" Type="http://schemas.openxmlformats.org/officeDocument/2006/relationships/hyperlink" Target="https://www.itu.int/en/council/Pages/coco.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yala\AppData\Roaming\Microsoft\Templates\POOL%20S%20-%20ITU\GS\PS_Council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PS_Council23.dotx</Template>
  <TotalTime>0</TotalTime>
  <Pages>4</Pages>
  <Words>1148</Words>
  <Characters>6680</Characters>
  <Application>Microsoft Office Word</Application>
  <DocSecurity>4</DocSecurity>
  <Lines>55</Lines>
  <Paragraphs>15</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Unión Internacional de Telecomunicaciones (UIT)</Company>
  <LinksUpToDate>false</LinksUpToDate>
  <CharactersWithSpaces>7813</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Estrategia de coordinación de los trabajos de los tres sectores de la Unión</dc:title>
  <dc:subject>Consejo 2023</dc:subject>
  <dc:creator>Spanish</dc:creator>
  <cp:keywords>C2023, C23, Council-23</cp:keywords>
  <dc:description/>
  <cp:lastModifiedBy>Xue, Kun</cp:lastModifiedBy>
  <cp:revision>2</cp:revision>
  <cp:lastPrinted>2006-03-24T09:51:00Z</cp:lastPrinted>
  <dcterms:created xsi:type="dcterms:W3CDTF">2023-06-14T08:03:00Z</dcterms:created>
  <dcterms:modified xsi:type="dcterms:W3CDTF">2023-06-14T08:03:00Z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ies>
</file>