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E55A9F" w14:paraId="2592CC74" w14:textId="77777777" w:rsidTr="00D72F49">
        <w:trPr>
          <w:cantSplit/>
          <w:trHeight w:val="23"/>
        </w:trPr>
        <w:tc>
          <w:tcPr>
            <w:tcW w:w="3969" w:type="dxa"/>
            <w:vMerge w:val="restart"/>
            <w:tcMar>
              <w:left w:w="0" w:type="dxa"/>
            </w:tcMar>
          </w:tcPr>
          <w:p w14:paraId="27E56DEB" w14:textId="5218910A" w:rsidR="00D72F49" w:rsidRPr="00E55A9F" w:rsidRDefault="00D72F49" w:rsidP="00CD4E58">
            <w:pPr>
              <w:tabs>
                <w:tab w:val="left" w:pos="851"/>
              </w:tabs>
              <w:spacing w:before="0"/>
              <w:rPr>
                <w:b/>
              </w:rPr>
            </w:pPr>
            <w:r w:rsidRPr="00E55A9F">
              <w:rPr>
                <w:b/>
              </w:rPr>
              <w:t xml:space="preserve">Point de l'ordre du jour: </w:t>
            </w:r>
            <w:r w:rsidR="00EB4E7F" w:rsidRPr="00E55A9F">
              <w:rPr>
                <w:b/>
              </w:rPr>
              <w:t>PL 2</w:t>
            </w:r>
          </w:p>
        </w:tc>
        <w:tc>
          <w:tcPr>
            <w:tcW w:w="5245" w:type="dxa"/>
          </w:tcPr>
          <w:p w14:paraId="27B6A98A" w14:textId="6F2E352C" w:rsidR="00D72F49" w:rsidRPr="00E55A9F" w:rsidRDefault="00D72F49" w:rsidP="00CD4E58">
            <w:pPr>
              <w:tabs>
                <w:tab w:val="left" w:pos="851"/>
              </w:tabs>
              <w:spacing w:before="0"/>
              <w:jc w:val="right"/>
              <w:rPr>
                <w:b/>
              </w:rPr>
            </w:pPr>
            <w:r w:rsidRPr="00E55A9F">
              <w:rPr>
                <w:b/>
              </w:rPr>
              <w:t>Document C23/</w:t>
            </w:r>
            <w:r w:rsidR="00EB4E7F" w:rsidRPr="00E55A9F">
              <w:rPr>
                <w:b/>
              </w:rPr>
              <w:t>27</w:t>
            </w:r>
            <w:r w:rsidRPr="00E55A9F">
              <w:rPr>
                <w:b/>
              </w:rPr>
              <w:t>-F</w:t>
            </w:r>
          </w:p>
        </w:tc>
      </w:tr>
      <w:tr w:rsidR="00D72F49" w:rsidRPr="00E55A9F" w14:paraId="41096C77" w14:textId="77777777" w:rsidTr="00D72F49">
        <w:trPr>
          <w:cantSplit/>
        </w:trPr>
        <w:tc>
          <w:tcPr>
            <w:tcW w:w="3969" w:type="dxa"/>
            <w:vMerge/>
          </w:tcPr>
          <w:p w14:paraId="0BBA5643" w14:textId="77777777" w:rsidR="00D72F49" w:rsidRPr="00E55A9F" w:rsidRDefault="00D72F49" w:rsidP="00CD4E58">
            <w:pPr>
              <w:tabs>
                <w:tab w:val="left" w:pos="851"/>
              </w:tabs>
              <w:rPr>
                <w:b/>
              </w:rPr>
            </w:pPr>
          </w:p>
        </w:tc>
        <w:tc>
          <w:tcPr>
            <w:tcW w:w="5245" w:type="dxa"/>
          </w:tcPr>
          <w:p w14:paraId="068BECD5" w14:textId="596F8CE8" w:rsidR="00D72F49" w:rsidRPr="00E55A9F" w:rsidRDefault="00EB4E7F" w:rsidP="00CD4E58">
            <w:pPr>
              <w:tabs>
                <w:tab w:val="left" w:pos="851"/>
              </w:tabs>
              <w:spacing w:before="0"/>
              <w:jc w:val="right"/>
              <w:rPr>
                <w:b/>
              </w:rPr>
            </w:pPr>
            <w:r w:rsidRPr="00E55A9F">
              <w:rPr>
                <w:b/>
              </w:rPr>
              <w:t>25 mai</w:t>
            </w:r>
            <w:r w:rsidR="00D72F49" w:rsidRPr="00E55A9F">
              <w:rPr>
                <w:b/>
              </w:rPr>
              <w:t xml:space="preserve"> 2023</w:t>
            </w:r>
          </w:p>
        </w:tc>
      </w:tr>
      <w:tr w:rsidR="00D72F49" w:rsidRPr="00E55A9F" w14:paraId="17E5B988" w14:textId="77777777" w:rsidTr="00D72F49">
        <w:trPr>
          <w:cantSplit/>
          <w:trHeight w:val="23"/>
        </w:trPr>
        <w:tc>
          <w:tcPr>
            <w:tcW w:w="3969" w:type="dxa"/>
            <w:vMerge/>
          </w:tcPr>
          <w:p w14:paraId="2192D6D7" w14:textId="77777777" w:rsidR="00D72F49" w:rsidRPr="00E55A9F" w:rsidRDefault="00D72F49" w:rsidP="00CD4E58">
            <w:pPr>
              <w:tabs>
                <w:tab w:val="left" w:pos="851"/>
              </w:tabs>
              <w:rPr>
                <w:b/>
              </w:rPr>
            </w:pPr>
          </w:p>
        </w:tc>
        <w:tc>
          <w:tcPr>
            <w:tcW w:w="5245" w:type="dxa"/>
          </w:tcPr>
          <w:p w14:paraId="1948C622" w14:textId="77777777" w:rsidR="00D72F49" w:rsidRPr="00E55A9F" w:rsidRDefault="00D72F49" w:rsidP="00CD4E58">
            <w:pPr>
              <w:tabs>
                <w:tab w:val="left" w:pos="851"/>
              </w:tabs>
              <w:spacing w:before="0"/>
              <w:jc w:val="right"/>
              <w:rPr>
                <w:b/>
              </w:rPr>
            </w:pPr>
            <w:r w:rsidRPr="00E55A9F">
              <w:rPr>
                <w:b/>
              </w:rPr>
              <w:t>Original: anglais</w:t>
            </w:r>
          </w:p>
        </w:tc>
      </w:tr>
      <w:tr w:rsidR="00D72F49" w:rsidRPr="00E55A9F" w14:paraId="53623BEE" w14:textId="77777777" w:rsidTr="00D72F49">
        <w:trPr>
          <w:cantSplit/>
          <w:trHeight w:val="23"/>
        </w:trPr>
        <w:tc>
          <w:tcPr>
            <w:tcW w:w="3969" w:type="dxa"/>
          </w:tcPr>
          <w:p w14:paraId="630B4C34" w14:textId="77777777" w:rsidR="00D72F49" w:rsidRPr="00E55A9F" w:rsidRDefault="00D72F49" w:rsidP="00CD4E58">
            <w:pPr>
              <w:tabs>
                <w:tab w:val="left" w:pos="851"/>
              </w:tabs>
              <w:rPr>
                <w:b/>
              </w:rPr>
            </w:pPr>
          </w:p>
        </w:tc>
        <w:tc>
          <w:tcPr>
            <w:tcW w:w="5245" w:type="dxa"/>
          </w:tcPr>
          <w:p w14:paraId="437750C4" w14:textId="77777777" w:rsidR="00D72F49" w:rsidRPr="00E55A9F" w:rsidRDefault="00D72F49" w:rsidP="00CD4E58">
            <w:pPr>
              <w:tabs>
                <w:tab w:val="left" w:pos="851"/>
              </w:tabs>
              <w:spacing w:before="0"/>
              <w:jc w:val="right"/>
              <w:rPr>
                <w:b/>
              </w:rPr>
            </w:pPr>
          </w:p>
        </w:tc>
      </w:tr>
      <w:tr w:rsidR="00D72F49" w:rsidRPr="00E55A9F" w14:paraId="31FFA2A5" w14:textId="77777777" w:rsidTr="00D72F49">
        <w:trPr>
          <w:cantSplit/>
        </w:trPr>
        <w:tc>
          <w:tcPr>
            <w:tcW w:w="9214" w:type="dxa"/>
            <w:gridSpan w:val="2"/>
            <w:tcMar>
              <w:left w:w="0" w:type="dxa"/>
            </w:tcMar>
          </w:tcPr>
          <w:p w14:paraId="7AA1F34C" w14:textId="5890553D" w:rsidR="00D72F49" w:rsidRPr="00E55A9F" w:rsidRDefault="00D72F49" w:rsidP="00CD4E58">
            <w:pPr>
              <w:pStyle w:val="Source"/>
              <w:jc w:val="left"/>
              <w:rPr>
                <w:sz w:val="34"/>
                <w:szCs w:val="34"/>
              </w:rPr>
            </w:pPr>
            <w:r w:rsidRPr="00E55A9F">
              <w:rPr>
                <w:rFonts w:cstheme="minorHAnsi"/>
                <w:color w:val="000000"/>
                <w:sz w:val="34"/>
                <w:szCs w:val="34"/>
              </w:rPr>
              <w:t xml:space="preserve">Rapport </w:t>
            </w:r>
            <w:r w:rsidR="00E95647" w:rsidRPr="00E55A9F">
              <w:rPr>
                <w:rFonts w:cstheme="minorHAnsi"/>
                <w:color w:val="000000"/>
                <w:sz w:val="34"/>
                <w:szCs w:val="34"/>
              </w:rPr>
              <w:t xml:space="preserve">de la </w:t>
            </w:r>
            <w:r w:rsidRPr="00E55A9F">
              <w:rPr>
                <w:rFonts w:cstheme="minorHAnsi"/>
                <w:color w:val="000000"/>
                <w:sz w:val="34"/>
                <w:szCs w:val="34"/>
              </w:rPr>
              <w:t>Secrétaire général</w:t>
            </w:r>
            <w:r w:rsidR="00E95647" w:rsidRPr="00E55A9F">
              <w:rPr>
                <w:rFonts w:cstheme="minorHAnsi"/>
                <w:color w:val="000000"/>
                <w:sz w:val="34"/>
                <w:szCs w:val="34"/>
              </w:rPr>
              <w:t>e</w:t>
            </w:r>
          </w:p>
        </w:tc>
      </w:tr>
      <w:tr w:rsidR="00D72F49" w:rsidRPr="00E55A9F" w14:paraId="65E7E3D8" w14:textId="77777777" w:rsidTr="00D72F49">
        <w:trPr>
          <w:cantSplit/>
        </w:trPr>
        <w:tc>
          <w:tcPr>
            <w:tcW w:w="9214" w:type="dxa"/>
            <w:gridSpan w:val="2"/>
            <w:tcMar>
              <w:left w:w="0" w:type="dxa"/>
            </w:tcMar>
          </w:tcPr>
          <w:p w14:paraId="370F6D7B" w14:textId="73DD30EC" w:rsidR="00D72F49" w:rsidRPr="00E55A9F" w:rsidRDefault="00EB4E7F" w:rsidP="00CD4E58">
            <w:pPr>
              <w:pStyle w:val="Subtitle"/>
              <w:framePr w:hSpace="0" w:wrap="auto" w:hAnchor="text" w:xAlign="left" w:yAlign="inline"/>
              <w:rPr>
                <w:lang w:val="fr-FR"/>
              </w:rPr>
            </w:pPr>
            <w:bookmarkStart w:id="0" w:name="_Hlk137634913"/>
            <w:r w:rsidRPr="00E55A9F">
              <w:rPr>
                <w:rFonts w:cstheme="minorHAnsi"/>
                <w:lang w:val="fr-FR"/>
              </w:rPr>
              <w:t>STRATÉGIE DE COORDINATION DES EFFORTS ENTRE LES TROIS SECTEURS DE L'UNION</w:t>
            </w:r>
            <w:bookmarkEnd w:id="0"/>
          </w:p>
        </w:tc>
      </w:tr>
      <w:tr w:rsidR="00D72F49" w:rsidRPr="00E55A9F"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2324082B" w:rsidR="00D72F49" w:rsidRPr="00E55A9F" w:rsidRDefault="00F37FE5" w:rsidP="00CD4E58">
            <w:pPr>
              <w:spacing w:before="160"/>
              <w:rPr>
                <w:b/>
                <w:bCs/>
                <w:sz w:val="26"/>
                <w:szCs w:val="26"/>
              </w:rPr>
            </w:pPr>
            <w:r w:rsidRPr="00E55A9F">
              <w:rPr>
                <w:b/>
                <w:bCs/>
                <w:sz w:val="26"/>
                <w:szCs w:val="26"/>
              </w:rPr>
              <w:t>Objet</w:t>
            </w:r>
          </w:p>
          <w:p w14:paraId="45E55FB2" w14:textId="0986007C" w:rsidR="00D72F49" w:rsidRPr="00E55A9F" w:rsidRDefault="0021440B" w:rsidP="00CD4E58">
            <w:bookmarkStart w:id="1" w:name="_Toc406757759"/>
            <w:r w:rsidRPr="00E55A9F">
              <w:t>Le</w:t>
            </w:r>
            <w:r w:rsidR="00E43392" w:rsidRPr="00E55A9F">
              <w:t xml:space="preserve"> présent document </w:t>
            </w:r>
            <w:r w:rsidRPr="00E55A9F">
              <w:t xml:space="preserve">vise à présenter </w:t>
            </w:r>
            <w:r w:rsidR="00E43392" w:rsidRPr="00E55A9F">
              <w:t xml:space="preserve">la </w:t>
            </w:r>
            <w:bookmarkEnd w:id="1"/>
            <w:r w:rsidR="00EB4E7F" w:rsidRPr="00E55A9F">
              <w:t xml:space="preserve">stratégie de coordination des efforts entre les trois Secteurs de l'Union et le Secrétariat général, </w:t>
            </w:r>
            <w:r w:rsidR="00E43392" w:rsidRPr="00E55A9F">
              <w:t>suite aux décisions prises par les États Membres à la Conférence de plénipotentiaires qui s'est tenue à Bucarest en 2022 (PP-22)</w:t>
            </w:r>
            <w:r w:rsidR="00EB4E7F" w:rsidRPr="00E55A9F">
              <w:t>.</w:t>
            </w:r>
          </w:p>
          <w:p w14:paraId="0B950982" w14:textId="77777777" w:rsidR="00D72F49" w:rsidRPr="00E55A9F" w:rsidRDefault="00D72F49" w:rsidP="00CD4E58">
            <w:pPr>
              <w:spacing w:before="160"/>
              <w:rPr>
                <w:b/>
                <w:bCs/>
                <w:sz w:val="26"/>
                <w:szCs w:val="26"/>
              </w:rPr>
            </w:pPr>
            <w:r w:rsidRPr="00E55A9F">
              <w:rPr>
                <w:b/>
                <w:bCs/>
                <w:sz w:val="26"/>
                <w:szCs w:val="26"/>
              </w:rPr>
              <w:t>Suite à donner par le Conseil</w:t>
            </w:r>
          </w:p>
          <w:p w14:paraId="6F9A6B88" w14:textId="73B7AD41" w:rsidR="00D72F49" w:rsidRPr="00E55A9F" w:rsidRDefault="001050C4" w:rsidP="00CD4E58">
            <w:r w:rsidRPr="00E55A9F">
              <w:t xml:space="preserve">Le Conseil est invité à </w:t>
            </w:r>
            <w:r w:rsidRPr="00E55A9F">
              <w:rPr>
                <w:b/>
                <w:bCs/>
              </w:rPr>
              <w:t xml:space="preserve">prendre note </w:t>
            </w:r>
            <w:r w:rsidRPr="00E55A9F">
              <w:t>du présent rapport et à demander au secrétariat de le</w:t>
            </w:r>
            <w:r w:rsidRPr="00E87655">
              <w:t xml:space="preserve"> </w:t>
            </w:r>
            <w:r w:rsidRPr="00E55A9F">
              <w:rPr>
                <w:b/>
                <w:bCs/>
              </w:rPr>
              <w:t>transmettre</w:t>
            </w:r>
            <w:r w:rsidRPr="00E55A9F">
              <w:t>, pour information, au Groupe consultatif des radiocommunications (GCR), au Groupe consultatif de la normalisation des télécommunications (GCNT) et au Groupe consultatif pour le développement des télécommunications (GCDT).</w:t>
            </w:r>
          </w:p>
          <w:p w14:paraId="121C402A" w14:textId="4FDE1FF1" w:rsidR="00D72F49" w:rsidRPr="00E55A9F" w:rsidRDefault="00D72F49" w:rsidP="00CD4E58">
            <w:pPr>
              <w:spacing w:before="160"/>
              <w:rPr>
                <w:b/>
                <w:bCs/>
                <w:sz w:val="26"/>
                <w:szCs w:val="26"/>
              </w:rPr>
            </w:pPr>
            <w:r w:rsidRPr="00E55A9F">
              <w:rPr>
                <w:b/>
                <w:bCs/>
                <w:sz w:val="26"/>
                <w:szCs w:val="26"/>
              </w:rPr>
              <w:t xml:space="preserve">Lien(s) pertinent(s) avec le </w:t>
            </w:r>
            <w:r w:rsidR="00F37FE5" w:rsidRPr="00E55A9F">
              <w:rPr>
                <w:b/>
                <w:bCs/>
                <w:sz w:val="26"/>
                <w:szCs w:val="26"/>
              </w:rPr>
              <w:t>p</w:t>
            </w:r>
            <w:r w:rsidRPr="00E55A9F">
              <w:rPr>
                <w:b/>
                <w:bCs/>
                <w:sz w:val="26"/>
                <w:szCs w:val="26"/>
              </w:rPr>
              <w:t>lan stratégique</w:t>
            </w:r>
          </w:p>
          <w:p w14:paraId="60D63331" w14:textId="585ACB6D" w:rsidR="00D72F49" w:rsidRPr="00E55A9F" w:rsidRDefault="00EB4E7F" w:rsidP="00CD4E58">
            <w:r w:rsidRPr="00E55A9F">
              <w:t>Excellence en matière de ressources humaines et d'innovation institutionnelle.</w:t>
            </w:r>
          </w:p>
          <w:p w14:paraId="11FAADC9" w14:textId="7CE3289A" w:rsidR="00E95647" w:rsidRPr="00E55A9F" w:rsidRDefault="00D72F49" w:rsidP="00CD4E58">
            <w:pPr>
              <w:spacing w:before="160"/>
              <w:rPr>
                <w:b/>
                <w:bCs/>
                <w:sz w:val="26"/>
                <w:szCs w:val="26"/>
              </w:rPr>
            </w:pPr>
            <w:r w:rsidRPr="00E55A9F">
              <w:rPr>
                <w:b/>
                <w:bCs/>
                <w:sz w:val="26"/>
                <w:szCs w:val="26"/>
              </w:rPr>
              <w:t>Incidences financières:</w:t>
            </w:r>
          </w:p>
          <w:p w14:paraId="1476D7E3" w14:textId="5C8E339F" w:rsidR="00D72F49" w:rsidRPr="00E55A9F" w:rsidRDefault="00EB4E7F" w:rsidP="00CD4E58">
            <w:pPr>
              <w:spacing w:before="160"/>
            </w:pPr>
            <w:r w:rsidRPr="00E55A9F">
              <w:t>A</w:t>
            </w:r>
            <w:r w:rsidR="00D72F49" w:rsidRPr="00E55A9F">
              <w:t>ucune</w:t>
            </w:r>
            <w:r w:rsidRPr="00E55A9F">
              <w:t>.</w:t>
            </w:r>
          </w:p>
          <w:p w14:paraId="2E44E753" w14:textId="77777777" w:rsidR="00D72F49" w:rsidRPr="00E55A9F" w:rsidRDefault="00D72F49" w:rsidP="00CD4E58">
            <w:pPr>
              <w:spacing w:before="160"/>
              <w:rPr>
                <w:caps/>
                <w:sz w:val="22"/>
              </w:rPr>
            </w:pPr>
            <w:r w:rsidRPr="00E55A9F">
              <w:rPr>
                <w:sz w:val="22"/>
              </w:rPr>
              <w:t>__________________</w:t>
            </w:r>
          </w:p>
          <w:p w14:paraId="246B160C" w14:textId="77777777" w:rsidR="00D72F49" w:rsidRPr="00E55A9F" w:rsidRDefault="00D72F49" w:rsidP="00CD4E58">
            <w:pPr>
              <w:spacing w:before="160"/>
              <w:rPr>
                <w:b/>
                <w:bCs/>
                <w:sz w:val="26"/>
                <w:szCs w:val="26"/>
              </w:rPr>
            </w:pPr>
            <w:r w:rsidRPr="00E55A9F">
              <w:rPr>
                <w:b/>
                <w:bCs/>
                <w:sz w:val="26"/>
                <w:szCs w:val="26"/>
              </w:rPr>
              <w:t>Références</w:t>
            </w:r>
          </w:p>
          <w:p w14:paraId="3B399B5C" w14:textId="0818C83F" w:rsidR="00D72F49" w:rsidRPr="00E55A9F" w:rsidRDefault="00E87655" w:rsidP="00CD4E58">
            <w:pPr>
              <w:spacing w:after="160"/>
            </w:pPr>
            <w:hyperlink r:id="rId7" w:history="1">
              <w:r w:rsidR="00EB4E7F" w:rsidRPr="00E55A9F">
                <w:rPr>
                  <w:rStyle w:val="Hyperlink"/>
                  <w:i/>
                  <w:iCs/>
                </w:rPr>
                <w:t>Résolution 71</w:t>
              </w:r>
            </w:hyperlink>
            <w:r w:rsidR="00EB4E7F" w:rsidRPr="00E55A9F">
              <w:rPr>
                <w:i/>
                <w:iCs/>
              </w:rPr>
              <w:t xml:space="preserve"> (Rév. Bucarest, 2022) </w:t>
            </w:r>
            <w:r w:rsidR="00B25209" w:rsidRPr="00E55A9F">
              <w:rPr>
                <w:i/>
                <w:iCs/>
              </w:rPr>
              <w:t>et</w:t>
            </w:r>
            <w:r w:rsidR="00EB4E7F" w:rsidRPr="00E55A9F">
              <w:rPr>
                <w:i/>
                <w:iCs/>
              </w:rPr>
              <w:t xml:space="preserve"> </w:t>
            </w:r>
            <w:hyperlink r:id="rId8" w:history="1">
              <w:r w:rsidR="00EB4E7F" w:rsidRPr="00E55A9F">
                <w:rPr>
                  <w:rStyle w:val="Hyperlink"/>
                  <w:i/>
                  <w:iCs/>
                </w:rPr>
                <w:t>Résolution 191</w:t>
              </w:r>
            </w:hyperlink>
            <w:r w:rsidR="00EB4E7F" w:rsidRPr="00E55A9F">
              <w:rPr>
                <w:i/>
                <w:iCs/>
              </w:rPr>
              <w:t xml:space="preserve"> (Rév. Bucarest, 2022), </w:t>
            </w:r>
            <w:r w:rsidR="00B25209" w:rsidRPr="00E55A9F">
              <w:rPr>
                <w:i/>
                <w:iCs/>
              </w:rPr>
              <w:t>et</w:t>
            </w:r>
            <w:r w:rsidR="00EB4E7F" w:rsidRPr="00E55A9F">
              <w:rPr>
                <w:i/>
                <w:iCs/>
              </w:rPr>
              <w:t xml:space="preserve"> </w:t>
            </w:r>
            <w:hyperlink r:id="rId9" w:history="1">
              <w:r w:rsidR="00EB4E7F" w:rsidRPr="00E55A9F">
                <w:rPr>
                  <w:rStyle w:val="Hyperlink"/>
                  <w:i/>
                  <w:iCs/>
                </w:rPr>
                <w:t>Décision 5</w:t>
              </w:r>
            </w:hyperlink>
            <w:r w:rsidR="00EB4E7F" w:rsidRPr="00E55A9F">
              <w:rPr>
                <w:i/>
                <w:iCs/>
              </w:rPr>
              <w:t xml:space="preserve"> (Rév. Bucarest, 2022) de la Conférence de plénipotentiaires</w:t>
            </w:r>
          </w:p>
        </w:tc>
      </w:tr>
    </w:tbl>
    <w:p w14:paraId="3B7150AC" w14:textId="77777777" w:rsidR="00A51849" w:rsidRPr="00E55A9F" w:rsidRDefault="00A51849" w:rsidP="00CD4E58">
      <w:pPr>
        <w:tabs>
          <w:tab w:val="clear" w:pos="567"/>
          <w:tab w:val="clear" w:pos="1134"/>
          <w:tab w:val="clear" w:pos="1701"/>
          <w:tab w:val="clear" w:pos="2268"/>
          <w:tab w:val="clear" w:pos="2835"/>
        </w:tabs>
        <w:overflowPunct/>
        <w:autoSpaceDE/>
        <w:autoSpaceDN/>
        <w:adjustRightInd/>
        <w:spacing w:before="0"/>
        <w:textAlignment w:val="auto"/>
      </w:pPr>
      <w:r w:rsidRPr="00E55A9F">
        <w:br w:type="page"/>
      </w:r>
    </w:p>
    <w:p w14:paraId="05309BCC" w14:textId="02D4B5D2" w:rsidR="00897553" w:rsidRPr="00E55A9F" w:rsidRDefault="00EB4E7F" w:rsidP="00CD4E58">
      <w:pPr>
        <w:pStyle w:val="Heading1"/>
      </w:pPr>
      <w:r w:rsidRPr="00E55A9F">
        <w:lastRenderedPageBreak/>
        <w:t>1</w:t>
      </w:r>
      <w:r w:rsidRPr="00E55A9F">
        <w:tab/>
        <w:t>Stratégie de coordination intersectorielle</w:t>
      </w:r>
    </w:p>
    <w:p w14:paraId="37BA2AD6" w14:textId="3F02F72C" w:rsidR="00EB4E7F" w:rsidRPr="00E55A9F" w:rsidRDefault="00D310B8" w:rsidP="00CD4E58">
      <w:r w:rsidRPr="00E55A9F">
        <w:t>1.1</w:t>
      </w:r>
      <w:r w:rsidRPr="00E55A9F">
        <w:tab/>
      </w:r>
      <w:r w:rsidR="007A02E4" w:rsidRPr="00E55A9F">
        <w:rPr>
          <w:rStyle w:val="normaltextrun"/>
          <w:rFonts w:cs="Calibri"/>
          <w:szCs w:val="24"/>
          <w:lang w:eastAsia="en-GB"/>
        </w:rPr>
        <w:t>La Conférence de plénipotentiaires de 2022</w:t>
      </w:r>
      <w:r w:rsidRPr="00E55A9F">
        <w:rPr>
          <w:rStyle w:val="normaltextrun"/>
          <w:rFonts w:cs="Calibri"/>
          <w:szCs w:val="24"/>
          <w:lang w:eastAsia="en-GB"/>
        </w:rPr>
        <w:t xml:space="preserve"> (PP-22), </w:t>
      </w:r>
      <w:r w:rsidR="007A02E4" w:rsidRPr="00E55A9F">
        <w:rPr>
          <w:rStyle w:val="normaltextrun"/>
          <w:rFonts w:cs="Calibri"/>
          <w:szCs w:val="24"/>
          <w:lang w:eastAsia="en-GB"/>
        </w:rPr>
        <w:t>par sa</w:t>
      </w:r>
      <w:r w:rsidRPr="00E55A9F">
        <w:rPr>
          <w:rStyle w:val="normaltextrun"/>
          <w:rFonts w:cs="Calibri"/>
          <w:szCs w:val="24"/>
          <w:lang w:eastAsia="en-GB"/>
        </w:rPr>
        <w:t xml:space="preserve"> Résolution 191 (Rév.</w:t>
      </w:r>
      <w:r w:rsidR="006635B9" w:rsidRPr="00E55A9F">
        <w:rPr>
          <w:rStyle w:val="normaltextrun"/>
          <w:rFonts w:cs="Calibri"/>
          <w:szCs w:val="24"/>
          <w:lang w:eastAsia="en-GB"/>
        </w:rPr>
        <w:t> </w:t>
      </w:r>
      <w:r w:rsidRPr="00E55A9F">
        <w:rPr>
          <w:rStyle w:val="normaltextrun"/>
          <w:rFonts w:cs="Calibri"/>
          <w:szCs w:val="24"/>
          <w:lang w:eastAsia="en-GB"/>
        </w:rPr>
        <w:t xml:space="preserve">Bucarest, 2022), </w:t>
      </w:r>
      <w:r w:rsidRPr="00E55A9F">
        <w:t>charge le Secrétaire général</w:t>
      </w:r>
      <w:r w:rsidR="00331B69" w:rsidRPr="00E55A9F">
        <w:t xml:space="preserve"> </w:t>
      </w:r>
      <w:r w:rsidRPr="00E55A9F">
        <w:t xml:space="preserve">de continuer d'améliorer la stratégie de coordination et de coopération, afin de garantir l'efficacité et l'efficience des efforts dans les domaines intéressant les trois Secteurs de l'UIT et le Secrétariat général, de manière à éviter tout chevauchement d'activité et à optimiser l'utilisation des ressources de l'Union. </w:t>
      </w:r>
      <w:r w:rsidR="00F3633C" w:rsidRPr="00E55A9F">
        <w:t>En outre, le Secrétaire général</w:t>
      </w:r>
      <w:r w:rsidR="00331B69" w:rsidRPr="00E55A9F">
        <w:t xml:space="preserve"> </w:t>
      </w:r>
      <w:r w:rsidR="00F3633C" w:rsidRPr="00E55A9F">
        <w:t>est chargé</w:t>
      </w:r>
      <w:r w:rsidR="00331B69" w:rsidRPr="00E55A9F">
        <w:t xml:space="preserve"> </w:t>
      </w:r>
      <w:r w:rsidR="00F3633C" w:rsidRPr="00E55A9F">
        <w:t>d</w:t>
      </w:r>
      <w:r w:rsidRPr="00E55A9F">
        <w:t>e recenser toutes les formes et tous les cas de chevauchement des fonctions et des activités entre les Secteurs de l'UIT et le Secrétariat général et de proposer des solutions pour y remédier.</w:t>
      </w:r>
    </w:p>
    <w:p w14:paraId="5F62375A" w14:textId="44A486CE" w:rsidR="00D310B8" w:rsidRPr="00E55A9F" w:rsidRDefault="00D310B8" w:rsidP="00CD4E58">
      <w:r w:rsidRPr="00E55A9F">
        <w:t>1.2</w:t>
      </w:r>
      <w:r w:rsidRPr="00E55A9F">
        <w:tab/>
      </w:r>
      <w:r w:rsidR="00AF3A79" w:rsidRPr="00E55A9F">
        <w:t>Conformément à l'</w:t>
      </w:r>
      <w:r w:rsidR="006011D1" w:rsidRPr="00E55A9F">
        <w:t>O</w:t>
      </w:r>
      <w:r w:rsidR="00AF3A79" w:rsidRPr="00E55A9F">
        <w:t xml:space="preserve">rdre de service </w:t>
      </w:r>
      <w:r w:rsidR="006011D1" w:rsidRPr="00E55A9F">
        <w:t>N°</w:t>
      </w:r>
      <w:r w:rsidRPr="00E55A9F">
        <w:t xml:space="preserve"> 23/06, </w:t>
      </w:r>
      <w:r w:rsidR="00AF3A79" w:rsidRPr="00E55A9F">
        <w:t>l</w:t>
      </w:r>
      <w:r w:rsidR="00331B69" w:rsidRPr="00E55A9F">
        <w:t>e</w:t>
      </w:r>
      <w:r w:rsidR="00AF3A79" w:rsidRPr="00E55A9F">
        <w:t xml:space="preserve"> Secrétaire général</w:t>
      </w:r>
      <w:r w:rsidR="00331B69" w:rsidRPr="00E55A9F">
        <w:t xml:space="preserve"> a délégué au</w:t>
      </w:r>
      <w:r w:rsidRPr="00E55A9F">
        <w:t xml:space="preserve"> Vice</w:t>
      </w:r>
      <w:r w:rsidR="006635B9" w:rsidRPr="00E55A9F">
        <w:noBreakHyphen/>
      </w:r>
      <w:r w:rsidRPr="00E55A9F">
        <w:t xml:space="preserve">Secrétaire général </w:t>
      </w:r>
      <w:r w:rsidR="00007530" w:rsidRPr="00E55A9F">
        <w:t>la mise en œuvre des</w:t>
      </w:r>
      <w:r w:rsidRPr="00E55A9F">
        <w:t xml:space="preserve"> stratégies et </w:t>
      </w:r>
      <w:r w:rsidR="00007530" w:rsidRPr="00E55A9F">
        <w:t>d</w:t>
      </w:r>
      <w:r w:rsidRPr="00E55A9F">
        <w:t xml:space="preserve">es mécanismes de coordination intersectorielle </w:t>
      </w:r>
      <w:r w:rsidR="009B114C" w:rsidRPr="00E55A9F">
        <w:t>en vue de</w:t>
      </w:r>
      <w:r w:rsidR="002712F5" w:rsidRPr="00E55A9F">
        <w:t xml:space="preserve"> </w:t>
      </w:r>
      <w:r w:rsidR="00331B69" w:rsidRPr="00E55A9F">
        <w:t xml:space="preserve">faciliter la collaboration et la coordination des activités au sein de l'Union, </w:t>
      </w:r>
      <w:r w:rsidR="006D0D0E" w:rsidRPr="00E55A9F">
        <w:t>par l'intermédiaire</w:t>
      </w:r>
      <w:r w:rsidR="00C92738" w:rsidRPr="00E55A9F">
        <w:t xml:space="preserve"> des équipes intersectorielles, afin de</w:t>
      </w:r>
      <w:r w:rsidRPr="00E55A9F">
        <w:t xml:space="preserve"> </w:t>
      </w:r>
      <w:r w:rsidR="00C92738" w:rsidRPr="00E55A9F">
        <w:t>concrétiser</w:t>
      </w:r>
      <w:r w:rsidRPr="00E55A9F">
        <w:t xml:space="preserve"> </w:t>
      </w:r>
      <w:r w:rsidR="00C92738" w:rsidRPr="00E55A9F">
        <w:t>le principe</w:t>
      </w:r>
      <w:r w:rsidRPr="00E55A9F">
        <w:t xml:space="preserve"> d'une UIT unie dans l'action.</w:t>
      </w:r>
    </w:p>
    <w:p w14:paraId="4E40651C" w14:textId="4513F7EF" w:rsidR="00D310B8" w:rsidRPr="00E55A9F" w:rsidRDefault="00D310B8" w:rsidP="00CD4E58">
      <w:r w:rsidRPr="00E55A9F">
        <w:t>1.3</w:t>
      </w:r>
      <w:r w:rsidRPr="00E55A9F">
        <w:tab/>
      </w:r>
      <w:r w:rsidR="003E0099" w:rsidRPr="00E55A9F">
        <w:t xml:space="preserve">On trouvera sur la page web de l'UIT consacrée à la </w:t>
      </w:r>
      <w:hyperlink r:id="rId10" w:history="1">
        <w:r w:rsidR="003E0099" w:rsidRPr="00E55A9F">
          <w:rPr>
            <w:rStyle w:val="Hyperlink"/>
          </w:rPr>
          <w:t>coordination intersectorielle</w:t>
        </w:r>
      </w:hyperlink>
      <w:r w:rsidR="003E0099" w:rsidRPr="00E55A9F">
        <w:t xml:space="preserve">, le tableau </w:t>
      </w:r>
      <w:r w:rsidR="003579C8" w:rsidRPr="00E55A9F">
        <w:t>de mise</w:t>
      </w:r>
      <w:r w:rsidR="002A4F75" w:rsidRPr="00E55A9F">
        <w:t xml:space="preserve"> en correspondance </w:t>
      </w:r>
      <w:r w:rsidR="00FB2BA3" w:rsidRPr="00E55A9F">
        <w:t>d</w:t>
      </w:r>
      <w:r w:rsidR="002A4F75" w:rsidRPr="00E55A9F">
        <w:t>es</w:t>
      </w:r>
      <w:r w:rsidR="002712F5" w:rsidRPr="00E55A9F">
        <w:t xml:space="preserve"> résolutions issues des principales conf</w:t>
      </w:r>
      <w:r w:rsidR="001B3419" w:rsidRPr="00E55A9F">
        <w:t>é</w:t>
      </w:r>
      <w:r w:rsidR="002712F5" w:rsidRPr="00E55A9F">
        <w:t xml:space="preserve">rences et assemblées de l'UIT </w:t>
      </w:r>
      <w:r w:rsidRPr="00E55A9F">
        <w:t>(</w:t>
      </w:r>
      <w:r w:rsidR="00093BB8" w:rsidRPr="00E55A9F">
        <w:t>Conférence de plénipotentiaires, Assemblée des radiocommunications, Conférence mondiale des radiocommunications, Assemblée mondiale de normalisation des télécommunications et Conférence mondiale de développement des télécommunications</w:t>
      </w:r>
      <w:r w:rsidRPr="00E55A9F">
        <w:t>)</w:t>
      </w:r>
      <w:r w:rsidR="00567D96" w:rsidRPr="00E55A9F">
        <w:t>,</w:t>
      </w:r>
      <w:r w:rsidRPr="00E55A9F">
        <w:t xml:space="preserve"> </w:t>
      </w:r>
      <w:r w:rsidR="00567D96" w:rsidRPr="00E55A9F">
        <w:t>élaboré</w:t>
      </w:r>
      <w:r w:rsidR="00DB019B" w:rsidRPr="00E55A9F">
        <w:t xml:space="preserve"> après que la PP-22 a achevé ses travaux en octobre 2022</w:t>
      </w:r>
      <w:r w:rsidRPr="00E55A9F">
        <w:t>.</w:t>
      </w:r>
    </w:p>
    <w:p w14:paraId="09EB02BF" w14:textId="3F4989B2" w:rsidR="00D310B8" w:rsidRPr="00E55A9F" w:rsidRDefault="00D310B8" w:rsidP="00CD4E58">
      <w:r w:rsidRPr="00E55A9F">
        <w:t>1.4</w:t>
      </w:r>
      <w:r w:rsidRPr="00E55A9F">
        <w:tab/>
      </w:r>
      <w:r w:rsidR="009C79FA" w:rsidRPr="00E55A9F">
        <w:t xml:space="preserve">Le Vice-Secrétaire général a procédé à une analyse </w:t>
      </w:r>
      <w:r w:rsidR="001A46BC" w:rsidRPr="00E55A9F">
        <w:t>complémentaire</w:t>
      </w:r>
      <w:r w:rsidR="009C79FA" w:rsidRPr="00E55A9F">
        <w:t xml:space="preserve"> </w:t>
      </w:r>
      <w:r w:rsidR="008E3318" w:rsidRPr="00E55A9F">
        <w:t>en vue</w:t>
      </w:r>
      <w:r w:rsidR="009C79FA" w:rsidRPr="00E55A9F">
        <w:t xml:space="preserve"> de proposer une stratégie susceptible de</w:t>
      </w:r>
      <w:r w:rsidR="008E3318" w:rsidRPr="00E55A9F">
        <w:t xml:space="preserve"> traiter le nombre grandissant de domaines d'intérêt mutuel, assortie d'un objet et de chaînes hiérarchiques clairement définis, ainsi que de mécanismes de surveillance et d'évaluation, afin de faciliter le suivi de la mise en œuvre de la </w:t>
      </w:r>
      <w:r w:rsidRPr="00E55A9F">
        <w:t>Résolution 191 (Rév. Bucarest, 2022) de la Conférence de plénipotentiaires.</w:t>
      </w:r>
    </w:p>
    <w:p w14:paraId="6073A89B" w14:textId="4E35B00D" w:rsidR="00D310B8" w:rsidRPr="00E55A9F" w:rsidRDefault="00D310B8" w:rsidP="00CD4E58">
      <w:r w:rsidRPr="00E55A9F">
        <w:t>1.5</w:t>
      </w:r>
      <w:r w:rsidRPr="00E55A9F">
        <w:tab/>
      </w:r>
      <w:r w:rsidR="0009302B" w:rsidRPr="00E55A9F">
        <w:t>Conformément à la nouvelle st</w:t>
      </w:r>
      <w:r w:rsidR="009C091B" w:rsidRPr="00E55A9F">
        <w:t>r</w:t>
      </w:r>
      <w:r w:rsidR="0009302B" w:rsidRPr="00E55A9F">
        <w:t xml:space="preserve">atégie, </w:t>
      </w:r>
      <w:r w:rsidR="001248BA" w:rsidRPr="00E55A9F">
        <w:t xml:space="preserve">il est proposé de mettre en place un mécanisme de coordination intersectorielle </w:t>
      </w:r>
      <w:r w:rsidR="009C091B" w:rsidRPr="00E55A9F">
        <w:t>qui s'articulera autour de</w:t>
      </w:r>
      <w:r w:rsidR="00A27E64" w:rsidRPr="00E55A9F">
        <w:t>s</w:t>
      </w:r>
      <w:r w:rsidR="009C091B" w:rsidRPr="00E55A9F">
        <w:t xml:space="preserve"> trois </w:t>
      </w:r>
      <w:r w:rsidR="00F67500" w:rsidRPr="00E55A9F">
        <w:t xml:space="preserve">axes </w:t>
      </w:r>
      <w:r w:rsidR="00A27E64" w:rsidRPr="00E55A9F">
        <w:t>ci-dessous</w:t>
      </w:r>
      <w:r w:rsidR="009C091B" w:rsidRPr="00E55A9F">
        <w:t>, en fonction des thèmes et d</w:t>
      </w:r>
      <w:r w:rsidR="00A27E64" w:rsidRPr="00E55A9F">
        <w:t>u</w:t>
      </w:r>
      <w:r w:rsidR="009C091B" w:rsidRPr="00E55A9F">
        <w:t xml:space="preserve"> niveau de coordination requis</w:t>
      </w:r>
      <w:r w:rsidRPr="00E55A9F">
        <w:t>:</w:t>
      </w:r>
    </w:p>
    <w:p w14:paraId="118B46D9" w14:textId="4837914A" w:rsidR="00D310B8" w:rsidRPr="00E55A9F" w:rsidRDefault="00D310B8" w:rsidP="00CD4E58">
      <w:pPr>
        <w:pStyle w:val="enumlev2"/>
      </w:pPr>
      <w:r w:rsidRPr="00E55A9F">
        <w:t>a)</w:t>
      </w:r>
      <w:r w:rsidRPr="00E55A9F">
        <w:tab/>
      </w:r>
      <w:r w:rsidR="005706BF" w:rsidRPr="00E55A9F">
        <w:t>Direction stratégique</w:t>
      </w:r>
    </w:p>
    <w:p w14:paraId="2729B4FF" w14:textId="30A9A478" w:rsidR="00D310B8" w:rsidRPr="00E55A9F" w:rsidRDefault="00565B3C" w:rsidP="00CD4E58">
      <w:r w:rsidRPr="00E55A9F">
        <w:t>Le Vice-Secrétaire général et les Directeurs des Bureaux "</w:t>
      </w:r>
      <w:r w:rsidR="00B8535B" w:rsidRPr="00E55A9F">
        <w:t>défendron</w:t>
      </w:r>
      <w:r w:rsidRPr="00E55A9F">
        <w:t xml:space="preserve">t" </w:t>
      </w:r>
      <w:r w:rsidR="00431641" w:rsidRPr="00E55A9F">
        <w:t>l</w:t>
      </w:r>
      <w:r w:rsidRPr="00E55A9F">
        <w:t>es th</w:t>
      </w:r>
      <w:r w:rsidR="00B8535B" w:rsidRPr="00E55A9F">
        <w:t>è</w:t>
      </w:r>
      <w:r w:rsidRPr="00E55A9F">
        <w:t>mes considérés comme étant stratégiques</w:t>
      </w:r>
      <w:r w:rsidR="00431641" w:rsidRPr="00E55A9F">
        <w:t xml:space="preserve"> </w:t>
      </w:r>
      <w:r w:rsidR="00A27E64" w:rsidRPr="00E55A9F">
        <w:t>de sorte</w:t>
      </w:r>
      <w:r w:rsidR="00431641" w:rsidRPr="00E55A9F">
        <w:t xml:space="preserve"> que l'Union</w:t>
      </w:r>
      <w:r w:rsidR="002C04CD" w:rsidRPr="00E55A9F">
        <w:t xml:space="preserve"> puisse</w:t>
      </w:r>
      <w:r w:rsidR="00431641" w:rsidRPr="00E55A9F">
        <w:t xml:space="preserve"> </w:t>
      </w:r>
      <w:r w:rsidR="006E6728" w:rsidRPr="00E55A9F">
        <w:t>joue</w:t>
      </w:r>
      <w:r w:rsidR="002C04CD" w:rsidRPr="00E55A9F">
        <w:t>r</w:t>
      </w:r>
      <w:r w:rsidR="006E6728" w:rsidRPr="00E55A9F">
        <w:t xml:space="preserve"> un r</w:t>
      </w:r>
      <w:r w:rsidR="00561769" w:rsidRPr="00E55A9F">
        <w:t>ô</w:t>
      </w:r>
      <w:r w:rsidR="006E6728" w:rsidRPr="00E55A9F">
        <w:t xml:space="preserve">le de chef de file </w:t>
      </w:r>
      <w:r w:rsidR="00561769" w:rsidRPr="00E55A9F">
        <w:t xml:space="preserve">et </w:t>
      </w:r>
      <w:r w:rsidR="00700259" w:rsidRPr="00E55A9F">
        <w:t>mett</w:t>
      </w:r>
      <w:r w:rsidR="002C04CD" w:rsidRPr="00E55A9F">
        <w:t>r</w:t>
      </w:r>
      <w:r w:rsidR="00700259" w:rsidRPr="00E55A9F">
        <w:t>e en avant ses travaux</w:t>
      </w:r>
      <w:r w:rsidR="00561769" w:rsidRPr="00E55A9F">
        <w:t xml:space="preserve">, </w:t>
      </w:r>
      <w:r w:rsidR="002D7BF7" w:rsidRPr="00E55A9F">
        <w:t>conformément à son mandat et à ses objectifs stratégiques (connectivité universelle et transformation numérique durable), et compte tenu de l'importance de poursuivre les efforts engagés à l'échelle du système des Nations Unies en vue de réaliser les Objectifs de développement durable à l'horizon 2030.</w:t>
      </w:r>
    </w:p>
    <w:p w14:paraId="06115D07" w14:textId="7CAFBD28" w:rsidR="00D310B8" w:rsidRPr="00E55A9F" w:rsidRDefault="00645223" w:rsidP="00CD4E58">
      <w:r w:rsidRPr="00E55A9F">
        <w:t>Ce</w:t>
      </w:r>
      <w:r w:rsidR="00F67500" w:rsidRPr="00E55A9F">
        <w:t>tte</w:t>
      </w:r>
      <w:r w:rsidRPr="00E55A9F">
        <w:t xml:space="preserve"> </w:t>
      </w:r>
      <w:r w:rsidR="00F67500" w:rsidRPr="00E55A9F">
        <w:t xml:space="preserve">fonction </w:t>
      </w:r>
      <w:r w:rsidRPr="00E55A9F">
        <w:t>sera coordonné</w:t>
      </w:r>
      <w:r w:rsidR="00F67500" w:rsidRPr="00E55A9F">
        <w:t>e</w:t>
      </w:r>
      <w:r w:rsidRPr="00E55A9F">
        <w:t xml:space="preserve"> et </w:t>
      </w:r>
      <w:r w:rsidR="00180A1D" w:rsidRPr="00E55A9F">
        <w:t>examiné</w:t>
      </w:r>
      <w:r w:rsidR="00F67500" w:rsidRPr="00E55A9F">
        <w:t>e</w:t>
      </w:r>
      <w:r w:rsidR="00180A1D" w:rsidRPr="00E55A9F">
        <w:t xml:space="preserve"> au niveau du Comité de coordination</w:t>
      </w:r>
      <w:r w:rsidR="0044170F" w:rsidRPr="00E55A9F">
        <w:rPr>
          <w:rStyle w:val="FootnoteReference"/>
          <w:sz w:val="18"/>
          <w:szCs w:val="22"/>
        </w:rPr>
        <w:footnoteReference w:id="1"/>
      </w:r>
      <w:r w:rsidR="00D310B8" w:rsidRPr="00E55A9F">
        <w:t>.</w:t>
      </w:r>
    </w:p>
    <w:p w14:paraId="632A8678" w14:textId="28FAAD78" w:rsidR="00D310B8" w:rsidRPr="00E55A9F" w:rsidRDefault="00D310B8" w:rsidP="006635B9">
      <w:pPr>
        <w:pStyle w:val="enumlev2"/>
        <w:keepNext/>
        <w:keepLines/>
      </w:pPr>
      <w:r w:rsidRPr="00E55A9F">
        <w:lastRenderedPageBreak/>
        <w:t>b)</w:t>
      </w:r>
      <w:r w:rsidRPr="00E55A9F">
        <w:tab/>
      </w:r>
      <w:r w:rsidR="00B17A6D" w:rsidRPr="00E55A9F">
        <w:t>Coordination des programmes</w:t>
      </w:r>
    </w:p>
    <w:p w14:paraId="71759AE2" w14:textId="4FAB3441" w:rsidR="00D310B8" w:rsidRPr="00E55A9F" w:rsidRDefault="00E81030" w:rsidP="006635B9">
      <w:pPr>
        <w:keepNext/>
        <w:keepLines/>
      </w:pPr>
      <w:r w:rsidRPr="00E55A9F">
        <w:t>Cette fonction</w:t>
      </w:r>
      <w:r w:rsidR="008D0A9F" w:rsidRPr="00E55A9F">
        <w:t xml:space="preserve"> </w:t>
      </w:r>
      <w:r w:rsidR="0041305E" w:rsidRPr="00E55A9F">
        <w:t xml:space="preserve">se substituera </w:t>
      </w:r>
      <w:r w:rsidR="00F67500" w:rsidRPr="00E55A9F">
        <w:t xml:space="preserve">aux travaux du </w:t>
      </w:r>
      <w:r w:rsidR="0041305E" w:rsidRPr="00E55A9F">
        <w:t xml:space="preserve">Groupe spécial de coordination intersectorielle </w:t>
      </w:r>
      <w:r w:rsidR="00D310B8" w:rsidRPr="00E55A9F">
        <w:t xml:space="preserve">(ISC-TF) </w:t>
      </w:r>
      <w:r w:rsidR="0057515A" w:rsidRPr="00E55A9F">
        <w:t xml:space="preserve">et </w:t>
      </w:r>
      <w:r w:rsidRPr="00E55A9F">
        <w:t>sera exercée</w:t>
      </w:r>
      <w:r w:rsidR="00F67500" w:rsidRPr="00E55A9F">
        <w:t xml:space="preserve"> sous la direction du</w:t>
      </w:r>
      <w:r w:rsidR="0057515A" w:rsidRPr="00E55A9F">
        <w:t xml:space="preserve"> Groupe de coordination de la gestion </w:t>
      </w:r>
      <w:r w:rsidR="00D310B8" w:rsidRPr="00E55A9F">
        <w:t>(MCG)</w:t>
      </w:r>
      <w:r w:rsidR="0044170F" w:rsidRPr="00E55A9F">
        <w:rPr>
          <w:rStyle w:val="FootnoteReference"/>
        </w:rPr>
        <w:footnoteReference w:id="2"/>
      </w:r>
      <w:r w:rsidR="00D310B8" w:rsidRPr="00E55A9F">
        <w:t xml:space="preserve">, </w:t>
      </w:r>
      <w:r w:rsidR="0057515A" w:rsidRPr="00E55A9F">
        <w:t>y compris</w:t>
      </w:r>
      <w:r w:rsidR="00315F67" w:rsidRPr="00E55A9F">
        <w:t xml:space="preserve"> </w:t>
      </w:r>
      <w:r w:rsidR="008D0A9F" w:rsidRPr="00E55A9F">
        <w:t>des</w:t>
      </w:r>
      <w:r w:rsidR="0057515A" w:rsidRPr="00E55A9F">
        <w:t xml:space="preserve"> directeurs régionaux, </w:t>
      </w:r>
      <w:r w:rsidR="0036214B" w:rsidRPr="00E55A9F">
        <w:t xml:space="preserve">afin d'assurer des synergies, d'éviter </w:t>
      </w:r>
      <w:r w:rsidR="0088034A" w:rsidRPr="00E55A9F">
        <w:t>tout</w:t>
      </w:r>
      <w:r w:rsidR="0036214B" w:rsidRPr="00E55A9F">
        <w:t xml:space="preserve"> chevauchement d'activité et d'utiliser au mieux les ressources, pour </w:t>
      </w:r>
      <w:r w:rsidR="009C6A8A" w:rsidRPr="00E55A9F">
        <w:t xml:space="preserve">exploiter au </w:t>
      </w:r>
      <w:r w:rsidR="008D0A9F" w:rsidRPr="00E55A9F">
        <w:t xml:space="preserve">maximum </w:t>
      </w:r>
      <w:r w:rsidR="009C6A8A" w:rsidRPr="00E55A9F">
        <w:t>les retombées des programmes thématiques</w:t>
      </w:r>
      <w:r w:rsidR="008D0A9F" w:rsidRPr="00E55A9F">
        <w:t>,</w:t>
      </w:r>
      <w:r w:rsidR="0017385B" w:rsidRPr="00E55A9F">
        <w:t xml:space="preserve"> </w:t>
      </w:r>
      <w:r w:rsidR="001E7AB7" w:rsidRPr="00E55A9F">
        <w:t xml:space="preserve">ainsi que pour renforcer la coordination et la collaboration entre les trois Secteurs de l'UIT et le Secrétariat général dans la mise en œuvre des activités, </w:t>
      </w:r>
      <w:r w:rsidR="00B60457" w:rsidRPr="00E55A9F">
        <w:t>par l'</w:t>
      </w:r>
      <w:r w:rsidR="00890B43" w:rsidRPr="00E55A9F">
        <w:t>entremise</w:t>
      </w:r>
      <w:r w:rsidR="001E7AB7" w:rsidRPr="00E55A9F">
        <w:t xml:space="preserve"> des bureaux régionaux.</w:t>
      </w:r>
    </w:p>
    <w:p w14:paraId="47C3C284" w14:textId="14DD625F" w:rsidR="00D310B8" w:rsidRPr="00E55A9F" w:rsidRDefault="00FC3635" w:rsidP="00CD4E58">
      <w:r w:rsidRPr="00E55A9F">
        <w:t xml:space="preserve">Un programme de travail annuel et des rapports </w:t>
      </w:r>
      <w:r w:rsidR="009722D2" w:rsidRPr="00E55A9F">
        <w:t xml:space="preserve">semestriels par </w:t>
      </w:r>
      <w:r w:rsidR="00B60457" w:rsidRPr="00E55A9F">
        <w:t>thème</w:t>
      </w:r>
      <w:r w:rsidR="009722D2" w:rsidRPr="00E55A9F">
        <w:t xml:space="preserve"> seront élaborés à des fins de surveillance et d'évaluation.</w:t>
      </w:r>
    </w:p>
    <w:p w14:paraId="3C0A29E1" w14:textId="1AC229FE" w:rsidR="00D310B8" w:rsidRPr="00E55A9F" w:rsidRDefault="00D310B8" w:rsidP="00CD4E58">
      <w:pPr>
        <w:pStyle w:val="enumlev2"/>
      </w:pPr>
      <w:r w:rsidRPr="00E55A9F">
        <w:t>c)</w:t>
      </w:r>
      <w:r w:rsidRPr="00E55A9F">
        <w:tab/>
      </w:r>
      <w:r w:rsidR="0041217E" w:rsidRPr="00E55A9F">
        <w:t xml:space="preserve">Décisions liées à la </w:t>
      </w:r>
      <w:r w:rsidR="00753DA9" w:rsidRPr="00E55A9F">
        <w:t xml:space="preserve">qualité de fonctionnement </w:t>
      </w:r>
      <w:r w:rsidR="0041217E" w:rsidRPr="00E55A9F">
        <w:t>et à la transformation</w:t>
      </w:r>
    </w:p>
    <w:p w14:paraId="6CF5741A" w14:textId="5FF9C847" w:rsidR="00D310B8" w:rsidRPr="00E55A9F" w:rsidRDefault="00753DA9" w:rsidP="00CD4E58">
      <w:r w:rsidRPr="00E55A9F">
        <w:t>Il sera question</w:t>
      </w:r>
      <w:r w:rsidR="00C44DBB" w:rsidRPr="00E55A9F">
        <w:t xml:space="preserve"> de thèmes liés à l'excellence institutionnelle. </w:t>
      </w:r>
      <w:r w:rsidR="002F53D2" w:rsidRPr="00E55A9F">
        <w:t>Sous la direction du Vice</w:t>
      </w:r>
      <w:r w:rsidR="006635B9" w:rsidRPr="00E55A9F">
        <w:noBreakHyphen/>
      </w:r>
      <w:r w:rsidR="002F53D2" w:rsidRPr="00E55A9F">
        <w:t xml:space="preserve">Secrétaire </w:t>
      </w:r>
      <w:r w:rsidR="00773631" w:rsidRPr="00E55A9F">
        <w:t>général</w:t>
      </w:r>
      <w:r w:rsidR="002F53D2" w:rsidRPr="00E55A9F">
        <w:t xml:space="preserve">, des mesures coordonnées seront approuvées, en accord avec les adjoints aux Directeurs des Bureaux </w:t>
      </w:r>
      <w:r w:rsidR="009E4D9D" w:rsidRPr="00E55A9F">
        <w:t>au sein du groupe des fonctionnaires de</w:t>
      </w:r>
      <w:r w:rsidR="002F53D2" w:rsidRPr="00E55A9F">
        <w:t xml:space="preserve"> grade D2</w:t>
      </w:r>
      <w:r w:rsidR="0044170F" w:rsidRPr="00E55A9F">
        <w:rPr>
          <w:rStyle w:val="FootnoteReference"/>
        </w:rPr>
        <w:footnoteReference w:id="3"/>
      </w:r>
      <w:r w:rsidR="00D310B8" w:rsidRPr="00E55A9F">
        <w:t xml:space="preserve">, </w:t>
      </w:r>
      <w:r w:rsidR="002F53D2" w:rsidRPr="00E55A9F">
        <w:t xml:space="preserve">afin de tenir compte des travaux </w:t>
      </w:r>
      <w:r w:rsidR="00773631" w:rsidRPr="00E55A9F">
        <w:t>menés conformément au principe d'</w:t>
      </w:r>
      <w:r w:rsidR="002F53D2" w:rsidRPr="00E55A9F">
        <w:t>une UIT unie dans l'action</w:t>
      </w:r>
      <w:r w:rsidR="00D310B8" w:rsidRPr="00E55A9F">
        <w:t>.</w:t>
      </w:r>
    </w:p>
    <w:p w14:paraId="1F7401B5" w14:textId="55459B1C" w:rsidR="00D310B8" w:rsidRPr="00E55A9F" w:rsidRDefault="00D310B8" w:rsidP="00CD4E58">
      <w:r w:rsidRPr="00E55A9F">
        <w:t>1.6</w:t>
      </w:r>
      <w:r w:rsidRPr="00E55A9F">
        <w:tab/>
      </w:r>
      <w:r w:rsidR="00475A88" w:rsidRPr="00E55A9F">
        <w:t>Les thèmes qui pourraient</w:t>
      </w:r>
      <w:r w:rsidR="00EC1CFA" w:rsidRPr="00E55A9F">
        <w:t>,</w:t>
      </w:r>
      <w:r w:rsidR="00475A88" w:rsidRPr="00E55A9F">
        <w:t xml:space="preserve"> </w:t>
      </w:r>
      <w:r w:rsidR="00753DA9" w:rsidRPr="00E55A9F">
        <w:t xml:space="preserve">dans le cadre de ce mécanisme </w:t>
      </w:r>
      <w:r w:rsidR="004102CA" w:rsidRPr="00E55A9F">
        <w:t>de coordination étroite</w:t>
      </w:r>
      <w:r w:rsidR="00EC1CFA" w:rsidRPr="00E55A9F">
        <w:t>,</w:t>
      </w:r>
      <w:r w:rsidR="004102CA" w:rsidRPr="00E55A9F">
        <w:t xml:space="preserve"> </w:t>
      </w:r>
      <w:r w:rsidR="00753DA9" w:rsidRPr="00E55A9F">
        <w:t xml:space="preserve">ne pas relever </w:t>
      </w:r>
      <w:r w:rsidR="004102CA" w:rsidRPr="00E55A9F">
        <w:t xml:space="preserve">de </w:t>
      </w:r>
      <w:r w:rsidR="00475A88" w:rsidRPr="00E55A9F">
        <w:t xml:space="preserve">l'un des trois </w:t>
      </w:r>
      <w:r w:rsidR="00753DA9" w:rsidRPr="00E55A9F">
        <w:t xml:space="preserve">axes </w:t>
      </w:r>
      <w:r w:rsidR="00475A88" w:rsidRPr="00E55A9F">
        <w:t xml:space="preserve">proposés feront l'objet de rapports </w:t>
      </w:r>
      <w:r w:rsidR="004B3010" w:rsidRPr="00E55A9F">
        <w:t xml:space="preserve">établis </w:t>
      </w:r>
      <w:r w:rsidR="00475A88" w:rsidRPr="00E55A9F">
        <w:t>par l'intermédiaire d'un "mécanisme d'échange d'informations". Le Comité de coordination, le</w:t>
      </w:r>
      <w:r w:rsidR="006635B9" w:rsidRPr="00E55A9F">
        <w:t> </w:t>
      </w:r>
      <w:r w:rsidR="00475A88" w:rsidRPr="00E55A9F">
        <w:t>MCG et l</w:t>
      </w:r>
      <w:r w:rsidR="00E965EE" w:rsidRPr="00E55A9F">
        <w:t>e groupe d</w:t>
      </w:r>
      <w:r w:rsidR="00475A88" w:rsidRPr="00E55A9F">
        <w:t xml:space="preserve">es fonctionnaires de grade D2 </w:t>
      </w:r>
      <w:r w:rsidRPr="00E55A9F">
        <w:t>(</w:t>
      </w:r>
      <w:r w:rsidR="00475A88" w:rsidRPr="00E55A9F">
        <w:t xml:space="preserve">selon la catégorie </w:t>
      </w:r>
      <w:r w:rsidR="00EC1CFA" w:rsidRPr="00E55A9F">
        <w:t>susvisée</w:t>
      </w:r>
      <w:r w:rsidR="00475A88" w:rsidRPr="00E55A9F">
        <w:t xml:space="preserve"> dans laquelle s'inscrit le thème en question) décideront de la suite à donner pour coordonner tous les thèmes approuvés. </w:t>
      </w:r>
      <w:r w:rsidR="008E0689" w:rsidRPr="00E55A9F">
        <w:t xml:space="preserve">Le </w:t>
      </w:r>
      <w:r w:rsidR="00A32B21" w:rsidRPr="00E55A9F">
        <w:t>s</w:t>
      </w:r>
      <w:r w:rsidR="003030F5" w:rsidRPr="00E55A9F">
        <w:t>ecrétariat</w:t>
      </w:r>
      <w:r w:rsidR="008E0689" w:rsidRPr="00E55A9F">
        <w:t xml:space="preserve"> de l'UIT élaborera des lignes directrices pour surveiller la mise en </w:t>
      </w:r>
      <w:r w:rsidR="003030F5" w:rsidRPr="00E55A9F">
        <w:t>œuvre</w:t>
      </w:r>
      <w:r w:rsidR="008E0689" w:rsidRPr="00E55A9F">
        <w:t xml:space="preserve"> et évaluer les incidences de la coordination intersectorielle dans son ensemble, y compris le mécanisme d'échange d'informations à l'échelle de l'UIT.</w:t>
      </w:r>
    </w:p>
    <w:p w14:paraId="1CC2C12E" w14:textId="223B0898" w:rsidR="00D310B8" w:rsidRPr="00E55A9F" w:rsidRDefault="00D310B8" w:rsidP="00CD4E58">
      <w:r w:rsidRPr="00E55A9F">
        <w:t>1.7</w:t>
      </w:r>
      <w:r w:rsidRPr="00E55A9F">
        <w:tab/>
      </w:r>
      <w:r w:rsidR="006673AC" w:rsidRPr="00E55A9F">
        <w:t xml:space="preserve">Le secrétariat, </w:t>
      </w:r>
      <w:r w:rsidR="00EC1CFA" w:rsidRPr="00E55A9F">
        <w:t xml:space="preserve">sous la </w:t>
      </w:r>
      <w:r w:rsidR="006673AC" w:rsidRPr="00E55A9F">
        <w:t xml:space="preserve">coordination </w:t>
      </w:r>
      <w:r w:rsidR="00EC1CFA" w:rsidRPr="00E55A9F">
        <w:t xml:space="preserve">du </w:t>
      </w:r>
      <w:r w:rsidR="006673AC" w:rsidRPr="00E55A9F">
        <w:t>Vice-Secrétaire général, continuera également à assurer la liaison avec les groupes consultatifs des Secteurs ainsi qu'avec le Groupe de coordination intersectorielle</w:t>
      </w:r>
      <w:r w:rsidR="0091599D" w:rsidRPr="00E55A9F">
        <w:t xml:space="preserve"> au sein </w:t>
      </w:r>
      <w:r w:rsidR="006673AC" w:rsidRPr="00E55A9F">
        <w:t xml:space="preserve">des groupes consultatifs, </w:t>
      </w:r>
      <w:r w:rsidR="0029617A" w:rsidRPr="00E55A9F">
        <w:t xml:space="preserve">en vue </w:t>
      </w:r>
      <w:r w:rsidR="00A074BB" w:rsidRPr="00E55A9F">
        <w:t xml:space="preserve">de définir </w:t>
      </w:r>
      <w:r w:rsidR="0029617A" w:rsidRPr="00E55A9F">
        <w:t>les besoins des membres.</w:t>
      </w:r>
    </w:p>
    <w:p w14:paraId="157AE4AF" w14:textId="56151CA9" w:rsidR="00D310B8" w:rsidRPr="00E55A9F" w:rsidRDefault="00D310B8" w:rsidP="006635B9">
      <w:pPr>
        <w:pStyle w:val="Heading1"/>
      </w:pPr>
      <w:r w:rsidRPr="00E55A9F">
        <w:lastRenderedPageBreak/>
        <w:t>2</w:t>
      </w:r>
      <w:r w:rsidRPr="00E55A9F">
        <w:tab/>
        <w:t>Groupe de coordination intersectorielle</w:t>
      </w:r>
    </w:p>
    <w:p w14:paraId="62BE0F7C" w14:textId="0D056C6F" w:rsidR="00D310B8" w:rsidRPr="00E55A9F" w:rsidRDefault="00D310B8" w:rsidP="006635B9">
      <w:pPr>
        <w:keepNext/>
        <w:keepLines/>
      </w:pPr>
      <w:r w:rsidRPr="00E55A9F">
        <w:t>2.1</w:t>
      </w:r>
      <w:r w:rsidRPr="00E55A9F">
        <w:tab/>
      </w:r>
      <w:r w:rsidR="000F0073" w:rsidRPr="00E55A9F">
        <w:t>Le Groupe de coordination intersectorielle (ISCG), en sa qualité</w:t>
      </w:r>
      <w:r w:rsidR="003A1D6A" w:rsidRPr="00E55A9F">
        <w:t xml:space="preserve"> de mécanisme de coordination </w:t>
      </w:r>
      <w:r w:rsidR="005648B8" w:rsidRPr="00E55A9F">
        <w:t>avec</w:t>
      </w:r>
      <w:r w:rsidR="003A1D6A" w:rsidRPr="00E55A9F">
        <w:t xml:space="preserve"> les membres, s'est réuni le 2 mai 2023, </w:t>
      </w:r>
      <w:r w:rsidR="005648B8" w:rsidRPr="00E55A9F">
        <w:t>parallèlement à</w:t>
      </w:r>
      <w:r w:rsidR="003A1D6A" w:rsidRPr="00E55A9F">
        <w:t xml:space="preserve"> la réunion du Groupe consultatif des radiocommunications (GCR), et a poursuivi les discussions sur l'accessibilité, les changements climatique</w:t>
      </w:r>
      <w:r w:rsidR="004A1344" w:rsidRPr="00E55A9F">
        <w:t>s</w:t>
      </w:r>
      <w:r w:rsidR="003A1D6A" w:rsidRPr="00E55A9F">
        <w:t xml:space="preserve"> et les réunions électroniques, en vue </w:t>
      </w:r>
      <w:r w:rsidR="000042DB" w:rsidRPr="00E55A9F">
        <w:t xml:space="preserve">de définir </w:t>
      </w:r>
      <w:r w:rsidR="003A1D6A" w:rsidRPr="00E55A9F">
        <w:t xml:space="preserve">les besoins des membres et de fournir au secrétariat les avis nécessaires sur les questions d'intérêt mutuel. </w:t>
      </w:r>
      <w:r w:rsidR="004A1344" w:rsidRPr="00E55A9F">
        <w:t xml:space="preserve">Un rapport verbal a été présenté à la réunion du GCR. </w:t>
      </w:r>
      <w:r w:rsidR="00C932F3" w:rsidRPr="00E55A9F">
        <w:t xml:space="preserve">Le rapport de la </w:t>
      </w:r>
      <w:r w:rsidR="000B3293" w:rsidRPr="00E55A9F">
        <w:t>réunion</w:t>
      </w:r>
      <w:r w:rsidR="00C932F3" w:rsidRPr="00E55A9F">
        <w:t xml:space="preserve"> a également été </w:t>
      </w:r>
      <w:r w:rsidR="004E0635" w:rsidRPr="00E55A9F">
        <w:t>présenté au Groupe consultatif de la normalisation des télécommunications (GCNT) et au Groupe consultatif pour le développement des télécommunications (GCDT), en juin</w:t>
      </w:r>
      <w:r w:rsidRPr="00E55A9F">
        <w:t xml:space="preserve"> 2023, </w:t>
      </w:r>
      <w:r w:rsidR="004E0635" w:rsidRPr="00E55A9F">
        <w:t>pour information et suite à donner</w:t>
      </w:r>
      <w:r w:rsidRPr="00E55A9F">
        <w:t>.</w:t>
      </w:r>
    </w:p>
    <w:p w14:paraId="035E0652" w14:textId="36D7C636" w:rsidR="00D310B8" w:rsidRPr="00E55A9F" w:rsidRDefault="00D310B8" w:rsidP="00CD4E58">
      <w:r w:rsidRPr="00E55A9F">
        <w:t>2.2</w:t>
      </w:r>
      <w:r w:rsidRPr="00E55A9F">
        <w:tab/>
      </w:r>
      <w:r w:rsidR="00FB2933" w:rsidRPr="00E55A9F">
        <w:t xml:space="preserve">Parmi les thèmes </w:t>
      </w:r>
      <w:r w:rsidR="00611AEE" w:rsidRPr="00E55A9F">
        <w:t>abordés</w:t>
      </w:r>
      <w:r w:rsidR="00FB2933" w:rsidRPr="00E55A9F">
        <w:t xml:space="preserve">, le Groupe ISCG a fait part de son intérêt </w:t>
      </w:r>
      <w:r w:rsidR="00694A33" w:rsidRPr="00E55A9F">
        <w:t xml:space="preserve">à </w:t>
      </w:r>
      <w:r w:rsidR="00D4726A" w:rsidRPr="00E55A9F">
        <w:t>être associé</w:t>
      </w:r>
      <w:r w:rsidR="00694A33" w:rsidRPr="00E55A9F">
        <w:t xml:space="preserve"> au projet de nouveau bâtiment, afin de s'assurer que toutes les questions liées à l'accessibilité sont prises en </w:t>
      </w:r>
      <w:r w:rsidR="00D6249E" w:rsidRPr="00E55A9F">
        <w:t>considération.</w:t>
      </w:r>
      <w:r w:rsidRPr="00E55A9F">
        <w:t xml:space="preserve"> </w:t>
      </w:r>
      <w:r w:rsidR="000B3293" w:rsidRPr="00E55A9F">
        <w:t xml:space="preserve">De plus, la nécessité d'établir des </w:t>
      </w:r>
      <w:r w:rsidR="004C3D1C" w:rsidRPr="00E55A9F">
        <w:t>procédures</w:t>
      </w:r>
      <w:r w:rsidR="000B3293" w:rsidRPr="00E55A9F">
        <w:t xml:space="preserve"> normalisées pour les </w:t>
      </w:r>
      <w:r w:rsidR="004C3D1C" w:rsidRPr="00E55A9F">
        <w:t>réunions</w:t>
      </w:r>
      <w:r w:rsidR="000B3293" w:rsidRPr="00E55A9F">
        <w:t xml:space="preserve"> de l'UIT a été évoquée.</w:t>
      </w:r>
      <w:r w:rsidR="0053765F" w:rsidRPr="00E55A9F">
        <w:t xml:space="preserve"> Le Groupe ISCG a en outre encouragé le secrétariat de l'UIT à faire avancer les travaux</w:t>
      </w:r>
      <w:r w:rsidR="00F30EF4" w:rsidRPr="00E55A9F">
        <w:t xml:space="preserve"> visant à harmoniser les sites web </w:t>
      </w:r>
      <w:r w:rsidR="00943430" w:rsidRPr="00E55A9F">
        <w:t xml:space="preserve">des Secteurs </w:t>
      </w:r>
      <w:r w:rsidR="00F30EF4" w:rsidRPr="00E55A9F">
        <w:t>de l'UIT, dans un souci de clarté</w:t>
      </w:r>
      <w:r w:rsidR="00943430" w:rsidRPr="00E55A9F">
        <w:t>,</w:t>
      </w:r>
      <w:r w:rsidR="00F30EF4" w:rsidRPr="00E55A9F">
        <w:t xml:space="preserve"> pour faciliter la navigation et pour donner l'image d'une UIT unie dans l'action, notamment en ce qui concerne l'utilisation des six langues officielles de l'Union sur un pied d'égalité et l'amélioration du système de recherche. </w:t>
      </w:r>
      <w:r w:rsidR="00606B0D" w:rsidRPr="00E55A9F">
        <w:t>Pour plus de renseignements</w:t>
      </w:r>
      <w:r w:rsidR="005B0A0D" w:rsidRPr="00E55A9F">
        <w:t>,</w:t>
      </w:r>
      <w:r w:rsidR="00606B0D" w:rsidRPr="00E55A9F">
        <w:t xml:space="preserve"> le Conseil est invité à consulter le </w:t>
      </w:r>
      <w:hyperlink r:id="rId11" w:history="1">
        <w:r w:rsidR="00606B0D" w:rsidRPr="00E55A9F">
          <w:rPr>
            <w:rStyle w:val="Hyperlink"/>
          </w:rPr>
          <w:t>site web du Groupe</w:t>
        </w:r>
        <w:r w:rsidR="005B0A0D" w:rsidRPr="00E55A9F">
          <w:rPr>
            <w:rStyle w:val="Hyperlink"/>
          </w:rPr>
          <w:t xml:space="preserve"> ISCG</w:t>
        </w:r>
      </w:hyperlink>
      <w:r w:rsidR="00606B0D" w:rsidRPr="00E55A9F">
        <w:t>.</w:t>
      </w:r>
    </w:p>
    <w:p w14:paraId="01CF2612" w14:textId="0EF0CAC9" w:rsidR="00D310B8" w:rsidRPr="00E55A9F" w:rsidRDefault="00D310B8" w:rsidP="00CD4E58">
      <w:pPr>
        <w:pStyle w:val="Heading1"/>
      </w:pPr>
      <w:r w:rsidRPr="00E55A9F">
        <w:t>3</w:t>
      </w:r>
      <w:r w:rsidRPr="00E55A9F">
        <w:tab/>
        <w:t>Propos</w:t>
      </w:r>
      <w:r w:rsidR="0041305E" w:rsidRPr="00E55A9F">
        <w:t>ition</w:t>
      </w:r>
    </w:p>
    <w:p w14:paraId="02F442B4" w14:textId="079946B8" w:rsidR="00D310B8" w:rsidRPr="00E55A9F" w:rsidRDefault="00097B92" w:rsidP="00CD4E58">
      <w:pPr>
        <w:rPr>
          <w:b/>
          <w:bCs/>
        </w:rPr>
      </w:pPr>
      <w:r w:rsidRPr="00E55A9F">
        <w:t xml:space="preserve">Le Conseil est invité à </w:t>
      </w:r>
      <w:r w:rsidRPr="00E55A9F">
        <w:rPr>
          <w:b/>
          <w:bCs/>
        </w:rPr>
        <w:t xml:space="preserve">prendre note </w:t>
      </w:r>
      <w:r w:rsidRPr="00E55A9F">
        <w:t xml:space="preserve">du présent rapport et à demander au secrétariat de le </w:t>
      </w:r>
      <w:r w:rsidRPr="00E55A9F">
        <w:rPr>
          <w:b/>
          <w:bCs/>
        </w:rPr>
        <w:t>transmettre</w:t>
      </w:r>
      <w:r w:rsidRPr="00E55A9F">
        <w:t>, pour information, au GCR, au GCNT et au GCDT.</w:t>
      </w:r>
    </w:p>
    <w:p w14:paraId="129BDAFE" w14:textId="7DD7E5B7" w:rsidR="00D310B8" w:rsidRPr="00E55A9F" w:rsidRDefault="00D310B8" w:rsidP="00CD4E58">
      <w:pPr>
        <w:jc w:val="center"/>
      </w:pPr>
      <w:r w:rsidRPr="00E55A9F">
        <w:t>______________</w:t>
      </w:r>
    </w:p>
    <w:sectPr w:rsidR="00D310B8" w:rsidRPr="00E55A9F" w:rsidSect="00D72F49">
      <w:headerReference w:type="even" r:id="rId12"/>
      <w:footerReference w:type="even" r:id="rId13"/>
      <w:footerReference w:type="default" r:id="rId14"/>
      <w:headerReference w:type="first" r:id="rId15"/>
      <w:footerReference w:type="first" r:id="rId16"/>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14BDAB01" w:rsidR="00732045" w:rsidRDefault="00E55A9F">
    <w:pPr>
      <w:pStyle w:val="Footer"/>
    </w:pPr>
    <w:fldSimple w:instr=" FILENAME \p \* MERGEFORMAT ">
      <w:r w:rsidR="00E4428F">
        <w:t>Document4</w:t>
      </w:r>
    </w:fldSimple>
    <w:r w:rsidR="00732045">
      <w:tab/>
    </w:r>
    <w:r w:rsidR="002F1B76">
      <w:fldChar w:fldCharType="begin"/>
    </w:r>
    <w:r w:rsidR="00732045">
      <w:instrText xml:space="preserve"> savedate \@ dd.MM.yy </w:instrText>
    </w:r>
    <w:r w:rsidR="002F1B76">
      <w:fldChar w:fldCharType="separate"/>
    </w:r>
    <w:r w:rsidR="00E87655">
      <w:t>13.06.23</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18EFAE8C" w:rsidR="00A51849" w:rsidRDefault="00A51849" w:rsidP="00A51849">
          <w:pPr>
            <w:pStyle w:val="Header"/>
            <w:jc w:val="left"/>
            <w:rPr>
              <w:noProof/>
            </w:rPr>
          </w:pPr>
          <w:r>
            <w:rPr>
              <w:noProof/>
            </w:rPr>
            <w:t xml:space="preserve">DPS </w:t>
          </w:r>
          <w:r w:rsidR="00EB4E7F">
            <w:rPr>
              <w:rFonts w:eastAsia="Times New Roman"/>
            </w:rPr>
            <w:t>520941</w:t>
          </w:r>
        </w:p>
      </w:tc>
      <w:tc>
        <w:tcPr>
          <w:tcW w:w="8261" w:type="dxa"/>
        </w:tcPr>
        <w:p w14:paraId="0DB0A3C6" w14:textId="33C0BE10"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EB4E7F">
            <w:rPr>
              <w:bCs/>
            </w:rPr>
            <w:t>27</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71814B57" w:rsidR="00732045" w:rsidRPr="00A51849" w:rsidRDefault="00E55A9F" w:rsidP="00EB4E7F">
    <w:pPr>
      <w:pStyle w:val="Footer"/>
    </w:pPr>
    <w:r w:rsidRPr="00E87655">
      <w:rPr>
        <w:color w:val="F2F2F2" w:themeColor="background1" w:themeShade="F2"/>
      </w:rPr>
      <w:fldChar w:fldCharType="begin"/>
    </w:r>
    <w:r w:rsidRPr="00E87655">
      <w:rPr>
        <w:color w:val="F2F2F2" w:themeColor="background1" w:themeShade="F2"/>
      </w:rPr>
      <w:instrText xml:space="preserve"> FILENAME \p  \* MERGEFORMAT </w:instrText>
    </w:r>
    <w:r w:rsidRPr="00E87655">
      <w:rPr>
        <w:color w:val="F2F2F2" w:themeColor="background1" w:themeShade="F2"/>
      </w:rPr>
      <w:fldChar w:fldCharType="separate"/>
    </w:r>
    <w:r w:rsidR="006635B9" w:rsidRPr="00E87655">
      <w:rPr>
        <w:color w:val="F2F2F2" w:themeColor="background1" w:themeShade="F2"/>
      </w:rPr>
      <w:t>P:\FRA\SG\CONSEIL\C23\000\027F.docx</w:t>
    </w:r>
    <w:r w:rsidRPr="00E87655">
      <w:rPr>
        <w:color w:val="F2F2F2" w:themeColor="background1" w:themeShade="F2"/>
      </w:rPr>
      <w:fldChar w:fldCharType="end"/>
    </w:r>
    <w:r w:rsidR="00EB4E7F" w:rsidRPr="00E87655">
      <w:rPr>
        <w:color w:val="F2F2F2" w:themeColor="background1" w:themeShade="F2"/>
      </w:rPr>
      <w:t xml:space="preserve"> (520941)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87655" w:rsidRPr="00E87655" w14:paraId="5C9C0095" w14:textId="77777777" w:rsidTr="00E31DCE">
      <w:trPr>
        <w:jc w:val="center"/>
      </w:trPr>
      <w:tc>
        <w:tcPr>
          <w:tcW w:w="1803" w:type="dxa"/>
          <w:vAlign w:val="center"/>
        </w:tcPr>
        <w:p w14:paraId="5151DAA0" w14:textId="74DA1CDF" w:rsidR="00A51849" w:rsidRPr="00E87655" w:rsidRDefault="00E87655" w:rsidP="00A51849">
          <w:pPr>
            <w:pStyle w:val="Header"/>
            <w:jc w:val="left"/>
            <w:rPr>
              <w:noProof/>
            </w:rPr>
          </w:pPr>
          <w:hyperlink r:id="rId1" w:history="1">
            <w:r w:rsidR="00A51849" w:rsidRPr="00E87655">
              <w:rPr>
                <w:rStyle w:val="Hyperlink"/>
                <w:color w:val="548DD4" w:themeColor="text2" w:themeTint="99"/>
                <w:szCs w:val="14"/>
              </w:rPr>
              <w:t>www.itu.int/council</w:t>
            </w:r>
          </w:hyperlink>
        </w:p>
      </w:tc>
      <w:tc>
        <w:tcPr>
          <w:tcW w:w="8261" w:type="dxa"/>
        </w:tcPr>
        <w:p w14:paraId="4C3D0956" w14:textId="4158FB70" w:rsidR="00A51849" w:rsidRPr="00E87655" w:rsidRDefault="00A51849" w:rsidP="00A51849">
          <w:pPr>
            <w:pStyle w:val="Header"/>
            <w:tabs>
              <w:tab w:val="left" w:pos="7070"/>
              <w:tab w:val="right" w:pos="8505"/>
              <w:tab w:val="right" w:pos="9639"/>
            </w:tabs>
            <w:jc w:val="left"/>
            <w:rPr>
              <w:rFonts w:ascii="Arial" w:hAnsi="Arial" w:cs="Arial"/>
              <w:b/>
              <w:bCs/>
              <w:szCs w:val="18"/>
            </w:rPr>
          </w:pPr>
          <w:r w:rsidRPr="00E87655">
            <w:rPr>
              <w:bCs/>
            </w:rPr>
            <w:tab/>
            <w:t>C23/</w:t>
          </w:r>
          <w:r w:rsidR="00EB4E7F" w:rsidRPr="00E87655">
            <w:rPr>
              <w:bCs/>
            </w:rPr>
            <w:t>27</w:t>
          </w:r>
          <w:r w:rsidRPr="00E87655">
            <w:rPr>
              <w:bCs/>
            </w:rPr>
            <w:t>-</w:t>
          </w:r>
          <w:r w:rsidR="00D72F49" w:rsidRPr="00E87655">
            <w:rPr>
              <w:bCs/>
            </w:rPr>
            <w:t>F</w:t>
          </w:r>
          <w:r w:rsidRPr="00E87655">
            <w:rPr>
              <w:bCs/>
            </w:rPr>
            <w:tab/>
          </w:r>
          <w:r w:rsidRPr="00E87655">
            <w:fldChar w:fldCharType="begin"/>
          </w:r>
          <w:r w:rsidRPr="00E87655">
            <w:instrText>PAGE</w:instrText>
          </w:r>
          <w:r w:rsidRPr="00E87655">
            <w:fldChar w:fldCharType="separate"/>
          </w:r>
          <w:r w:rsidRPr="00E87655">
            <w:t>1</w:t>
          </w:r>
          <w:r w:rsidRPr="00E87655">
            <w:rPr>
              <w:noProof/>
            </w:rPr>
            <w:fldChar w:fldCharType="end"/>
          </w:r>
        </w:p>
      </w:tc>
    </w:tr>
  </w:tbl>
  <w:p w14:paraId="67CF33E3" w14:textId="1FCA21E9" w:rsidR="00732045" w:rsidRPr="00A51849" w:rsidRDefault="00E55A9F" w:rsidP="00A51849">
    <w:pPr>
      <w:pStyle w:val="Footer"/>
    </w:pPr>
    <w:r w:rsidRPr="00E87655">
      <w:rPr>
        <w:color w:val="F2F2F2" w:themeColor="background1" w:themeShade="F2"/>
      </w:rPr>
      <w:fldChar w:fldCharType="begin"/>
    </w:r>
    <w:r w:rsidRPr="00E87655">
      <w:rPr>
        <w:color w:val="F2F2F2" w:themeColor="background1" w:themeShade="F2"/>
      </w:rPr>
      <w:instrText xml:space="preserve"> FILENAME \p  \* MERGEFORMAT </w:instrText>
    </w:r>
    <w:r w:rsidRPr="00E87655">
      <w:rPr>
        <w:color w:val="F2F2F2" w:themeColor="background1" w:themeShade="F2"/>
      </w:rPr>
      <w:fldChar w:fldCharType="separate"/>
    </w:r>
    <w:r w:rsidR="006635B9" w:rsidRPr="00E87655">
      <w:rPr>
        <w:color w:val="F2F2F2" w:themeColor="background1" w:themeShade="F2"/>
      </w:rPr>
      <w:t>P:\FRA\SG\CONSEIL\C23\000\027F.docx</w:t>
    </w:r>
    <w:r w:rsidRPr="00E87655">
      <w:rPr>
        <w:color w:val="F2F2F2" w:themeColor="background1" w:themeShade="F2"/>
      </w:rPr>
      <w:fldChar w:fldCharType="end"/>
    </w:r>
    <w:r w:rsidR="00EB4E7F" w:rsidRPr="00E87655">
      <w:rPr>
        <w:color w:val="F2F2F2" w:themeColor="background1" w:themeShade="F2"/>
      </w:rPr>
      <w:t xml:space="preserve"> (520941)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 w:id="1">
    <w:p w14:paraId="5EAFB2DE" w14:textId="7144E19C" w:rsidR="0044170F" w:rsidRPr="008C7A2C" w:rsidRDefault="0044170F" w:rsidP="0009302B">
      <w:pPr>
        <w:pStyle w:val="FootnoteText"/>
      </w:pPr>
      <w:r w:rsidRPr="008C7A2C">
        <w:rPr>
          <w:rStyle w:val="FootnoteReference"/>
        </w:rPr>
        <w:footnoteRef/>
      </w:r>
      <w:r w:rsidRPr="008C7A2C">
        <w:tab/>
        <w:t xml:space="preserve">Le </w:t>
      </w:r>
      <w:hyperlink r:id="rId1" w:history="1">
        <w:r w:rsidRPr="008C7A2C">
          <w:rPr>
            <w:rStyle w:val="Hyperlink"/>
          </w:rPr>
          <w:t>Comité de coordination</w:t>
        </w:r>
      </w:hyperlink>
      <w:r w:rsidRPr="008C7A2C">
        <w:t xml:space="preserve"> assiste et conseille le Secrétaire général sur toutes les questions mentionnées aux dispositions pertinentes de l'article 26 de la Constitution</w:t>
      </w:r>
      <w:r w:rsidR="00EA407F" w:rsidRPr="008C7A2C">
        <w:t xml:space="preserve"> de l'UIT</w:t>
      </w:r>
      <w:r w:rsidRPr="008C7A2C">
        <w:t xml:space="preserve"> ainsi qu'aux articles pertinents de la Convention</w:t>
      </w:r>
      <w:r w:rsidR="00016773" w:rsidRPr="008C7A2C">
        <w:t xml:space="preserve"> de l'UIT </w:t>
      </w:r>
      <w:r w:rsidRPr="008C7A2C">
        <w:t>(</w:t>
      </w:r>
      <w:r w:rsidR="007877EC" w:rsidRPr="008C7A2C">
        <w:t>article</w:t>
      </w:r>
      <w:r w:rsidRPr="008C7A2C">
        <w:t xml:space="preserve"> 6). </w:t>
      </w:r>
      <w:r w:rsidR="00EA407F" w:rsidRPr="008C7A2C">
        <w:t xml:space="preserve">Il </w:t>
      </w:r>
      <w:r w:rsidR="00105200" w:rsidRPr="008C7A2C">
        <w:t xml:space="preserve">est </w:t>
      </w:r>
      <w:r w:rsidR="00314027" w:rsidRPr="008C7A2C">
        <w:t>composé</w:t>
      </w:r>
      <w:r w:rsidR="00105200" w:rsidRPr="008C7A2C">
        <w:t xml:space="preserve"> des cinq fonctionnaires élus</w:t>
      </w:r>
      <w:r w:rsidR="00EA407F" w:rsidRPr="008C7A2C">
        <w:t xml:space="preserve"> de l'Union</w:t>
      </w:r>
      <w:r w:rsidR="00105200" w:rsidRPr="008C7A2C">
        <w:t>. Voir les textes fondamentaux de l'Union</w:t>
      </w:r>
      <w:r w:rsidR="00314027" w:rsidRPr="008C7A2C">
        <w:t>, disponibles</w:t>
      </w:r>
      <w:r w:rsidR="00105200" w:rsidRPr="008C7A2C">
        <w:t xml:space="preserve"> </w:t>
      </w:r>
      <w:hyperlink r:id="rId2" w:history="1">
        <w:r w:rsidR="00105200" w:rsidRPr="008C7A2C">
          <w:rPr>
            <w:rStyle w:val="Hyperlink"/>
          </w:rPr>
          <w:t>ici</w:t>
        </w:r>
      </w:hyperlink>
      <w:r w:rsidR="00105200" w:rsidRPr="008C7A2C">
        <w:t>.</w:t>
      </w:r>
    </w:p>
  </w:footnote>
  <w:footnote w:id="2">
    <w:p w14:paraId="6231AEE0" w14:textId="08EECBDE" w:rsidR="0044170F" w:rsidRPr="008C7A2C" w:rsidRDefault="0044170F" w:rsidP="0009302B">
      <w:pPr>
        <w:pStyle w:val="FootnoteText"/>
      </w:pPr>
      <w:r w:rsidRPr="008C7A2C">
        <w:rPr>
          <w:rStyle w:val="FootnoteReference"/>
        </w:rPr>
        <w:footnoteRef/>
      </w:r>
      <w:r w:rsidRPr="008C7A2C">
        <w:tab/>
      </w:r>
      <w:r w:rsidR="00605AA1" w:rsidRPr="008C7A2C">
        <w:t xml:space="preserve">Le Groupe de coordination de la gestion </w:t>
      </w:r>
      <w:r w:rsidRPr="008C7A2C">
        <w:t>(</w:t>
      </w:r>
      <w:hyperlink r:id="rId3" w:history="1">
        <w:r w:rsidRPr="008C7A2C">
          <w:rPr>
            <w:rStyle w:val="Hyperlink"/>
          </w:rPr>
          <w:t>MCG</w:t>
        </w:r>
      </w:hyperlink>
      <w:r w:rsidRPr="008C7A2C">
        <w:t xml:space="preserve">) </w:t>
      </w:r>
      <w:r w:rsidR="00F5177F" w:rsidRPr="008C7A2C">
        <w:t xml:space="preserve">formule des avis et des recommandations pour examen par le Comité de coordination. </w:t>
      </w:r>
      <w:r w:rsidR="005E2BB7" w:rsidRPr="008C7A2C">
        <w:t xml:space="preserve">Il est composé des cinq fonctionnaires élus de l'UIT, des fonctionnaires de grade D2 (actuellement les adjoints aux Directeurs des Bureaux) et du Chef du Département de la planification stratégique et des relations avec les </w:t>
      </w:r>
      <w:r w:rsidR="002C04CD" w:rsidRPr="008C7A2C">
        <w:t>m</w:t>
      </w:r>
      <w:r w:rsidR="005E2BB7" w:rsidRPr="008C7A2C">
        <w:t>embres (SPM), du Chef du Département de la gestion des ressources humaines (HRMD), du Chef du Département de la gestion des ressources financières (FRMD) et du Chef de l'Unité des affaires juridiques</w:t>
      </w:r>
      <w:r w:rsidR="002C04CD" w:rsidRPr="008C7A2C">
        <w:t xml:space="preserve"> (JUR)</w:t>
      </w:r>
      <w:r w:rsidR="00394555" w:rsidRPr="008C7A2C">
        <w:t xml:space="preserve">. Le Groupe </w:t>
      </w:r>
      <w:r w:rsidRPr="008C7A2C">
        <w:t xml:space="preserve">MCG+ </w:t>
      </w:r>
      <w:r w:rsidR="00394555" w:rsidRPr="008C7A2C">
        <w:t>comprend également les directeurs régionaux.</w:t>
      </w:r>
    </w:p>
  </w:footnote>
  <w:footnote w:id="3">
    <w:p w14:paraId="2A17DD17" w14:textId="1A1EDACD" w:rsidR="0044170F" w:rsidRPr="008C7A2C" w:rsidRDefault="0044170F" w:rsidP="0041305E">
      <w:pPr>
        <w:pStyle w:val="FootnoteText"/>
      </w:pPr>
      <w:r w:rsidRPr="008C7A2C">
        <w:rPr>
          <w:rStyle w:val="FootnoteReference"/>
        </w:rPr>
        <w:footnoteRef/>
      </w:r>
      <w:r w:rsidRPr="008C7A2C">
        <w:tab/>
      </w:r>
      <w:r w:rsidR="00780332" w:rsidRPr="008C7A2C">
        <w:t xml:space="preserve">Le groupe des fonctionnaires de grade D2 est composé des adjoints aux Directeurs des Bureaux (postes de grade D2) et </w:t>
      </w:r>
      <w:r w:rsidR="00D92691" w:rsidRPr="008C7A2C">
        <w:t>présidé par le Vice-Secrétaire général.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77777777" w:rsidR="00A51849" w:rsidRPr="009621F8" w:rsidRDefault="00A51849" w:rsidP="00A51849">
          <w:pPr>
            <w:pStyle w:val="Header"/>
            <w:jc w:val="left"/>
            <w:rPr>
              <w:rFonts w:ascii="Arial" w:hAnsi="Arial" w:cs="Arial"/>
              <w:b/>
              <w:bCs/>
              <w:color w:val="009CD6"/>
              <w:sz w:val="36"/>
              <w:szCs w:val="36"/>
            </w:rPr>
          </w:pPr>
          <w:r>
            <w:rPr>
              <w:noProof/>
            </w:rPr>
            <w:drawing>
              <wp:inline distT="0" distB="0" distL="0" distR="0" wp14:anchorId="4117A176" wp14:editId="429A1464">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042DB"/>
    <w:rsid w:val="00007530"/>
    <w:rsid w:val="00016773"/>
    <w:rsid w:val="0002688F"/>
    <w:rsid w:val="00040C4B"/>
    <w:rsid w:val="00076A2C"/>
    <w:rsid w:val="0008355B"/>
    <w:rsid w:val="0009302B"/>
    <w:rsid w:val="00093BB8"/>
    <w:rsid w:val="00095C66"/>
    <w:rsid w:val="00097B92"/>
    <w:rsid w:val="000B3293"/>
    <w:rsid w:val="000D0D0A"/>
    <w:rsid w:val="000F0073"/>
    <w:rsid w:val="00103163"/>
    <w:rsid w:val="001050C4"/>
    <w:rsid w:val="00105200"/>
    <w:rsid w:val="00106B19"/>
    <w:rsid w:val="00115D93"/>
    <w:rsid w:val="001247A8"/>
    <w:rsid w:val="001248BA"/>
    <w:rsid w:val="001378C0"/>
    <w:rsid w:val="0017385B"/>
    <w:rsid w:val="00180A1D"/>
    <w:rsid w:val="0018694A"/>
    <w:rsid w:val="001A3287"/>
    <w:rsid w:val="001A46BC"/>
    <w:rsid w:val="001A6508"/>
    <w:rsid w:val="001B3419"/>
    <w:rsid w:val="001D4C31"/>
    <w:rsid w:val="001E0DA8"/>
    <w:rsid w:val="001E4D21"/>
    <w:rsid w:val="001E7AB7"/>
    <w:rsid w:val="00202E48"/>
    <w:rsid w:val="00207CD1"/>
    <w:rsid w:val="0021440B"/>
    <w:rsid w:val="00226657"/>
    <w:rsid w:val="002477A2"/>
    <w:rsid w:val="00263A51"/>
    <w:rsid w:val="00267E02"/>
    <w:rsid w:val="002712F5"/>
    <w:rsid w:val="0029617A"/>
    <w:rsid w:val="002A4F75"/>
    <w:rsid w:val="002A5D44"/>
    <w:rsid w:val="002B7F5C"/>
    <w:rsid w:val="002C04CD"/>
    <w:rsid w:val="002D7BF7"/>
    <w:rsid w:val="002E0BC4"/>
    <w:rsid w:val="002F1B76"/>
    <w:rsid w:val="002F53D2"/>
    <w:rsid w:val="003030F5"/>
    <w:rsid w:val="00314027"/>
    <w:rsid w:val="00315F67"/>
    <w:rsid w:val="00331B69"/>
    <w:rsid w:val="0033568E"/>
    <w:rsid w:val="00355FF5"/>
    <w:rsid w:val="00356185"/>
    <w:rsid w:val="003579C8"/>
    <w:rsid w:val="00361350"/>
    <w:rsid w:val="0036214B"/>
    <w:rsid w:val="00394555"/>
    <w:rsid w:val="003A1D6A"/>
    <w:rsid w:val="003C3FAE"/>
    <w:rsid w:val="003E0099"/>
    <w:rsid w:val="003E75CA"/>
    <w:rsid w:val="004038CB"/>
    <w:rsid w:val="0040546F"/>
    <w:rsid w:val="004102CA"/>
    <w:rsid w:val="0041217E"/>
    <w:rsid w:val="0041305E"/>
    <w:rsid w:val="00420572"/>
    <w:rsid w:val="0042404A"/>
    <w:rsid w:val="00431641"/>
    <w:rsid w:val="0044170F"/>
    <w:rsid w:val="0044618F"/>
    <w:rsid w:val="00453D22"/>
    <w:rsid w:val="0046769A"/>
    <w:rsid w:val="00475A88"/>
    <w:rsid w:val="00475FB3"/>
    <w:rsid w:val="004A1344"/>
    <w:rsid w:val="004B3010"/>
    <w:rsid w:val="004C37A9"/>
    <w:rsid w:val="004C3D1C"/>
    <w:rsid w:val="004D1D50"/>
    <w:rsid w:val="004E0635"/>
    <w:rsid w:val="004F259E"/>
    <w:rsid w:val="00511F1D"/>
    <w:rsid w:val="00520F36"/>
    <w:rsid w:val="00534E13"/>
    <w:rsid w:val="0053765F"/>
    <w:rsid w:val="00540615"/>
    <w:rsid w:val="00540A6D"/>
    <w:rsid w:val="00561769"/>
    <w:rsid w:val="005648B8"/>
    <w:rsid w:val="00565B3C"/>
    <w:rsid w:val="00566679"/>
    <w:rsid w:val="00567D96"/>
    <w:rsid w:val="005706BF"/>
    <w:rsid w:val="00571EEA"/>
    <w:rsid w:val="0057515A"/>
    <w:rsid w:val="00575417"/>
    <w:rsid w:val="005768E1"/>
    <w:rsid w:val="005B0A0D"/>
    <w:rsid w:val="005B1938"/>
    <w:rsid w:val="005C3890"/>
    <w:rsid w:val="005E2BB7"/>
    <w:rsid w:val="005F7BFE"/>
    <w:rsid w:val="00600017"/>
    <w:rsid w:val="006011D1"/>
    <w:rsid w:val="00605AA1"/>
    <w:rsid w:val="00606B0D"/>
    <w:rsid w:val="00611AEE"/>
    <w:rsid w:val="006235CA"/>
    <w:rsid w:val="00645223"/>
    <w:rsid w:val="006635B9"/>
    <w:rsid w:val="006643AB"/>
    <w:rsid w:val="006673AC"/>
    <w:rsid w:val="00694A33"/>
    <w:rsid w:val="006D0D0E"/>
    <w:rsid w:val="006D648C"/>
    <w:rsid w:val="006E6728"/>
    <w:rsid w:val="006F0A53"/>
    <w:rsid w:val="00700259"/>
    <w:rsid w:val="007210CD"/>
    <w:rsid w:val="0072609D"/>
    <w:rsid w:val="0073024A"/>
    <w:rsid w:val="00732045"/>
    <w:rsid w:val="00735965"/>
    <w:rsid w:val="007369DB"/>
    <w:rsid w:val="0073761E"/>
    <w:rsid w:val="00753DA9"/>
    <w:rsid w:val="00773631"/>
    <w:rsid w:val="00780332"/>
    <w:rsid w:val="007877EC"/>
    <w:rsid w:val="007956C2"/>
    <w:rsid w:val="007A02E4"/>
    <w:rsid w:val="007A187E"/>
    <w:rsid w:val="007B1B10"/>
    <w:rsid w:val="007C72C2"/>
    <w:rsid w:val="007D4436"/>
    <w:rsid w:val="007F257A"/>
    <w:rsid w:val="007F3665"/>
    <w:rsid w:val="00800037"/>
    <w:rsid w:val="00824FF0"/>
    <w:rsid w:val="0083391C"/>
    <w:rsid w:val="00861D73"/>
    <w:rsid w:val="0088034A"/>
    <w:rsid w:val="00890B43"/>
    <w:rsid w:val="00897553"/>
    <w:rsid w:val="008A4E87"/>
    <w:rsid w:val="008C51AE"/>
    <w:rsid w:val="008C7A2C"/>
    <w:rsid w:val="008D0A9F"/>
    <w:rsid w:val="008D76E6"/>
    <w:rsid w:val="008E0689"/>
    <w:rsid w:val="008E3318"/>
    <w:rsid w:val="0091599D"/>
    <w:rsid w:val="0092392D"/>
    <w:rsid w:val="0093234A"/>
    <w:rsid w:val="00943430"/>
    <w:rsid w:val="00956A78"/>
    <w:rsid w:val="00960534"/>
    <w:rsid w:val="009722D2"/>
    <w:rsid w:val="0097363B"/>
    <w:rsid w:val="00973F53"/>
    <w:rsid w:val="009B114C"/>
    <w:rsid w:val="009C091B"/>
    <w:rsid w:val="009C307F"/>
    <w:rsid w:val="009C353C"/>
    <w:rsid w:val="009C6A8A"/>
    <w:rsid w:val="009C79FA"/>
    <w:rsid w:val="009D611D"/>
    <w:rsid w:val="009E4D9D"/>
    <w:rsid w:val="00A05393"/>
    <w:rsid w:val="00A074BB"/>
    <w:rsid w:val="00A2113E"/>
    <w:rsid w:val="00A23A51"/>
    <w:rsid w:val="00A24607"/>
    <w:rsid w:val="00A25CD3"/>
    <w:rsid w:val="00A27E64"/>
    <w:rsid w:val="00A32B21"/>
    <w:rsid w:val="00A51849"/>
    <w:rsid w:val="00A62378"/>
    <w:rsid w:val="00A709FE"/>
    <w:rsid w:val="00A73C60"/>
    <w:rsid w:val="00A82767"/>
    <w:rsid w:val="00AA332F"/>
    <w:rsid w:val="00AA7BBB"/>
    <w:rsid w:val="00AB64A8"/>
    <w:rsid w:val="00AC0266"/>
    <w:rsid w:val="00AD24EC"/>
    <w:rsid w:val="00AF3A79"/>
    <w:rsid w:val="00B17A6D"/>
    <w:rsid w:val="00B25209"/>
    <w:rsid w:val="00B26554"/>
    <w:rsid w:val="00B309F9"/>
    <w:rsid w:val="00B32B60"/>
    <w:rsid w:val="00B60457"/>
    <w:rsid w:val="00B61619"/>
    <w:rsid w:val="00B8535B"/>
    <w:rsid w:val="00BB4545"/>
    <w:rsid w:val="00BD5873"/>
    <w:rsid w:val="00BD749A"/>
    <w:rsid w:val="00C04BE3"/>
    <w:rsid w:val="00C22C55"/>
    <w:rsid w:val="00C25D29"/>
    <w:rsid w:val="00C27A7C"/>
    <w:rsid w:val="00C42437"/>
    <w:rsid w:val="00C44DBB"/>
    <w:rsid w:val="00C92738"/>
    <w:rsid w:val="00C932F3"/>
    <w:rsid w:val="00CA08ED"/>
    <w:rsid w:val="00CD4E58"/>
    <w:rsid w:val="00CF183B"/>
    <w:rsid w:val="00D03281"/>
    <w:rsid w:val="00D310B8"/>
    <w:rsid w:val="00D375CD"/>
    <w:rsid w:val="00D4726A"/>
    <w:rsid w:val="00D553A2"/>
    <w:rsid w:val="00D6249E"/>
    <w:rsid w:val="00D72F49"/>
    <w:rsid w:val="00D774D3"/>
    <w:rsid w:val="00D904E8"/>
    <w:rsid w:val="00D92691"/>
    <w:rsid w:val="00D97B11"/>
    <w:rsid w:val="00DA08C3"/>
    <w:rsid w:val="00DB019B"/>
    <w:rsid w:val="00DB5A3E"/>
    <w:rsid w:val="00DC22AA"/>
    <w:rsid w:val="00DF74DD"/>
    <w:rsid w:val="00E25AD0"/>
    <w:rsid w:val="00E43392"/>
    <w:rsid w:val="00E4428F"/>
    <w:rsid w:val="00E55A9F"/>
    <w:rsid w:val="00E81030"/>
    <w:rsid w:val="00E87655"/>
    <w:rsid w:val="00E93668"/>
    <w:rsid w:val="00E95647"/>
    <w:rsid w:val="00E965EE"/>
    <w:rsid w:val="00EA407F"/>
    <w:rsid w:val="00EB4E7F"/>
    <w:rsid w:val="00EB6350"/>
    <w:rsid w:val="00EC1CFA"/>
    <w:rsid w:val="00F15B57"/>
    <w:rsid w:val="00F16B53"/>
    <w:rsid w:val="00F30EF4"/>
    <w:rsid w:val="00F35EF4"/>
    <w:rsid w:val="00F3633C"/>
    <w:rsid w:val="00F37FE5"/>
    <w:rsid w:val="00F427DB"/>
    <w:rsid w:val="00F5177F"/>
    <w:rsid w:val="00F67500"/>
    <w:rsid w:val="00FA5EB1"/>
    <w:rsid w:val="00FA7439"/>
    <w:rsid w:val="00FB2933"/>
    <w:rsid w:val="00FB2BA3"/>
    <w:rsid w:val="00FC3635"/>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EB4E7F"/>
    <w:rPr>
      <w:color w:val="605E5C"/>
      <w:shd w:val="clear" w:color="auto" w:fill="E1DFDD"/>
    </w:rPr>
  </w:style>
  <w:style w:type="character" w:customStyle="1" w:styleId="normaltextrun">
    <w:name w:val="normaltextrun"/>
    <w:basedOn w:val="DefaultParagraphFont"/>
    <w:rsid w:val="00D310B8"/>
  </w:style>
  <w:style w:type="character" w:styleId="CommentReference">
    <w:name w:val="annotation reference"/>
    <w:basedOn w:val="DefaultParagraphFont"/>
    <w:semiHidden/>
    <w:unhideWhenUsed/>
    <w:rsid w:val="008C51AE"/>
    <w:rPr>
      <w:sz w:val="16"/>
      <w:szCs w:val="16"/>
    </w:rPr>
  </w:style>
  <w:style w:type="paragraph" w:styleId="CommentText">
    <w:name w:val="annotation text"/>
    <w:basedOn w:val="Normal"/>
    <w:link w:val="CommentTextChar"/>
    <w:unhideWhenUsed/>
    <w:rsid w:val="008C51AE"/>
    <w:rPr>
      <w:sz w:val="20"/>
    </w:rPr>
  </w:style>
  <w:style w:type="character" w:customStyle="1" w:styleId="CommentTextChar">
    <w:name w:val="Comment Text Char"/>
    <w:basedOn w:val="DefaultParagraphFont"/>
    <w:link w:val="CommentText"/>
    <w:rsid w:val="008C51AE"/>
    <w:rPr>
      <w:rFonts w:ascii="Calibri" w:hAnsi="Calibri"/>
      <w:lang w:val="fr-FR" w:eastAsia="en-US"/>
    </w:rPr>
  </w:style>
  <w:style w:type="paragraph" w:styleId="CommentSubject">
    <w:name w:val="annotation subject"/>
    <w:basedOn w:val="CommentText"/>
    <w:next w:val="CommentText"/>
    <w:link w:val="CommentSubjectChar"/>
    <w:semiHidden/>
    <w:unhideWhenUsed/>
    <w:rsid w:val="008C51AE"/>
    <w:rPr>
      <w:b/>
      <w:bCs/>
    </w:rPr>
  </w:style>
  <w:style w:type="character" w:customStyle="1" w:styleId="CommentSubjectChar">
    <w:name w:val="Comment Subject Char"/>
    <w:basedOn w:val="CommentTextChar"/>
    <w:link w:val="CommentSubject"/>
    <w:semiHidden/>
    <w:rsid w:val="008C51AE"/>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91-F.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tu.int/en/council/Documents/basic-texts-2023/RES-071-F.pdf"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en/general-secretariat/Pages/ISCG/default.asp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tu.int/en/general-secretariat/Pages/intersectoral-coordination.aspx" TargetMode="External"/><Relationship Id="rId4" Type="http://schemas.openxmlformats.org/officeDocument/2006/relationships/webSettings" Target="webSettings.xml"/><Relationship Id="rId9" Type="http://schemas.openxmlformats.org/officeDocument/2006/relationships/hyperlink" Target="https://www.itu.int/en/council/Documents/basic-texts-2023/DEC-005-F.pdf"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council/Pages/mcg.aspx" TargetMode="External"/><Relationship Id="rId2" Type="http://schemas.openxmlformats.org/officeDocument/2006/relationships/hyperlink" Target="https://www.itu.int/pub/S-CONF-PLEN-2022/fr" TargetMode="External"/><Relationship Id="rId1" Type="http://schemas.openxmlformats.org/officeDocument/2006/relationships/hyperlink" Target="https://www.itu.int/en/council/Pages/coco.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F8489-552D-4620-BEC2-904A03013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7278</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8464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Stratégie de coordination des efforts entre les trois secteurs de l'Union</dc:title>
  <dc:subject>Conseil 2023</dc:subject>
  <dc:creator>Xue, Kun</dc:creator>
  <cp:keywords>C2023, C23, Council-23</cp:keywords>
  <dc:description/>
  <cp:lastModifiedBy>Xue, Kun</cp:lastModifiedBy>
  <cp:revision>2</cp:revision>
  <cp:lastPrinted>2000-07-18T08:55:00Z</cp:lastPrinted>
  <dcterms:created xsi:type="dcterms:W3CDTF">2023-06-14T09:35:00Z</dcterms:created>
  <dcterms:modified xsi:type="dcterms:W3CDTF">2023-06-14T09:35:00Z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