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5730FD9E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1326679" w14:textId="138E615C" w:rsidR="00FE57F6" w:rsidRPr="00E85629" w:rsidRDefault="00F846C4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B36F84">
              <w:rPr>
                <w:b/>
                <w:bCs/>
                <w:lang w:val="es-ES"/>
              </w:rPr>
              <w:t>Punto del orden del día: ADM 1</w:t>
            </w:r>
          </w:p>
        </w:tc>
        <w:tc>
          <w:tcPr>
            <w:tcW w:w="5245" w:type="dxa"/>
          </w:tcPr>
          <w:p w14:paraId="5591D8A4" w14:textId="47D41ED8" w:rsidR="00FE57F6" w:rsidRPr="00E85629" w:rsidRDefault="00584414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B36F84">
              <w:rPr>
                <w:b/>
                <w:bCs/>
                <w:lang w:val="es-ES"/>
              </w:rPr>
              <w:t>Addéndum</w:t>
            </w:r>
            <w:proofErr w:type="spellEnd"/>
            <w:r w:rsidRPr="00B36F84">
              <w:rPr>
                <w:b/>
                <w:bCs/>
                <w:lang w:val="es-ES"/>
              </w:rPr>
              <w:t xml:space="preserve"> 1 al</w:t>
            </w:r>
            <w:r>
              <w:rPr>
                <w:b/>
                <w:bCs/>
                <w:lang w:val="es-ES"/>
              </w:rPr>
              <w:br/>
            </w:r>
            <w:r w:rsidRPr="00B36F84">
              <w:rPr>
                <w:b/>
                <w:bCs/>
                <w:lang w:val="es-ES"/>
              </w:rPr>
              <w:t>Documento C23/26-S</w:t>
            </w:r>
          </w:p>
        </w:tc>
      </w:tr>
      <w:tr w:rsidR="00FE57F6" w:rsidRPr="00813E5E" w14:paraId="01D78030" w14:textId="77777777" w:rsidTr="00C538FC">
        <w:trPr>
          <w:cantSplit/>
        </w:trPr>
        <w:tc>
          <w:tcPr>
            <w:tcW w:w="3969" w:type="dxa"/>
            <w:vMerge/>
          </w:tcPr>
          <w:p w14:paraId="0D7E81C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9454792" w14:textId="4F3F76EC" w:rsidR="00FE57F6" w:rsidRPr="00E85629" w:rsidRDefault="00584414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36F84">
              <w:rPr>
                <w:b/>
                <w:bCs/>
                <w:lang w:val="es-ES"/>
              </w:rPr>
              <w:t>6 de julio de 2023</w:t>
            </w:r>
          </w:p>
        </w:tc>
      </w:tr>
      <w:tr w:rsidR="00FE57F6" w:rsidRPr="00F24B71" w14:paraId="29C5E897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435D643D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0DB57D8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>Original: inglés</w:t>
            </w:r>
          </w:p>
        </w:tc>
      </w:tr>
      <w:tr w:rsidR="00FE57F6" w:rsidRPr="00813E5E" w14:paraId="292C779F" w14:textId="77777777" w:rsidTr="00C538FC">
        <w:trPr>
          <w:cantSplit/>
          <w:trHeight w:val="23"/>
        </w:trPr>
        <w:tc>
          <w:tcPr>
            <w:tcW w:w="3969" w:type="dxa"/>
          </w:tcPr>
          <w:p w14:paraId="2878AAB8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83A21B9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5773A9F0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CD7908" w14:textId="65CA2847" w:rsidR="00FE57F6" w:rsidRDefault="00584414" w:rsidP="00C538FC">
            <w:pPr>
              <w:pStyle w:val="Source"/>
              <w:jc w:val="left"/>
              <w:rPr>
                <w:rFonts w:cstheme="minorHAnsi"/>
                <w:sz w:val="34"/>
                <w:szCs w:val="34"/>
              </w:rPr>
            </w:pPr>
            <w:r>
              <w:rPr>
                <w:rFonts w:cstheme="minorHAnsi"/>
                <w:sz w:val="34"/>
                <w:szCs w:val="34"/>
              </w:rPr>
              <w:t>Nota</w:t>
            </w:r>
            <w:r w:rsidR="00F24B71" w:rsidRPr="00C538FC">
              <w:rPr>
                <w:rFonts w:cstheme="minorHAnsi"/>
                <w:sz w:val="34"/>
                <w:szCs w:val="34"/>
              </w:rPr>
              <w:t xml:space="preserve"> de</w:t>
            </w:r>
            <w:r w:rsidR="004B5D49">
              <w:rPr>
                <w:rFonts w:cstheme="minorHAnsi"/>
                <w:sz w:val="34"/>
                <w:szCs w:val="34"/>
              </w:rPr>
              <w:t xml:space="preserve"> </w:t>
            </w:r>
            <w:r w:rsidR="00F24B71" w:rsidRPr="00C538FC">
              <w:rPr>
                <w:rFonts w:cstheme="minorHAnsi"/>
                <w:sz w:val="34"/>
                <w:szCs w:val="34"/>
              </w:rPr>
              <w:t>l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="00F24B71" w:rsidRPr="00C538FC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="00F24B71" w:rsidRPr="00C538FC">
              <w:rPr>
                <w:rFonts w:cstheme="minorHAnsi"/>
                <w:sz w:val="34"/>
                <w:szCs w:val="34"/>
              </w:rPr>
              <w:t xml:space="preserve"> General</w:t>
            </w:r>
          </w:p>
          <w:p w14:paraId="29F5D831" w14:textId="62A8EC04" w:rsidR="00584414" w:rsidRPr="00584414" w:rsidRDefault="00584414" w:rsidP="00584414">
            <w:pPr>
              <w:pStyle w:val="Title1"/>
              <w:jc w:val="left"/>
            </w:pPr>
            <w:r w:rsidRPr="00584414">
              <w:rPr>
                <w:rFonts w:cstheme="minorHAnsi"/>
                <w:b/>
                <w:caps w:val="0"/>
                <w:sz w:val="34"/>
                <w:szCs w:val="34"/>
              </w:rPr>
              <w:t>ADDÉNDUM DEL GADT-23 PRESENTADO POR EL PRESIDENTE DEL GADT</w:t>
            </w:r>
          </w:p>
        </w:tc>
      </w:tr>
      <w:tr w:rsidR="00FE57F6" w:rsidRPr="00813E5E" w14:paraId="62587A33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B4B49BC" w14:textId="6D742B7B" w:rsidR="00FE57F6" w:rsidRPr="00584414" w:rsidRDefault="00584414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584414">
              <w:rPr>
                <w:rFonts w:cstheme="minorHAnsi"/>
                <w:lang w:val="es-ES"/>
              </w:rPr>
              <w:t>IMPLICACIONES FINANCIERAS DE LAS INICIATIVAS REGIONALES APROBADAS POR LA CMDT-22</w:t>
            </w:r>
          </w:p>
        </w:tc>
      </w:tr>
      <w:tr w:rsidR="00FE57F6" w:rsidRPr="00813E5E" w14:paraId="55673769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D7072E6" w14:textId="1CB5045F" w:rsidR="00FE57F6" w:rsidRDefault="00FE57F6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</w:p>
          <w:p w14:paraId="4DF49BEC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3C0E99AE" w14:textId="67757F8F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  <w:r w:rsidR="00584414">
              <w:rPr>
                <w:b/>
                <w:bCs/>
                <w:sz w:val="26"/>
                <w:szCs w:val="26"/>
              </w:rPr>
              <w:t>s</w:t>
            </w:r>
          </w:p>
          <w:p w14:paraId="10634E3D" w14:textId="752C3C02" w:rsidR="00584414" w:rsidRPr="00584414" w:rsidRDefault="00C15AE1" w:rsidP="00584414">
            <w:pPr>
              <w:spacing w:before="160"/>
              <w:rPr>
                <w:rStyle w:val="Hyperlink"/>
              </w:rPr>
            </w:pPr>
            <w:hyperlink r:id="rId7" w:history="1">
              <w:r w:rsidR="00584414" w:rsidRPr="00584414">
                <w:rPr>
                  <w:rStyle w:val="Hyperlink"/>
                </w:rPr>
                <w:t>Documento TDAG-23/25-S – Director de la Oficina de Desarrollo de las Telecomunicaciones - Implicaciones financieras de las iniciativas regionales aprobadas por la CMDT-22</w:t>
              </w:r>
            </w:hyperlink>
          </w:p>
          <w:p w14:paraId="4CBD46D0" w14:textId="68E67382" w:rsidR="00584414" w:rsidRPr="00584414" w:rsidRDefault="00C15AE1" w:rsidP="00584414">
            <w:pPr>
              <w:spacing w:before="160"/>
              <w:rPr>
                <w:rStyle w:val="Hyperlink"/>
              </w:rPr>
            </w:pPr>
            <w:hyperlink r:id="rId8" w:history="1">
              <w:r w:rsidR="00584414" w:rsidRPr="00584414">
                <w:rPr>
                  <w:rStyle w:val="Hyperlink"/>
                </w:rPr>
                <w:t>Documento TDAG-23/DT/5-S – Presidenta del Grupo Asesor de Desarrollo de las Telecomunicaciones (GADT) – Proyecto de resumen de las conclusiones</w:t>
              </w:r>
            </w:hyperlink>
          </w:p>
          <w:p w14:paraId="14526C70" w14:textId="1396380F" w:rsidR="00584414" w:rsidRPr="00584414" w:rsidRDefault="00C15AE1" w:rsidP="00584414">
            <w:pPr>
              <w:spacing w:before="160"/>
              <w:rPr>
                <w:rStyle w:val="Hyperlink"/>
              </w:rPr>
            </w:pPr>
            <w:hyperlink r:id="rId9" w:history="1">
              <w:r w:rsidR="00584414" w:rsidRPr="00584414">
                <w:rPr>
                  <w:rStyle w:val="Hyperlink"/>
                </w:rPr>
                <w:t>Informe Final de la Conferencia Mundial de Desarrollo de las Telecomunicaciones (Kigali, 2022), Parte III – Iniciativas Regionales</w:t>
              </w:r>
            </w:hyperlink>
          </w:p>
          <w:p w14:paraId="172A8619" w14:textId="3916B41E" w:rsidR="00FE57F6" w:rsidRDefault="00C15AE1" w:rsidP="00584414">
            <w:pPr>
              <w:spacing w:after="160"/>
            </w:pPr>
            <w:hyperlink r:id="rId10" w:history="1">
              <w:r w:rsidR="00584414" w:rsidRPr="00584414">
                <w:rPr>
                  <w:rStyle w:val="Hyperlink"/>
                </w:rPr>
                <w:t>Resolución 25 (Rev. Bucarest, 2022) de la Conferencia de Plenipotenciarios</w:t>
              </w:r>
            </w:hyperlink>
          </w:p>
        </w:tc>
      </w:tr>
      <w:bookmarkEnd w:id="0"/>
    </w:tbl>
    <w:p w14:paraId="73C5982D" w14:textId="77777777" w:rsidR="00093EEB" w:rsidRDefault="00093EEB"/>
    <w:p w14:paraId="7E6BD8CD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7797FE2" w14:textId="48D253C4" w:rsidR="00584414" w:rsidRPr="00B36F84" w:rsidRDefault="00584414" w:rsidP="00584414">
      <w:pPr>
        <w:rPr>
          <w:szCs w:val="24"/>
          <w:lang w:val="es-ES"/>
        </w:rPr>
      </w:pPr>
      <w:r w:rsidRPr="00B36F84">
        <w:rPr>
          <w:lang w:val="es-ES"/>
        </w:rPr>
        <w:lastRenderedPageBreak/>
        <w:t>La reunión del Grupo Asesor de Desarrollo de las Telecomunicaciones (GADT) tuvo lugar del</w:t>
      </w:r>
      <w:r w:rsidR="00AA3CF4">
        <w:rPr>
          <w:lang w:val="es-ES"/>
        </w:rPr>
        <w:t> </w:t>
      </w:r>
      <w:r w:rsidRPr="00B36F84">
        <w:rPr>
          <w:lang w:val="es-ES"/>
        </w:rPr>
        <w:t>19 al 23 de junio de 2023.</w:t>
      </w:r>
    </w:p>
    <w:p w14:paraId="3B2BF9D0" w14:textId="082D4E63" w:rsidR="00584414" w:rsidRPr="00B36F84" w:rsidRDefault="00584414" w:rsidP="00584414">
      <w:pPr>
        <w:rPr>
          <w:szCs w:val="24"/>
          <w:lang w:val="es-ES"/>
        </w:rPr>
      </w:pPr>
      <w:r w:rsidRPr="00B36F84">
        <w:rPr>
          <w:lang w:val="es-ES"/>
        </w:rPr>
        <w:t>La BDT presentó una contribución (</w:t>
      </w:r>
      <w:hyperlink r:id="rId11" w:history="1">
        <w:r w:rsidRPr="00B36F84">
          <w:rPr>
            <w:rStyle w:val="Hyperlink"/>
            <w:lang w:val="es-ES"/>
          </w:rPr>
          <w:t>Documento 25</w:t>
        </w:r>
      </w:hyperlink>
      <w:r w:rsidRPr="00B36F84">
        <w:rPr>
          <w:lang w:val="es-ES"/>
        </w:rPr>
        <w:t xml:space="preserve">) titulada </w:t>
      </w:r>
      <w:r w:rsidR="00AA3CF4">
        <w:rPr>
          <w:lang w:val="es-ES"/>
        </w:rPr>
        <w:t>"</w:t>
      </w:r>
      <w:r w:rsidRPr="00B36F84">
        <w:rPr>
          <w:i/>
          <w:iCs/>
          <w:lang w:val="es-ES"/>
        </w:rPr>
        <w:t>Implicaciones financieras de las iniciativas regionales de la CMDT-22"</w:t>
      </w:r>
      <w:r w:rsidRPr="00B36F84">
        <w:rPr>
          <w:lang w:val="es-ES"/>
        </w:rPr>
        <w:t>, en la que hizo la siguiente petición</w:t>
      </w:r>
      <w:r w:rsidR="00AA3CF4">
        <w:rPr>
          <w:lang w:val="es-ES"/>
        </w:rPr>
        <w:t xml:space="preserve"> </w:t>
      </w:r>
      <w:r w:rsidRPr="00B36F84">
        <w:rPr>
          <w:lang w:val="es-ES"/>
        </w:rPr>
        <w:t>"En el proceso de aprobación del presupuesto para 2024-2027, la BDT propone pedir al Consejo que considere la posibilidad de atribuir recursos financieros específicos para la aplicación de las iniciativas regionales aprobadas por la CMDT-22 en las seis regiones" e informó al GADT de que se había presentado al Consejo el Documento 26 respecto de la financiación de las iniciativas regionales de la CMDT-22, como se hizo en 2018 cuando se atribuyó un presupuesto para la aplicación de las iniciativas regionales de la CMDT-17.</w:t>
      </w:r>
    </w:p>
    <w:p w14:paraId="211B7A54" w14:textId="4466927D" w:rsidR="00584414" w:rsidRPr="00B36F84" w:rsidRDefault="00584414" w:rsidP="00584414">
      <w:pPr>
        <w:rPr>
          <w:szCs w:val="24"/>
          <w:lang w:val="es-ES"/>
        </w:rPr>
      </w:pPr>
      <w:r w:rsidRPr="00B36F84">
        <w:rPr>
          <w:lang w:val="es-ES"/>
        </w:rPr>
        <w:t xml:space="preserve">El GADT examinó el documento y los participantes observaron la necesidad de que se atribuyesen más fondos y pidieron a la Secretaría que facilitase un </w:t>
      </w:r>
      <w:r w:rsidR="00AA3CF4">
        <w:rPr>
          <w:lang w:val="es-ES"/>
        </w:rPr>
        <w:t>A</w:t>
      </w:r>
      <w:r w:rsidRPr="00B36F84">
        <w:rPr>
          <w:lang w:val="es-ES"/>
        </w:rPr>
        <w:t xml:space="preserve">ddéndum al </w:t>
      </w:r>
      <w:r w:rsidR="00AA3CF4">
        <w:rPr>
          <w:lang w:val="es-ES"/>
        </w:rPr>
        <w:t>D</w:t>
      </w:r>
      <w:r w:rsidRPr="00B36F84">
        <w:rPr>
          <w:lang w:val="es-ES"/>
        </w:rPr>
        <w:t>ocumento</w:t>
      </w:r>
      <w:r w:rsidR="00AA3CF4">
        <w:rPr>
          <w:lang w:val="es-ES"/>
        </w:rPr>
        <w:t> </w:t>
      </w:r>
      <w:r w:rsidRPr="00B36F84">
        <w:rPr>
          <w:lang w:val="es-ES"/>
        </w:rPr>
        <w:t>26 del Consejo para expresar las opiniones del GADT.</w:t>
      </w:r>
    </w:p>
    <w:p w14:paraId="3630B338" w14:textId="392233A0" w:rsidR="00584414" w:rsidRPr="00B36F84" w:rsidRDefault="00584414" w:rsidP="00584414">
      <w:pPr>
        <w:rPr>
          <w:szCs w:val="24"/>
          <w:lang w:val="es-ES"/>
        </w:rPr>
      </w:pPr>
      <w:r w:rsidRPr="00B36F84">
        <w:rPr>
          <w:lang w:val="es-ES"/>
        </w:rPr>
        <w:t xml:space="preserve">Este </w:t>
      </w:r>
      <w:r w:rsidR="00AA3CF4">
        <w:rPr>
          <w:lang w:val="es-ES"/>
        </w:rPr>
        <w:t>A</w:t>
      </w:r>
      <w:r w:rsidRPr="00B36F84">
        <w:rPr>
          <w:lang w:val="es-ES"/>
        </w:rPr>
        <w:t xml:space="preserve">ddéndum procura proporcionar dicha información adicional sobre la base de los debates mantenidos por el GADT en la reunión que se celebró tras la presentación del </w:t>
      </w:r>
      <w:r w:rsidR="00AA3CF4">
        <w:rPr>
          <w:lang w:val="es-ES"/>
        </w:rPr>
        <w:t>D</w:t>
      </w:r>
      <w:r w:rsidRPr="00B36F84">
        <w:rPr>
          <w:lang w:val="es-ES"/>
        </w:rPr>
        <w:t>ocumento</w:t>
      </w:r>
      <w:r w:rsidR="00AA3CF4">
        <w:rPr>
          <w:lang w:val="es-ES"/>
        </w:rPr>
        <w:t> </w:t>
      </w:r>
      <w:r w:rsidRPr="00B36F84">
        <w:rPr>
          <w:lang w:val="es-ES"/>
        </w:rPr>
        <w:t>26 del Consejo.</w:t>
      </w:r>
    </w:p>
    <w:p w14:paraId="055848DC" w14:textId="77777777" w:rsidR="00584414" w:rsidRPr="00B36F84" w:rsidRDefault="00584414" w:rsidP="00584414">
      <w:pPr>
        <w:rPr>
          <w:i/>
          <w:iCs/>
          <w:szCs w:val="24"/>
          <w:lang w:val="es-ES"/>
        </w:rPr>
      </w:pPr>
      <w:r w:rsidRPr="00B36F84">
        <w:rPr>
          <w:lang w:val="es-ES"/>
        </w:rPr>
        <w:t>Para llegar a sus conclusiones, el GADT tuvo en cuenta lo siguiente:</w:t>
      </w:r>
    </w:p>
    <w:p w14:paraId="26EFC769" w14:textId="34B605DB" w:rsidR="00584414" w:rsidRDefault="00584414" w:rsidP="00584414">
      <w:pPr>
        <w:pStyle w:val="Heading1"/>
        <w:rPr>
          <w:lang w:val="es-ES"/>
        </w:rPr>
      </w:pPr>
      <w:r w:rsidRPr="00B36F84">
        <w:rPr>
          <w:lang w:val="es-ES"/>
        </w:rPr>
        <w:t>2</w:t>
      </w:r>
      <w:r>
        <w:rPr>
          <w:lang w:val="es-ES"/>
        </w:rPr>
        <w:tab/>
      </w:r>
      <w:r w:rsidRPr="00B36F84">
        <w:rPr>
          <w:lang w:val="es-ES"/>
        </w:rPr>
        <w:t>Fundamentos</w:t>
      </w:r>
    </w:p>
    <w:p w14:paraId="57C1D66B" w14:textId="77777777" w:rsidR="00584414" w:rsidRPr="00B36F84" w:rsidRDefault="00584414" w:rsidP="00584414">
      <w:pPr>
        <w:rPr>
          <w:szCs w:val="24"/>
          <w:lang w:val="es-ES"/>
        </w:rPr>
      </w:pPr>
      <w:r w:rsidRPr="00B36F84">
        <w:rPr>
          <w:lang w:val="es-ES"/>
        </w:rPr>
        <w:t xml:space="preserve">La necesidad de atribuir recursos adicionales para la aplicación de las iniciativas regionales de la CMDT-22 es consecuencia de los resultados exitosos logrados durante el ciclo anterior, en el que la atribución de 5 millones CHF dio lugar a la aplicación de 37 proyectos en el marco de las iniciativas regionales aprobadas por la CMDT-17. Se puede consultar información detallada sobre dichos proyectos en el Anexo 1 (Documento TDAG-23/25-S), que figura en </w:t>
      </w:r>
      <w:hyperlink r:id="rId12" w:history="1">
        <w:r w:rsidRPr="00B36F84">
          <w:rPr>
            <w:rStyle w:val="Hyperlink"/>
            <w:lang w:val="es-ES"/>
          </w:rPr>
          <w:t>https://www.itu.int/dms_pub/itu-d/md/22/tdag30/c/D22-TDAG30-C-0025!N1!MSW-E.docx</w:t>
        </w:r>
      </w:hyperlink>
      <w:r w:rsidRPr="00B36F84">
        <w:rPr>
          <w:lang w:val="es-ES"/>
        </w:rPr>
        <w:t>.</w:t>
      </w:r>
    </w:p>
    <w:p w14:paraId="424BA774" w14:textId="77777777" w:rsidR="00584414" w:rsidRDefault="00584414" w:rsidP="00584414">
      <w:pPr>
        <w:rPr>
          <w:lang w:val="es-ES"/>
        </w:rPr>
      </w:pPr>
      <w:r w:rsidRPr="00B36F84">
        <w:rPr>
          <w:lang w:val="es-ES"/>
        </w:rPr>
        <w:t>Utilizando los 5 millones CHF atribuidos por el Consejo como capital inicial, la BDT consiguió movilizar recursos de asociados externos valorados en 8,5 millones CHF que se utilizaron para cofinanciar proyectos.</w:t>
      </w:r>
    </w:p>
    <w:p w14:paraId="6B63EC26" w14:textId="77777777" w:rsidR="00584414" w:rsidRPr="00B36F84" w:rsidRDefault="00584414" w:rsidP="00584414">
      <w:pPr>
        <w:rPr>
          <w:szCs w:val="24"/>
          <w:lang w:val="es-ES"/>
        </w:rPr>
      </w:pPr>
      <w:r w:rsidRPr="00B36F84">
        <w:rPr>
          <w:lang w:val="es-ES"/>
        </w:rPr>
        <w:t>Sobre la base de la experiencia de la BDT en el ciclo anterior (2018-2022):</w:t>
      </w:r>
    </w:p>
    <w:p w14:paraId="736753EE" w14:textId="269404C3" w:rsidR="00584414" w:rsidRDefault="00584414" w:rsidP="00584414">
      <w:pPr>
        <w:pStyle w:val="enumlev1"/>
        <w:rPr>
          <w:lang w:val="es-ES"/>
        </w:rPr>
      </w:pPr>
      <w:r w:rsidRPr="00584414">
        <w:rPr>
          <w:lang w:val="es-ES"/>
        </w:rPr>
        <w:t>•</w:t>
      </w:r>
      <w:r>
        <w:rPr>
          <w:lang w:val="es-ES"/>
        </w:rPr>
        <w:tab/>
      </w:r>
      <w:r w:rsidRPr="00B36F84">
        <w:rPr>
          <w:lang w:val="es-ES"/>
        </w:rPr>
        <w:t>La ejecución exitosa de las iniciativas regionales aprobadas por la CMDT-17 se debió a la atribución de fondos por el Consejo para la aplicación de proyectos en el marco de dichas iniciativas.</w:t>
      </w:r>
    </w:p>
    <w:p w14:paraId="5E0BC17A" w14:textId="44F61681" w:rsidR="00584414" w:rsidRDefault="00584414" w:rsidP="00584414">
      <w:pPr>
        <w:pStyle w:val="enumlev1"/>
        <w:rPr>
          <w:lang w:val="es-ES"/>
        </w:rPr>
      </w:pPr>
      <w:r w:rsidRPr="00584414">
        <w:rPr>
          <w:lang w:val="es-ES"/>
        </w:rPr>
        <w:t>•</w:t>
      </w:r>
      <w:r>
        <w:rPr>
          <w:lang w:val="es-ES"/>
        </w:rPr>
        <w:tab/>
      </w:r>
      <w:r w:rsidRPr="00B36F84">
        <w:rPr>
          <w:lang w:val="es-ES"/>
        </w:rPr>
        <w:t>La disponibilidad de los fondos atribuidos por el Consejo que sirvieron como capital inicial facilitó los esfuerzos de la UIT/BDT para movilizar recursos adicionales.</w:t>
      </w:r>
    </w:p>
    <w:p w14:paraId="040A5471" w14:textId="7A1C0751" w:rsidR="00584414" w:rsidRDefault="00584414" w:rsidP="00584414">
      <w:pPr>
        <w:pStyle w:val="enumlev1"/>
        <w:rPr>
          <w:lang w:val="es-ES"/>
        </w:rPr>
      </w:pPr>
      <w:r w:rsidRPr="00584414">
        <w:rPr>
          <w:lang w:val="es-ES"/>
        </w:rPr>
        <w:t>•</w:t>
      </w:r>
      <w:r>
        <w:rPr>
          <w:lang w:val="es-ES"/>
        </w:rPr>
        <w:tab/>
      </w:r>
      <w:r w:rsidRPr="00B36F84">
        <w:rPr>
          <w:lang w:val="es-ES"/>
        </w:rPr>
        <w:t>Para abarcar todas las regiones, el principio rector fue contar con asociados externos que sufragasen el 50 % del coste de los proyectos.</w:t>
      </w:r>
    </w:p>
    <w:p w14:paraId="1B5634D7" w14:textId="79D01AC8" w:rsidR="00584414" w:rsidRDefault="00584414" w:rsidP="00584414">
      <w:pPr>
        <w:pStyle w:val="enumlev1"/>
        <w:rPr>
          <w:lang w:val="es-ES"/>
        </w:rPr>
      </w:pPr>
      <w:r w:rsidRPr="00584414">
        <w:rPr>
          <w:lang w:val="es-ES"/>
        </w:rPr>
        <w:t>•</w:t>
      </w:r>
      <w:r>
        <w:rPr>
          <w:lang w:val="es-ES"/>
        </w:rPr>
        <w:tab/>
      </w:r>
      <w:r w:rsidRPr="00B36F84">
        <w:rPr>
          <w:lang w:val="es-ES"/>
        </w:rPr>
        <w:t>La aplicación de las iniciativas regionales aprobadas por la CMDT-22 que siguen sin presupuesto, dependerá de la puesta a disposición de un presupuesto específico para financiar los proyectos.</w:t>
      </w:r>
    </w:p>
    <w:p w14:paraId="0A692464" w14:textId="5535E203" w:rsidR="00927F93" w:rsidRDefault="00584414" w:rsidP="00584414">
      <w:pPr>
        <w:rPr>
          <w:lang w:val="es-ES"/>
        </w:rPr>
      </w:pPr>
      <w:r w:rsidRPr="00B36F84">
        <w:rPr>
          <w:lang w:val="es-ES"/>
        </w:rPr>
        <w:t xml:space="preserve">Aunque la BDT está realizando importantes esfuerzos para movilizar recursos para los proyectos, cabe señalar que si no se atribuye un capital inicial (atribución del Consejo) para </w:t>
      </w:r>
      <w:r w:rsidRPr="00B36F84">
        <w:rPr>
          <w:lang w:val="es-ES"/>
        </w:rPr>
        <w:lastRenderedPageBreak/>
        <w:t>financiar las iniciativas regionales aprobadas, no habrá garantías de que nuestros esfuerzos destinados a la movilización de recursos den frutos, dado que lo donantes determinan los temas que desean financiar y también se reservan el derecho a elegir las regiones y/o países prioritarios que se beneficiarán de sus recursos.</w:t>
      </w:r>
    </w:p>
    <w:p w14:paraId="2353FD64" w14:textId="77777777" w:rsidR="00584414" w:rsidRDefault="00584414" w:rsidP="00411C49">
      <w:pPr>
        <w:pStyle w:val="Reasons"/>
      </w:pPr>
    </w:p>
    <w:p w14:paraId="55BBDE82" w14:textId="12023305" w:rsidR="00584414" w:rsidRPr="000B0D00" w:rsidRDefault="00584414" w:rsidP="00584414">
      <w:pPr>
        <w:jc w:val="center"/>
      </w:pPr>
      <w:r>
        <w:t>______________</w:t>
      </w:r>
    </w:p>
    <w:sectPr w:rsidR="00584414" w:rsidRPr="000B0D00" w:rsidSect="00C538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DFA9" w14:textId="77777777" w:rsidR="00584414" w:rsidRDefault="00584414">
      <w:r>
        <w:separator/>
      </w:r>
    </w:p>
  </w:endnote>
  <w:endnote w:type="continuationSeparator" w:id="0">
    <w:p w14:paraId="2862361A" w14:textId="77777777" w:rsidR="00584414" w:rsidRDefault="0058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08E3" w14:textId="77777777" w:rsidR="00434008" w:rsidRDefault="00434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5C86EFEC" w14:textId="77777777" w:rsidTr="00E31DCE">
      <w:trPr>
        <w:jc w:val="center"/>
      </w:trPr>
      <w:tc>
        <w:tcPr>
          <w:tcW w:w="1803" w:type="dxa"/>
          <w:vAlign w:val="center"/>
        </w:tcPr>
        <w:p w14:paraId="6C483949" w14:textId="374B05A0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84414">
            <w:rPr>
              <w:noProof/>
            </w:rPr>
            <w:t>525717</w:t>
          </w:r>
        </w:p>
      </w:tc>
      <w:tc>
        <w:tcPr>
          <w:tcW w:w="8261" w:type="dxa"/>
        </w:tcPr>
        <w:p w14:paraId="29CA9A1C" w14:textId="6E7CE025" w:rsidR="003273A4" w:rsidRPr="00E06FD5" w:rsidRDefault="003273A4" w:rsidP="00F846C4">
          <w:pPr>
            <w:pStyle w:val="Header"/>
            <w:tabs>
              <w:tab w:val="left" w:pos="6454"/>
              <w:tab w:val="right" w:pos="8505"/>
              <w:tab w:val="right" w:pos="9639"/>
            </w:tabs>
            <w:ind w:right="179"/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84414">
            <w:rPr>
              <w:bCs/>
            </w:rPr>
            <w:t>26(Add.1)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AF2313" w14:textId="14DDD34D" w:rsidR="00760F1C" w:rsidRPr="003273A4" w:rsidRDefault="00C15AE1" w:rsidP="00F846C4">
    <w:pPr>
      <w:pStyle w:val="Footer"/>
    </w:pPr>
    <w:r w:rsidRPr="005D73DD">
      <w:rPr>
        <w:color w:val="F2F2F2" w:themeColor="background1" w:themeShade="F2"/>
      </w:rPr>
      <w:fldChar w:fldCharType="begin"/>
    </w:r>
    <w:r w:rsidRPr="005D73DD">
      <w:rPr>
        <w:color w:val="F2F2F2" w:themeColor="background1" w:themeShade="F2"/>
      </w:rPr>
      <w:instrText xml:space="preserve"> FILENAME \p  \* MERGEFORMAT </w:instrText>
    </w:r>
    <w:r w:rsidRPr="005D73DD">
      <w:rPr>
        <w:color w:val="F2F2F2" w:themeColor="background1" w:themeShade="F2"/>
      </w:rPr>
      <w:fldChar w:fldCharType="separate"/>
    </w:r>
    <w:r w:rsidR="00F846C4" w:rsidRPr="005D73DD">
      <w:rPr>
        <w:color w:val="F2F2F2" w:themeColor="background1" w:themeShade="F2"/>
      </w:rPr>
      <w:t>P:\ESP\SG\CONSEIL\C23\000\026ADD01S.docx</w:t>
    </w:r>
    <w:r w:rsidRPr="005D73DD">
      <w:rPr>
        <w:color w:val="F2F2F2" w:themeColor="background1" w:themeShade="F2"/>
      </w:rPr>
      <w:fldChar w:fldCharType="end"/>
    </w:r>
    <w:r w:rsidR="00F846C4" w:rsidRPr="005D73DD">
      <w:rPr>
        <w:color w:val="F2F2F2" w:themeColor="background1" w:themeShade="F2"/>
      </w:rPr>
      <w:t xml:space="preserve"> (525717)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F6E028C" w14:textId="77777777" w:rsidTr="00E31DCE">
      <w:trPr>
        <w:jc w:val="center"/>
      </w:trPr>
      <w:tc>
        <w:tcPr>
          <w:tcW w:w="1803" w:type="dxa"/>
          <w:vAlign w:val="center"/>
        </w:tcPr>
        <w:p w14:paraId="2033D5C9" w14:textId="77777777" w:rsidR="00F24B71" w:rsidRDefault="00C15AE1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F9D4506" w14:textId="5BC0F979" w:rsidR="00F24B71" w:rsidRPr="00E06FD5" w:rsidRDefault="00F24B71" w:rsidP="00F24B71">
          <w:pPr>
            <w:pStyle w:val="Header"/>
            <w:tabs>
              <w:tab w:val="left" w:pos="67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F846C4" w:rsidRPr="00623AE3">
            <w:rPr>
              <w:bCs/>
            </w:rPr>
            <w:t>C</w:t>
          </w:r>
          <w:r w:rsidR="00F846C4">
            <w:rPr>
              <w:bCs/>
            </w:rPr>
            <w:t>23</w:t>
          </w:r>
          <w:r w:rsidR="00F846C4" w:rsidRPr="00623AE3">
            <w:rPr>
              <w:bCs/>
            </w:rPr>
            <w:t>/</w:t>
          </w:r>
          <w:r w:rsidR="00F846C4">
            <w:rPr>
              <w:bCs/>
            </w:rPr>
            <w:t>26(Add.1)</w:t>
          </w:r>
          <w:r w:rsidR="00F846C4" w:rsidRPr="00623AE3">
            <w:rPr>
              <w:bCs/>
            </w:rPr>
            <w:t>-</w:t>
          </w:r>
          <w:r w:rsidR="00F846C4">
            <w:rPr>
              <w:bCs/>
            </w:rPr>
            <w:t>S</w:t>
          </w:r>
          <w:r w:rsidR="00F846C4">
            <w:rPr>
              <w:bCs/>
            </w:rPr>
            <w:tab/>
          </w:r>
          <w:r w:rsidR="00F846C4">
            <w:fldChar w:fldCharType="begin"/>
          </w:r>
          <w:r w:rsidR="00F846C4">
            <w:instrText>PAGE</w:instrText>
          </w:r>
          <w:r w:rsidR="00F846C4">
            <w:fldChar w:fldCharType="separate"/>
          </w:r>
          <w:r w:rsidR="00F846C4">
            <w:t>2</w:t>
          </w:r>
          <w:r w:rsidR="00F846C4">
            <w:rPr>
              <w:noProof/>
            </w:rPr>
            <w:fldChar w:fldCharType="end"/>
          </w:r>
        </w:p>
      </w:tc>
    </w:tr>
  </w:tbl>
  <w:p w14:paraId="4A648901" w14:textId="0F968681" w:rsidR="00760F1C" w:rsidRPr="00F24B71" w:rsidRDefault="00F846C4" w:rsidP="00F24B71">
    <w:pPr>
      <w:pStyle w:val="Footer"/>
    </w:pPr>
    <w:r w:rsidRPr="005D73DD">
      <w:rPr>
        <w:color w:val="F2F2F2" w:themeColor="background1" w:themeShade="F2"/>
      </w:rPr>
      <w:fldChar w:fldCharType="begin"/>
    </w:r>
    <w:r w:rsidRPr="005D73DD">
      <w:rPr>
        <w:color w:val="F2F2F2" w:themeColor="background1" w:themeShade="F2"/>
      </w:rPr>
      <w:instrText xml:space="preserve"> FILENAME \p  \* MERGEFORMAT </w:instrText>
    </w:r>
    <w:r w:rsidRPr="005D73DD">
      <w:rPr>
        <w:color w:val="F2F2F2" w:themeColor="background1" w:themeShade="F2"/>
      </w:rPr>
      <w:fldChar w:fldCharType="separate"/>
    </w:r>
    <w:r w:rsidRPr="005D73DD">
      <w:rPr>
        <w:color w:val="F2F2F2" w:themeColor="background1" w:themeShade="F2"/>
      </w:rPr>
      <w:t>P:\ESP\SG\CONSEIL\C23\000\026ADD01S.docx</w:t>
    </w:r>
    <w:r w:rsidRPr="005D73DD">
      <w:rPr>
        <w:color w:val="F2F2F2" w:themeColor="background1" w:themeShade="F2"/>
      </w:rPr>
      <w:fldChar w:fldCharType="end"/>
    </w:r>
    <w:r w:rsidRPr="005D73DD">
      <w:rPr>
        <w:color w:val="F2F2F2" w:themeColor="background1" w:themeShade="F2"/>
      </w:rPr>
      <w:t xml:space="preserve"> (525717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C3CD" w14:textId="77777777" w:rsidR="00584414" w:rsidRDefault="00584414">
      <w:r>
        <w:t>____________________</w:t>
      </w:r>
    </w:p>
  </w:footnote>
  <w:footnote w:type="continuationSeparator" w:id="0">
    <w:p w14:paraId="443C5FC4" w14:textId="77777777" w:rsidR="00584414" w:rsidRDefault="0058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EC0C" w14:textId="77777777" w:rsidR="00434008" w:rsidRDefault="00434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897A" w14:textId="77777777" w:rsidR="00434008" w:rsidRDefault="00434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62F3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FB0A38A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0810DAF" wp14:editId="51F6E3CA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67EBAC7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6D02F5E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BB62980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4D154A5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DA7D5" wp14:editId="606C5BFC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988A3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820FF"/>
    <w:multiLevelType w:val="hybridMultilevel"/>
    <w:tmpl w:val="42343DD0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55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14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73A4"/>
    <w:rsid w:val="00434008"/>
    <w:rsid w:val="00473962"/>
    <w:rsid w:val="004B5D49"/>
    <w:rsid w:val="00513630"/>
    <w:rsid w:val="00560125"/>
    <w:rsid w:val="00584414"/>
    <w:rsid w:val="00585553"/>
    <w:rsid w:val="005B34D9"/>
    <w:rsid w:val="005D0CCF"/>
    <w:rsid w:val="005D73DD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27F93"/>
    <w:rsid w:val="00956E77"/>
    <w:rsid w:val="009F4811"/>
    <w:rsid w:val="00AA390C"/>
    <w:rsid w:val="00AA3CF4"/>
    <w:rsid w:val="00B0200A"/>
    <w:rsid w:val="00B574DB"/>
    <w:rsid w:val="00B826C2"/>
    <w:rsid w:val="00B8298E"/>
    <w:rsid w:val="00BD0723"/>
    <w:rsid w:val="00BD2518"/>
    <w:rsid w:val="00BF1D1C"/>
    <w:rsid w:val="00C15AE1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35E53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846C4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6525E"/>
  <w15:docId w15:val="{704B144F-F0E0-4B49-B299-D0544A7E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"/>
    <w:basedOn w:val="Normal"/>
    <w:link w:val="ListParagraphChar"/>
    <w:uiPriority w:val="34"/>
    <w:qFormat/>
    <w:rsid w:val="00584414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link w:val="ListParagraph"/>
    <w:uiPriority w:val="34"/>
    <w:locked/>
    <w:rsid w:val="0058441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D22-TDAG30-230619-TD-0005/e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tu.int/md/D22-TDAG30-C-0025/en" TargetMode="External"/><Relationship Id="rId12" Type="http://schemas.openxmlformats.org/officeDocument/2006/relationships/hyperlink" Target="https://www.itu.int/dms_pub/itu-d/md/22/tdag30/c/D22-TDAG30-C-0025!N1!MSW-E.doc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D22-TDAG30-C-0025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basic-texts-2023/RES-025-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publications/ITU-D/pages/publications.aspx?parent=D-TDC-WTDC-2022&amp;media=electronic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3</Pages>
  <Words>625</Words>
  <Characters>4064</Characters>
  <Application>Microsoft Office Word</Application>
  <DocSecurity>0</DocSecurity>
  <Lines>64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4673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Implications of the Regional Initiatives Approved by WTDC-22</dc:title>
  <dc:subject>Council 2023</dc:subject>
  <dc:creator>Spanish</dc:creator>
  <cp:keywords>C2023, C23, Council-23</cp:keywords>
  <dc:description/>
  <cp:lastModifiedBy>Xue, Kun</cp:lastModifiedBy>
  <cp:revision>4</cp:revision>
  <cp:lastPrinted>2006-03-24T09:51:00Z</cp:lastPrinted>
  <dcterms:created xsi:type="dcterms:W3CDTF">2023-07-10T14:11:00Z</dcterms:created>
  <dcterms:modified xsi:type="dcterms:W3CDTF">2023-07-10T14:12:00Z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