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55246915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2848827" w14:textId="1F63C11B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4917B3" w:rsidRPr="009C420F">
              <w:rPr>
                <w:b/>
              </w:rPr>
              <w:t>ADM 1</w:t>
            </w:r>
          </w:p>
        </w:tc>
        <w:tc>
          <w:tcPr>
            <w:tcW w:w="5245" w:type="dxa"/>
          </w:tcPr>
          <w:p w14:paraId="416830C9" w14:textId="46C02742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 w:rsidR="004917B3">
              <w:rPr>
                <w:b/>
                <w:lang w:val="fr-CH"/>
              </w:rPr>
              <w:t>26(Add.1)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39081882" w14:textId="77777777" w:rsidTr="00E31DCE">
        <w:trPr>
          <w:cantSplit/>
        </w:trPr>
        <w:tc>
          <w:tcPr>
            <w:tcW w:w="3969" w:type="dxa"/>
            <w:vMerge/>
          </w:tcPr>
          <w:p w14:paraId="70E03134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3CC8B47" w14:textId="1CC1F364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2023</w:t>
            </w:r>
            <w:r w:rsidR="00C45EB2">
              <w:rPr>
                <w:rFonts w:hint="eastAsia"/>
                <w:b/>
                <w:lang w:eastAsia="zh-CN"/>
              </w:rPr>
              <w:t>年</w:t>
            </w:r>
            <w:r w:rsidR="004917B3">
              <w:rPr>
                <w:b/>
                <w:lang w:eastAsia="zh-CN"/>
              </w:rPr>
              <w:t>7</w:t>
            </w:r>
            <w:r w:rsidR="00C45EB2">
              <w:rPr>
                <w:rFonts w:hint="eastAsia"/>
                <w:b/>
                <w:lang w:eastAsia="zh-CN"/>
              </w:rPr>
              <w:t>月</w:t>
            </w:r>
            <w:r w:rsidR="004917B3">
              <w:rPr>
                <w:b/>
                <w:lang w:eastAsia="zh-CN"/>
              </w:rPr>
              <w:t>6</w:t>
            </w:r>
            <w:r w:rsidR="00C45EB2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4D1E4631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06A0F46B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7CD6165" w14:textId="7EB37ED0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4917B3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E24D59" w:rsidRPr="00813E5E" w14:paraId="6D2F8D85" w14:textId="77777777" w:rsidTr="00E31DCE">
        <w:trPr>
          <w:cantSplit/>
          <w:trHeight w:val="23"/>
        </w:trPr>
        <w:tc>
          <w:tcPr>
            <w:tcW w:w="3969" w:type="dxa"/>
          </w:tcPr>
          <w:p w14:paraId="1D77B239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3FD082E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62894319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292C0B" w14:textId="643BD3A2" w:rsidR="004917B3" w:rsidRPr="00B02202" w:rsidRDefault="00B02202" w:rsidP="004917B3">
            <w:pPr>
              <w:pStyle w:val="Source"/>
              <w:spacing w:before="120"/>
              <w:jc w:val="left"/>
              <w:rPr>
                <w:sz w:val="32"/>
                <w:szCs w:val="32"/>
                <w:lang w:eastAsia="zh-CN"/>
              </w:rPr>
            </w:pPr>
            <w:bookmarkStart w:id="5" w:name="dsource" w:colFirst="0" w:colLast="0"/>
            <w:bookmarkEnd w:id="4"/>
            <w:r w:rsidRPr="00B02202">
              <w:rPr>
                <w:rFonts w:hint="eastAsia"/>
                <w:sz w:val="32"/>
                <w:szCs w:val="32"/>
                <w:lang w:eastAsia="zh-CN"/>
              </w:rPr>
              <w:t>秘书长的报告</w:t>
            </w:r>
          </w:p>
          <w:p w14:paraId="54552C17" w14:textId="5B491966" w:rsidR="00E24D59" w:rsidRPr="00E24D59" w:rsidRDefault="00623025" w:rsidP="00580393">
            <w:pPr>
              <w:pStyle w:val="Source"/>
              <w:spacing w:before="120"/>
              <w:jc w:val="left"/>
              <w:rPr>
                <w:sz w:val="34"/>
                <w:szCs w:val="34"/>
                <w:lang w:eastAsia="zh-CN"/>
              </w:rPr>
            </w:pPr>
            <w:r w:rsidRPr="004917B3">
              <w:rPr>
                <w:sz w:val="32"/>
                <w:szCs w:val="32"/>
                <w:lang w:eastAsia="zh-CN"/>
              </w:rPr>
              <w:t>TDAG</w:t>
            </w:r>
            <w:r w:rsidRPr="00623025">
              <w:rPr>
                <w:rFonts w:hint="eastAsia"/>
                <w:sz w:val="32"/>
                <w:szCs w:val="32"/>
                <w:lang w:eastAsia="zh-CN"/>
              </w:rPr>
              <w:t>主席提交</w:t>
            </w:r>
            <w:r w:rsidR="00B34840">
              <w:rPr>
                <w:rFonts w:hint="eastAsia"/>
                <w:sz w:val="32"/>
                <w:szCs w:val="32"/>
                <w:lang w:eastAsia="zh-CN"/>
              </w:rPr>
              <w:t>的</w:t>
            </w:r>
            <w:r w:rsidR="00B24332">
              <w:rPr>
                <w:rFonts w:hint="eastAsia"/>
                <w:sz w:val="32"/>
                <w:szCs w:val="32"/>
                <w:lang w:eastAsia="zh-CN"/>
              </w:rPr>
              <w:t>由</w:t>
            </w:r>
            <w:r w:rsidRPr="004917B3">
              <w:rPr>
                <w:sz w:val="32"/>
                <w:szCs w:val="32"/>
                <w:lang w:eastAsia="zh-CN"/>
              </w:rPr>
              <w:t>TDAG-23</w:t>
            </w:r>
            <w:r w:rsidR="00B24332">
              <w:rPr>
                <w:rFonts w:hint="eastAsia"/>
                <w:sz w:val="32"/>
                <w:szCs w:val="32"/>
                <w:lang w:eastAsia="zh-CN"/>
              </w:rPr>
              <w:t>产生</w:t>
            </w:r>
            <w:r w:rsidRPr="00623025">
              <w:rPr>
                <w:rFonts w:hint="eastAsia"/>
                <w:sz w:val="32"/>
                <w:szCs w:val="32"/>
                <w:lang w:eastAsia="zh-CN"/>
              </w:rPr>
              <w:t>的补遗</w:t>
            </w:r>
          </w:p>
        </w:tc>
      </w:tr>
      <w:tr w:rsidR="00E24D59" w:rsidRPr="00813E5E" w14:paraId="1A850592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6E000A1" w14:textId="161B89E4" w:rsidR="00E24D59" w:rsidRPr="00B02202" w:rsidRDefault="00B02202" w:rsidP="00E31DCE">
            <w:pPr>
              <w:pStyle w:val="Subtitle"/>
              <w:framePr w:hSpace="0" w:wrap="auto" w:hAnchor="text" w:xAlign="left" w:yAlign="inline"/>
              <w:rPr>
                <w:rFonts w:asciiTheme="minorHAnsi" w:eastAsiaTheme="minorEastAsia" w:hAnsiTheme="minorHAnsi" w:cstheme="minorHAnsi"/>
                <w:sz w:val="32"/>
                <w:szCs w:val="32"/>
                <w:lang w:eastAsia="zh-CN"/>
              </w:rPr>
            </w:pPr>
            <w:bookmarkStart w:id="6" w:name="dtitle1" w:colFirst="0" w:colLast="0"/>
            <w:bookmarkEnd w:id="5"/>
            <w:r w:rsidRPr="00B02202">
              <w:rPr>
                <w:rFonts w:asciiTheme="minorHAnsi" w:eastAsiaTheme="minorEastAsia" w:hAnsiTheme="minorHAnsi" w:cstheme="minorHAnsi"/>
                <w:sz w:val="32"/>
                <w:szCs w:val="32"/>
                <w:lang w:eastAsia="zh-CN"/>
              </w:rPr>
              <w:t>WTDC-22</w:t>
            </w:r>
            <w:r w:rsidRPr="00B02202">
              <w:rPr>
                <w:rFonts w:asciiTheme="minorHAnsi" w:eastAsiaTheme="minorEastAsia" w:hAnsiTheme="minorHAnsi" w:cstheme="minorHAnsi"/>
                <w:sz w:val="32"/>
                <w:szCs w:val="32"/>
                <w:lang w:eastAsia="zh-CN"/>
              </w:rPr>
              <w:t>批准的区域性举措的财务影响</w:t>
            </w:r>
          </w:p>
        </w:tc>
      </w:tr>
      <w:tr w:rsidR="00E24D59" w:rsidRPr="00813E5E" w14:paraId="0C787FC9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E5D8A7E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659702C6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7934E82D" w14:textId="124C40BA" w:rsidR="004917B3" w:rsidRPr="00DD2869" w:rsidRDefault="00376B87" w:rsidP="004917B3">
            <w:pPr>
              <w:spacing w:before="160"/>
              <w:rPr>
                <w:b/>
                <w:bCs/>
                <w:sz w:val="22"/>
                <w:szCs w:val="22"/>
                <w:lang w:eastAsia="zh-CN"/>
              </w:rPr>
            </w:pPr>
            <w:r>
              <w:fldChar w:fldCharType="begin"/>
            </w:r>
            <w:r>
              <w:instrText>HYPERLINK "https://www.itu.int/md/D22-TDAG30-C-0025/en"</w:instrText>
            </w:r>
            <w:r>
              <w:fldChar w:fldCharType="separate"/>
            </w:r>
            <w:bookmarkStart w:id="7" w:name="lt_pId023"/>
            <w:r w:rsidR="004917B3" w:rsidRPr="00DD2869">
              <w:rPr>
                <w:rFonts w:eastAsia="Calibri"/>
                <w:color w:val="0000FF"/>
                <w:kern w:val="2"/>
                <w:sz w:val="22"/>
                <w:szCs w:val="22"/>
                <w:u w:val="single"/>
                <w:lang w:eastAsia="zh-CN"/>
                <w14:ligatures w14:val="standardContextual"/>
              </w:rPr>
              <w:t>TDAG-23/25</w:t>
            </w:r>
            <w:r w:rsidR="00623025" w:rsidRPr="00DD2869">
              <w:rPr>
                <w:rFonts w:ascii="STKaiti" w:eastAsia="STKaiti" w:hAnsi="STKaiti" w:cs="Microsoft YaHei" w:hint="eastAsia"/>
                <w:color w:val="0000FF"/>
                <w:kern w:val="2"/>
                <w:sz w:val="22"/>
                <w:szCs w:val="22"/>
                <w:u w:val="single"/>
                <w:lang w:eastAsia="zh-CN"/>
                <w14:ligatures w14:val="standardContextual"/>
              </w:rPr>
              <w:t>号文件</w:t>
            </w:r>
            <w:r w:rsidR="004917B3" w:rsidRPr="00DD2869">
              <w:rPr>
                <w:rFonts w:eastAsia="Calibri"/>
                <w:color w:val="0000FF"/>
                <w:kern w:val="2"/>
                <w:sz w:val="22"/>
                <w:szCs w:val="22"/>
                <w:u w:val="single"/>
                <w:lang w:eastAsia="zh-CN"/>
                <w14:ligatures w14:val="standardContextual"/>
              </w:rPr>
              <w:t xml:space="preserve"> </w:t>
            </w:r>
            <w:r w:rsidR="00580393" w:rsidRPr="00DD2869">
              <w:rPr>
                <w:rFonts w:eastAsia="Calibri"/>
                <w:color w:val="0000FF"/>
                <w:kern w:val="2"/>
                <w:sz w:val="22"/>
                <w:szCs w:val="22"/>
                <w:u w:val="single"/>
                <w:lang w:eastAsia="zh-CN"/>
                <w14:ligatures w14:val="standardContextual"/>
              </w:rPr>
              <w:t>–</w:t>
            </w:r>
            <w:r w:rsidR="00623025" w:rsidRPr="00DD2869">
              <w:rPr>
                <w:rFonts w:eastAsia="Calibri"/>
                <w:color w:val="0000FF"/>
                <w:kern w:val="2"/>
                <w:sz w:val="22"/>
                <w:szCs w:val="22"/>
                <w:u w:val="single"/>
                <w:lang w:eastAsia="zh-CN"/>
                <w14:ligatures w14:val="standardContextual"/>
              </w:rPr>
              <w:t xml:space="preserve"> </w:t>
            </w:r>
            <w:r w:rsidR="00623025" w:rsidRPr="00DD2869">
              <w:rPr>
                <w:rFonts w:ascii="STKaiti" w:eastAsia="STKaiti" w:hAnsi="STKaiti" w:cs="Microsoft YaHei" w:hint="eastAsia"/>
                <w:color w:val="0000FF"/>
                <w:kern w:val="2"/>
                <w:sz w:val="22"/>
                <w:szCs w:val="22"/>
                <w:u w:val="single"/>
                <w:lang w:eastAsia="zh-CN"/>
                <w14:ligatures w14:val="standardContextual"/>
              </w:rPr>
              <w:t>电信发展局主任</w:t>
            </w:r>
            <w:r w:rsidR="004917B3" w:rsidRPr="00DD2869">
              <w:rPr>
                <w:rFonts w:eastAsia="Calibri"/>
                <w:color w:val="0000FF"/>
                <w:kern w:val="2"/>
                <w:sz w:val="22"/>
                <w:szCs w:val="22"/>
                <w:u w:val="single"/>
                <w:lang w:eastAsia="zh-CN"/>
                <w14:ligatures w14:val="standardContextual"/>
              </w:rPr>
              <w:t xml:space="preserve"> </w:t>
            </w:r>
            <w:r w:rsidR="00580393" w:rsidRPr="00DD2869">
              <w:rPr>
                <w:rFonts w:eastAsia="Calibri"/>
                <w:color w:val="0000FF"/>
                <w:kern w:val="2"/>
                <w:sz w:val="22"/>
                <w:szCs w:val="22"/>
                <w:u w:val="single"/>
                <w:lang w:eastAsia="zh-CN"/>
                <w14:ligatures w14:val="standardContextual"/>
              </w:rPr>
              <w:t>–</w:t>
            </w:r>
            <w:r w:rsidR="004917B3" w:rsidRPr="00DD2869">
              <w:rPr>
                <w:rFonts w:eastAsia="Calibri"/>
                <w:color w:val="0000FF"/>
                <w:kern w:val="2"/>
                <w:sz w:val="22"/>
                <w:szCs w:val="22"/>
                <w:u w:val="single"/>
                <w:lang w:eastAsia="zh-CN"/>
                <w14:ligatures w14:val="standardContextual"/>
              </w:rPr>
              <w:t xml:space="preserve"> </w:t>
            </w:r>
            <w:r w:rsidR="00623025" w:rsidRPr="00DD2869">
              <w:rPr>
                <w:rFonts w:eastAsia="Calibri" w:hint="eastAsia"/>
                <w:color w:val="0000FF"/>
                <w:kern w:val="2"/>
                <w:sz w:val="22"/>
                <w:szCs w:val="22"/>
                <w:u w:val="single"/>
                <w:lang w:eastAsia="zh-CN"/>
                <w14:ligatures w14:val="standardContextual"/>
              </w:rPr>
              <w:t>WTDC-22</w:t>
            </w:r>
            <w:r w:rsidR="00623025" w:rsidRPr="00DD2869">
              <w:rPr>
                <w:rFonts w:ascii="STKaiti" w:eastAsia="STKaiti" w:hAnsi="STKaiti" w:cs="Microsoft YaHei" w:hint="eastAsia"/>
                <w:color w:val="0000FF"/>
                <w:kern w:val="2"/>
                <w:sz w:val="22"/>
                <w:szCs w:val="22"/>
                <w:u w:val="single"/>
                <w:lang w:eastAsia="zh-CN"/>
                <w14:ligatures w14:val="standardContextual"/>
              </w:rPr>
              <w:t>批准的区域性举措的财务影响</w:t>
            </w:r>
            <w:bookmarkEnd w:id="7"/>
            <w:r>
              <w:rPr>
                <w:rFonts w:ascii="STKaiti" w:eastAsia="STKaiti" w:hAnsi="STKaiti" w:cs="Microsoft YaHei"/>
                <w:color w:val="0000FF"/>
                <w:kern w:val="2"/>
                <w:sz w:val="22"/>
                <w:szCs w:val="22"/>
                <w:u w:val="single"/>
                <w:lang w:eastAsia="zh-CN"/>
                <w14:ligatures w14:val="standardContextual"/>
              </w:rPr>
              <w:fldChar w:fldCharType="end"/>
            </w:r>
          </w:p>
          <w:p w14:paraId="356CB690" w14:textId="3B61D686" w:rsidR="00E24D59" w:rsidRPr="00B409D6" w:rsidRDefault="00376B87" w:rsidP="004917B3">
            <w:pPr>
              <w:spacing w:after="160"/>
              <w:rPr>
                <w:rFonts w:eastAsia="Calibri"/>
                <w:kern w:val="2"/>
                <w:szCs w:val="24"/>
                <w:u w:val="single"/>
                <w:lang w:eastAsia="zh-CN"/>
                <w14:ligatures w14:val="standardContextual"/>
              </w:rPr>
            </w:pPr>
            <w:r>
              <w:fldChar w:fldCharType="begin"/>
            </w:r>
            <w:r>
              <w:instrText>HYPERLINK "https://www.itu.int/md/D22-TDAG30-230619-TD-0005/en"</w:instrText>
            </w:r>
            <w:r>
              <w:fldChar w:fldCharType="separate"/>
            </w:r>
            <w:bookmarkStart w:id="8" w:name="lt_pId024"/>
            <w:r w:rsidR="004917B3" w:rsidRPr="00DD2869">
              <w:rPr>
                <w:rFonts w:eastAsia="Calibri"/>
                <w:color w:val="0000FF"/>
                <w:kern w:val="2"/>
                <w:sz w:val="22"/>
                <w:szCs w:val="22"/>
                <w:u w:val="single"/>
                <w:lang w:eastAsia="zh-CN"/>
                <w14:ligatures w14:val="standardContextual"/>
              </w:rPr>
              <w:t>TDAG-23/DT/5</w:t>
            </w:r>
            <w:r w:rsidR="00C32B40" w:rsidRPr="00DD2869">
              <w:rPr>
                <w:rFonts w:ascii="STKaiti" w:eastAsia="STKaiti" w:hAnsi="STKaiti" w:cs="Microsoft YaHei" w:hint="eastAsia"/>
                <w:color w:val="0000FF"/>
                <w:kern w:val="2"/>
                <w:sz w:val="22"/>
                <w:szCs w:val="22"/>
                <w:u w:val="single"/>
                <w:lang w:eastAsia="zh-CN"/>
                <w14:ligatures w14:val="standardContextual"/>
              </w:rPr>
              <w:t>号文件</w:t>
            </w:r>
            <w:r w:rsidR="004917B3" w:rsidRPr="00DD2869">
              <w:rPr>
                <w:rFonts w:eastAsia="Calibri"/>
                <w:color w:val="0000FF"/>
                <w:kern w:val="2"/>
                <w:sz w:val="22"/>
                <w:szCs w:val="22"/>
                <w:u w:val="single"/>
                <w:lang w:eastAsia="zh-CN"/>
                <w14:ligatures w14:val="standardContextual"/>
              </w:rPr>
              <w:t xml:space="preserve"> </w:t>
            </w:r>
            <w:r w:rsidR="00580393" w:rsidRPr="00DD2869">
              <w:rPr>
                <w:rFonts w:eastAsia="Calibri"/>
                <w:color w:val="0000FF"/>
                <w:kern w:val="2"/>
                <w:sz w:val="22"/>
                <w:szCs w:val="22"/>
                <w:u w:val="single"/>
                <w:lang w:eastAsia="zh-CN"/>
                <w14:ligatures w14:val="standardContextual"/>
              </w:rPr>
              <w:t>–</w:t>
            </w:r>
            <w:r w:rsidR="004917B3" w:rsidRPr="00DD2869">
              <w:rPr>
                <w:rFonts w:eastAsia="Calibri"/>
                <w:color w:val="0000FF"/>
                <w:kern w:val="2"/>
                <w:sz w:val="22"/>
                <w:szCs w:val="22"/>
                <w:u w:val="single"/>
                <w:lang w:eastAsia="zh-CN"/>
                <w14:ligatures w14:val="standardContextual"/>
              </w:rPr>
              <w:t xml:space="preserve"> </w:t>
            </w:r>
            <w:r w:rsidR="00C32B40" w:rsidRPr="00DD2869">
              <w:rPr>
                <w:rFonts w:ascii="STKaiti" w:eastAsia="STKaiti" w:hAnsi="STKaiti" w:cs="Microsoft YaHei" w:hint="eastAsia"/>
                <w:color w:val="0000FF"/>
                <w:kern w:val="2"/>
                <w:sz w:val="22"/>
                <w:szCs w:val="22"/>
                <w:u w:val="single"/>
                <w:lang w:eastAsia="zh-CN"/>
                <w14:ligatures w14:val="standardContextual"/>
              </w:rPr>
              <w:t>电信发展顾问组（</w:t>
            </w:r>
            <w:r w:rsidR="00C32B40" w:rsidRPr="00DD2869">
              <w:rPr>
                <w:rFonts w:eastAsia="STKaiti" w:cs="Calibri"/>
                <w:color w:val="0000FF"/>
                <w:kern w:val="2"/>
                <w:sz w:val="22"/>
                <w:szCs w:val="22"/>
                <w:u w:val="single"/>
                <w:lang w:eastAsia="zh-CN"/>
                <w14:ligatures w14:val="standardContextual"/>
              </w:rPr>
              <w:t>TDAG</w:t>
            </w:r>
            <w:r w:rsidR="00C32B40" w:rsidRPr="00DD2869">
              <w:rPr>
                <w:rFonts w:ascii="STKaiti" w:eastAsia="STKaiti" w:hAnsi="STKaiti" w:cs="Microsoft YaHei" w:hint="eastAsia"/>
                <w:color w:val="0000FF"/>
                <w:kern w:val="2"/>
                <w:sz w:val="22"/>
                <w:szCs w:val="22"/>
                <w:u w:val="single"/>
                <w:lang w:eastAsia="zh-CN"/>
                <w14:ligatures w14:val="standardContextual"/>
              </w:rPr>
              <w:t>）主席</w:t>
            </w:r>
            <w:r w:rsidR="004917B3" w:rsidRPr="00DD2869">
              <w:rPr>
                <w:rFonts w:eastAsia="Calibri"/>
                <w:color w:val="0000FF"/>
                <w:kern w:val="2"/>
                <w:sz w:val="22"/>
                <w:szCs w:val="22"/>
                <w:u w:val="single"/>
                <w:lang w:eastAsia="zh-CN"/>
                <w14:ligatures w14:val="standardContextual"/>
              </w:rPr>
              <w:t xml:space="preserve"> </w:t>
            </w:r>
            <w:r w:rsidR="00580393" w:rsidRPr="00DD2869">
              <w:rPr>
                <w:rFonts w:eastAsia="Calibri"/>
                <w:color w:val="0000FF"/>
                <w:kern w:val="2"/>
                <w:sz w:val="22"/>
                <w:szCs w:val="22"/>
                <w:u w:val="single"/>
                <w:lang w:eastAsia="zh-CN"/>
                <w14:ligatures w14:val="standardContextual"/>
              </w:rPr>
              <w:t>–</w:t>
            </w:r>
            <w:r w:rsidR="004917B3" w:rsidRPr="00DD2869">
              <w:rPr>
                <w:rFonts w:eastAsia="Calibri"/>
                <w:color w:val="0000FF"/>
                <w:kern w:val="2"/>
                <w:sz w:val="22"/>
                <w:szCs w:val="22"/>
                <w:u w:val="single"/>
                <w:lang w:eastAsia="zh-CN"/>
                <w14:ligatures w14:val="standardContextual"/>
              </w:rPr>
              <w:t xml:space="preserve"> </w:t>
            </w:r>
            <w:r w:rsidR="00C32B40" w:rsidRPr="00DD2869">
              <w:rPr>
                <w:rFonts w:ascii="STKaiti" w:eastAsia="STKaiti" w:hAnsi="STKaiti" w:cs="Microsoft YaHei" w:hint="eastAsia"/>
                <w:color w:val="0000FF"/>
                <w:kern w:val="2"/>
                <w:sz w:val="22"/>
                <w:szCs w:val="22"/>
                <w:u w:val="single"/>
                <w:lang w:eastAsia="zh-CN"/>
                <w14:ligatures w14:val="standardContextual"/>
              </w:rPr>
              <w:t>结论摘要草案</w:t>
            </w:r>
            <w:bookmarkEnd w:id="8"/>
            <w:r>
              <w:rPr>
                <w:rFonts w:ascii="STKaiti" w:eastAsia="STKaiti" w:hAnsi="STKaiti" w:cs="Microsoft YaHei"/>
                <w:color w:val="0000FF"/>
                <w:kern w:val="2"/>
                <w:sz w:val="22"/>
                <w:szCs w:val="22"/>
                <w:u w:val="single"/>
                <w:lang w:eastAsia="zh-CN"/>
                <w14:ligatures w14:val="standardContextual"/>
              </w:rPr>
              <w:fldChar w:fldCharType="end"/>
            </w:r>
          </w:p>
          <w:p w14:paraId="2CCB7D1F" w14:textId="336FA5DA" w:rsidR="006B72FD" w:rsidRPr="00580393" w:rsidRDefault="00376B87" w:rsidP="004917B3">
            <w:pPr>
              <w:spacing w:after="160"/>
              <w:rPr>
                <w:rStyle w:val="Hyperlink"/>
                <w:rFonts w:eastAsia="STKaiti"/>
                <w:color w:val="auto"/>
                <w:sz w:val="22"/>
                <w:szCs w:val="22"/>
                <w:lang w:eastAsia="zh-CN"/>
              </w:rPr>
            </w:pPr>
            <w:r>
              <w:fldChar w:fldCharType="begin"/>
            </w:r>
            <w:r>
              <w:instrText>HYPERLINK "https://www.itu.int/en/publications/ITU-D/pages/publications.aspx?parent=D-TDC-WTDC-2022&amp;media=electronic"</w:instrText>
            </w:r>
            <w:r>
              <w:fldChar w:fldCharType="separate"/>
            </w:r>
            <w:r w:rsidR="007B15E3" w:rsidRPr="00135983">
              <w:rPr>
                <w:rStyle w:val="Hyperlink"/>
                <w:rFonts w:eastAsia="STKaiti"/>
                <w:sz w:val="22"/>
                <w:szCs w:val="22"/>
                <w:lang w:eastAsia="zh-CN"/>
              </w:rPr>
              <w:t>世界电信发展大会（</w:t>
            </w:r>
            <w:r w:rsidR="007B15E3" w:rsidRPr="00135983">
              <w:rPr>
                <w:rStyle w:val="Hyperlink"/>
                <w:rFonts w:eastAsia="STKaiti"/>
                <w:sz w:val="22"/>
                <w:szCs w:val="22"/>
                <w:lang w:eastAsia="zh-CN"/>
              </w:rPr>
              <w:t>2022</w:t>
            </w:r>
            <w:r w:rsidR="007B15E3" w:rsidRPr="00135983">
              <w:rPr>
                <w:rStyle w:val="Hyperlink"/>
                <w:rFonts w:eastAsia="STKaiti"/>
                <w:sz w:val="22"/>
                <w:szCs w:val="22"/>
                <w:lang w:eastAsia="zh-CN"/>
              </w:rPr>
              <w:t>年，基加利）《最后报告》第三</w:t>
            </w:r>
            <w:r w:rsidR="008B0B7A">
              <w:rPr>
                <w:rStyle w:val="Hyperlink"/>
                <w:rFonts w:eastAsia="STKaiti" w:hint="eastAsia"/>
                <w:sz w:val="22"/>
                <w:szCs w:val="22"/>
                <w:lang w:eastAsia="zh-CN"/>
              </w:rPr>
              <w:t>部分</w:t>
            </w:r>
            <w:r w:rsidR="007B15E3" w:rsidRPr="00135983">
              <w:rPr>
                <w:rStyle w:val="Hyperlink"/>
                <w:rFonts w:eastAsia="STKaiti"/>
                <w:sz w:val="22"/>
                <w:szCs w:val="22"/>
                <w:lang w:eastAsia="zh-CN"/>
              </w:rPr>
              <w:t xml:space="preserve"> – </w:t>
            </w:r>
            <w:r w:rsidR="007B15E3" w:rsidRPr="00135983">
              <w:rPr>
                <w:rStyle w:val="Hyperlink"/>
                <w:rFonts w:eastAsia="STKaiti"/>
                <w:sz w:val="22"/>
                <w:szCs w:val="22"/>
                <w:lang w:eastAsia="zh-CN"/>
              </w:rPr>
              <w:t>区域性举措</w:t>
            </w:r>
            <w:r>
              <w:rPr>
                <w:rStyle w:val="Hyperlink"/>
                <w:rFonts w:eastAsia="STKaiti"/>
                <w:sz w:val="22"/>
                <w:szCs w:val="22"/>
                <w:lang w:eastAsia="zh-CN"/>
              </w:rPr>
              <w:fldChar w:fldCharType="end"/>
            </w:r>
          </w:p>
          <w:p w14:paraId="6D5261A2" w14:textId="18AFD6AE" w:rsidR="007B15E3" w:rsidRDefault="00376B87" w:rsidP="004917B3">
            <w:pPr>
              <w:spacing w:after="160"/>
              <w:rPr>
                <w:lang w:eastAsia="zh-CN"/>
              </w:rPr>
            </w:pPr>
            <w:r>
              <w:fldChar w:fldCharType="begin"/>
            </w:r>
            <w:r>
              <w:instrText>HYPERLINK "https://www.itu.int/en/council/Documents/basic-text</w:instrText>
            </w:r>
            <w:r>
              <w:instrText>s-2023/RES-025-c.pdf"</w:instrText>
            </w:r>
            <w:r>
              <w:fldChar w:fldCharType="separate"/>
            </w:r>
            <w:r w:rsidR="007B15E3" w:rsidRPr="00D544A9">
              <w:rPr>
                <w:rStyle w:val="Hyperlink"/>
                <w:rFonts w:eastAsia="STKaiti" w:hint="eastAsia"/>
                <w:sz w:val="22"/>
                <w:szCs w:val="22"/>
                <w:lang w:eastAsia="zh-CN"/>
              </w:rPr>
              <w:t>全权代表大会</w:t>
            </w:r>
            <w:r w:rsidR="007B15E3" w:rsidRPr="00D544A9">
              <w:rPr>
                <w:rStyle w:val="Hyperlink"/>
                <w:rFonts w:eastAsia="STKaiti"/>
                <w:sz w:val="22"/>
                <w:szCs w:val="22"/>
                <w:lang w:eastAsia="zh-CN"/>
              </w:rPr>
              <w:t>第</w:t>
            </w:r>
            <w:r w:rsidR="007B15E3" w:rsidRPr="00D544A9">
              <w:rPr>
                <w:rStyle w:val="Hyperlink"/>
                <w:rFonts w:eastAsia="STKaiti"/>
                <w:sz w:val="22"/>
                <w:szCs w:val="22"/>
                <w:lang w:eastAsia="zh-CN"/>
              </w:rPr>
              <w:t>25</w:t>
            </w:r>
            <w:r w:rsidR="007B15E3" w:rsidRPr="00D544A9">
              <w:rPr>
                <w:rStyle w:val="Hyperlink"/>
                <w:rFonts w:eastAsia="STKaiti"/>
                <w:sz w:val="22"/>
                <w:szCs w:val="22"/>
                <w:lang w:eastAsia="zh-CN"/>
              </w:rPr>
              <w:t>号决议（</w:t>
            </w:r>
            <w:r w:rsidR="007B15E3" w:rsidRPr="00D544A9">
              <w:rPr>
                <w:rStyle w:val="Hyperlink"/>
                <w:rFonts w:eastAsia="STKaiti"/>
                <w:sz w:val="22"/>
                <w:szCs w:val="22"/>
                <w:lang w:eastAsia="zh-CN"/>
              </w:rPr>
              <w:t>2022</w:t>
            </w:r>
            <w:r w:rsidR="007B15E3" w:rsidRPr="00D544A9">
              <w:rPr>
                <w:rStyle w:val="Hyperlink"/>
                <w:rFonts w:eastAsia="STKaiti"/>
                <w:sz w:val="22"/>
                <w:szCs w:val="22"/>
                <w:lang w:eastAsia="zh-CN"/>
              </w:rPr>
              <w:t>年，布加勒斯特，修订版）</w:t>
            </w:r>
            <w:r>
              <w:rPr>
                <w:rStyle w:val="Hyperlink"/>
                <w:rFonts w:eastAsia="STKaiti"/>
                <w:sz w:val="22"/>
                <w:szCs w:val="22"/>
                <w:lang w:eastAsia="zh-CN"/>
              </w:rPr>
              <w:fldChar w:fldCharType="end"/>
            </w:r>
          </w:p>
        </w:tc>
      </w:tr>
      <w:bookmarkEnd w:id="2"/>
      <w:bookmarkEnd w:id="6"/>
    </w:tbl>
    <w:p w14:paraId="58BCBDD7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11DDA89" w14:textId="56278058" w:rsidR="004917B3" w:rsidRPr="009C420F" w:rsidRDefault="00A27D61" w:rsidP="001A6F82">
      <w:pPr>
        <w:overflowPunct/>
        <w:autoSpaceDE/>
        <w:adjustRightInd/>
        <w:ind w:firstLineChars="200" w:firstLine="480"/>
        <w:jc w:val="both"/>
        <w:rPr>
          <w:szCs w:val="24"/>
          <w:lang w:val="en-US" w:eastAsia="zh-CN"/>
        </w:rPr>
      </w:pPr>
      <w:r w:rsidRPr="00A27D61">
        <w:rPr>
          <w:rFonts w:hint="eastAsia"/>
          <w:szCs w:val="24"/>
          <w:lang w:val="en-US" w:eastAsia="zh-CN"/>
        </w:rPr>
        <w:lastRenderedPageBreak/>
        <w:t>电信发展顾问组</w:t>
      </w:r>
      <w:r>
        <w:rPr>
          <w:rFonts w:hint="eastAsia"/>
          <w:szCs w:val="24"/>
          <w:lang w:val="en-US" w:eastAsia="zh-CN"/>
        </w:rPr>
        <w:t>（</w:t>
      </w:r>
      <w:r w:rsidRPr="00F46E5B">
        <w:rPr>
          <w:szCs w:val="24"/>
          <w:lang w:val="en-US" w:eastAsia="zh-CN"/>
        </w:rPr>
        <w:t>TDAG</w:t>
      </w:r>
      <w:r>
        <w:rPr>
          <w:rFonts w:hint="eastAsia"/>
          <w:szCs w:val="24"/>
          <w:lang w:val="en-US" w:eastAsia="zh-CN"/>
        </w:rPr>
        <w:t>）</w:t>
      </w:r>
      <w:r w:rsidR="00C53B73" w:rsidRPr="00C32B40">
        <w:rPr>
          <w:rFonts w:hint="eastAsia"/>
          <w:szCs w:val="24"/>
          <w:lang w:val="en-US" w:eastAsia="zh-CN"/>
        </w:rPr>
        <w:t>会议</w:t>
      </w:r>
      <w:r w:rsidR="00C32B40" w:rsidRPr="00C32B40">
        <w:rPr>
          <w:rFonts w:hint="eastAsia"/>
          <w:szCs w:val="24"/>
          <w:lang w:val="en-US" w:eastAsia="zh-CN"/>
        </w:rPr>
        <w:t>于</w:t>
      </w:r>
      <w:r w:rsidRPr="00F46E5B">
        <w:rPr>
          <w:szCs w:val="24"/>
          <w:lang w:val="en-US" w:eastAsia="zh-CN"/>
        </w:rPr>
        <w:t>2023</w:t>
      </w:r>
      <w:r w:rsidR="00C32B40" w:rsidRPr="00C32B40">
        <w:rPr>
          <w:rFonts w:hint="eastAsia"/>
          <w:szCs w:val="24"/>
          <w:lang w:val="en-US" w:eastAsia="zh-CN"/>
        </w:rPr>
        <w:t>年</w:t>
      </w:r>
      <w:r w:rsidR="00C32B40" w:rsidRPr="00C32B40">
        <w:rPr>
          <w:rFonts w:hint="eastAsia"/>
          <w:szCs w:val="24"/>
          <w:lang w:val="en-US" w:eastAsia="zh-CN"/>
        </w:rPr>
        <w:t>6</w:t>
      </w:r>
      <w:r w:rsidR="00C32B40" w:rsidRPr="00C32B40">
        <w:rPr>
          <w:rFonts w:hint="eastAsia"/>
          <w:szCs w:val="24"/>
          <w:lang w:val="en-US" w:eastAsia="zh-CN"/>
        </w:rPr>
        <w:t>月</w:t>
      </w:r>
      <w:r w:rsidRPr="00F46E5B">
        <w:rPr>
          <w:szCs w:val="24"/>
          <w:lang w:val="en-US" w:eastAsia="zh-CN"/>
        </w:rPr>
        <w:t>19</w:t>
      </w:r>
      <w:r w:rsidR="00D17D67">
        <w:rPr>
          <w:rFonts w:hint="eastAsia"/>
          <w:szCs w:val="24"/>
          <w:lang w:val="en-US" w:eastAsia="zh-CN"/>
        </w:rPr>
        <w:t>日</w:t>
      </w:r>
      <w:r w:rsidR="00C32B40" w:rsidRPr="00C32B40">
        <w:rPr>
          <w:rFonts w:hint="eastAsia"/>
          <w:szCs w:val="24"/>
          <w:lang w:val="en-US" w:eastAsia="zh-CN"/>
        </w:rPr>
        <w:t>至</w:t>
      </w:r>
      <w:r w:rsidRPr="00F46E5B">
        <w:rPr>
          <w:szCs w:val="24"/>
          <w:lang w:val="en-US" w:eastAsia="zh-CN"/>
        </w:rPr>
        <w:t>23</w:t>
      </w:r>
      <w:r w:rsidR="00C32B40" w:rsidRPr="00C32B40">
        <w:rPr>
          <w:rFonts w:hint="eastAsia"/>
          <w:szCs w:val="24"/>
          <w:lang w:val="en-US" w:eastAsia="zh-CN"/>
        </w:rPr>
        <w:t>日</w:t>
      </w:r>
      <w:r w:rsidR="00C53B73">
        <w:rPr>
          <w:rFonts w:hint="eastAsia"/>
          <w:szCs w:val="24"/>
          <w:lang w:val="en-US" w:eastAsia="zh-CN"/>
        </w:rPr>
        <w:t>举行</w:t>
      </w:r>
      <w:r>
        <w:rPr>
          <w:rFonts w:hint="eastAsia"/>
          <w:szCs w:val="24"/>
          <w:lang w:val="en-US" w:eastAsia="zh-CN"/>
        </w:rPr>
        <w:t>。</w:t>
      </w:r>
    </w:p>
    <w:p w14:paraId="005A99E5" w14:textId="0243829F" w:rsidR="001A6F82" w:rsidRDefault="00A27D61" w:rsidP="00EE1FBD">
      <w:pPr>
        <w:overflowPunct/>
        <w:autoSpaceDE/>
        <w:adjustRightInd/>
        <w:ind w:firstLineChars="200" w:firstLine="480"/>
        <w:jc w:val="both"/>
        <w:rPr>
          <w:szCs w:val="24"/>
          <w:lang w:val="en-US" w:eastAsia="zh-CN"/>
        </w:rPr>
      </w:pPr>
      <w:bookmarkStart w:id="9" w:name="lt_pId028"/>
      <w:r w:rsidRPr="00A27D61">
        <w:rPr>
          <w:rFonts w:hint="eastAsia"/>
          <w:szCs w:val="24"/>
          <w:lang w:val="en-US" w:eastAsia="zh-CN"/>
        </w:rPr>
        <w:t>电信发展局</w:t>
      </w:r>
      <w:r>
        <w:rPr>
          <w:rFonts w:hint="eastAsia"/>
          <w:szCs w:val="24"/>
          <w:lang w:val="en-US" w:eastAsia="zh-CN"/>
        </w:rPr>
        <w:t>（</w:t>
      </w:r>
      <w:r w:rsidRPr="00F46E5B">
        <w:rPr>
          <w:szCs w:val="24"/>
          <w:lang w:val="en-US" w:eastAsia="zh-CN"/>
        </w:rPr>
        <w:t>BDT</w:t>
      </w:r>
      <w:r>
        <w:rPr>
          <w:rFonts w:hint="eastAsia"/>
          <w:szCs w:val="24"/>
          <w:lang w:val="en-US" w:eastAsia="zh-CN"/>
        </w:rPr>
        <w:t>）</w:t>
      </w:r>
      <w:r w:rsidR="001A6F82" w:rsidRPr="001A6F82">
        <w:rPr>
          <w:rFonts w:hint="eastAsia"/>
          <w:szCs w:val="24"/>
          <w:lang w:val="en-US" w:eastAsia="zh-CN"/>
        </w:rPr>
        <w:t>提交了</w:t>
      </w:r>
      <w:r w:rsidR="00C53B73">
        <w:rPr>
          <w:rFonts w:hint="eastAsia"/>
          <w:szCs w:val="24"/>
          <w:lang w:val="en-US" w:eastAsia="zh-CN"/>
        </w:rPr>
        <w:t>一份</w:t>
      </w:r>
      <w:r w:rsidR="001A6F82" w:rsidRPr="001A6F82">
        <w:rPr>
          <w:rFonts w:hint="eastAsia"/>
          <w:szCs w:val="24"/>
          <w:lang w:val="en-US" w:eastAsia="zh-CN"/>
        </w:rPr>
        <w:t>题为</w:t>
      </w:r>
      <w:r w:rsidRPr="00A27D61">
        <w:rPr>
          <w:rFonts w:ascii="STKaiti" w:eastAsia="STKaiti" w:hAnsi="STKaiti" w:hint="eastAsia"/>
          <w:szCs w:val="24"/>
          <w:lang w:val="en-US" w:eastAsia="zh-CN"/>
        </w:rPr>
        <w:t>“</w:t>
      </w:r>
      <w:r w:rsidRPr="006B72FD">
        <w:rPr>
          <w:rFonts w:asciiTheme="minorHAnsi" w:eastAsia="STKaiti" w:hAnsiTheme="minorHAnsi" w:cstheme="minorHAnsi"/>
          <w:bCs/>
          <w:lang w:eastAsia="zh-CN"/>
        </w:rPr>
        <w:t>WTDC-22</w:t>
      </w:r>
      <w:r w:rsidRPr="006B72FD">
        <w:rPr>
          <w:rFonts w:asciiTheme="minorHAnsi" w:eastAsia="STKaiti" w:hAnsiTheme="minorHAnsi" w:cstheme="minorHAnsi"/>
          <w:bCs/>
          <w:lang w:eastAsia="zh-CN"/>
        </w:rPr>
        <w:t>批准的区域性举措</w:t>
      </w:r>
      <w:r w:rsidRPr="006B72FD">
        <w:rPr>
          <w:rFonts w:asciiTheme="minorHAnsi" w:eastAsia="STKaiti" w:hAnsiTheme="minorHAnsi" w:cstheme="minorHAnsi"/>
          <w:bCs/>
          <w:lang w:val="en-US" w:eastAsia="zh-CN"/>
        </w:rPr>
        <w:t>的财务影响</w:t>
      </w:r>
      <w:r w:rsidRPr="00A27D61">
        <w:rPr>
          <w:rFonts w:ascii="STKaiti" w:eastAsia="STKaiti" w:hAnsi="STKaiti" w:hint="eastAsia"/>
          <w:szCs w:val="24"/>
          <w:lang w:val="en-US" w:eastAsia="zh-CN"/>
        </w:rPr>
        <w:t>”</w:t>
      </w:r>
      <w:r>
        <w:rPr>
          <w:rFonts w:hint="eastAsia"/>
          <w:szCs w:val="24"/>
          <w:lang w:val="en-US" w:eastAsia="zh-CN"/>
        </w:rPr>
        <w:t>的文稿</w:t>
      </w:r>
      <w:r w:rsidR="00C53B73">
        <w:rPr>
          <w:rFonts w:hint="eastAsia"/>
          <w:szCs w:val="24"/>
          <w:lang w:val="en-US" w:eastAsia="zh-CN"/>
        </w:rPr>
        <w:t>（</w:t>
      </w:r>
      <w:r w:rsidR="00376B87">
        <w:fldChar w:fldCharType="begin"/>
      </w:r>
      <w:r w:rsidR="00376B87">
        <w:instrText>HYPERLINK "https://www.itu.int/md/D22-TDAG30-C-0025/en"</w:instrText>
      </w:r>
      <w:r w:rsidR="00376B87">
        <w:fldChar w:fldCharType="separate"/>
      </w:r>
      <w:r w:rsidR="00C53B73" w:rsidRPr="00F46E5B">
        <w:rPr>
          <w:rStyle w:val="Hyperlink"/>
          <w:szCs w:val="24"/>
          <w:lang w:val="en-US" w:eastAsia="zh-CN"/>
        </w:rPr>
        <w:t>2</w:t>
      </w:r>
      <w:r w:rsidR="00C53B73">
        <w:rPr>
          <w:rStyle w:val="Hyperlink"/>
          <w:szCs w:val="24"/>
          <w:lang w:val="en-US" w:eastAsia="zh-CN"/>
        </w:rPr>
        <w:t>5</w:t>
      </w:r>
      <w:r w:rsidR="00C53B73">
        <w:rPr>
          <w:rStyle w:val="Hyperlink"/>
          <w:rFonts w:hint="eastAsia"/>
          <w:szCs w:val="24"/>
          <w:lang w:val="en-US" w:eastAsia="zh-CN"/>
        </w:rPr>
        <w:t>号文件</w:t>
      </w:r>
      <w:r w:rsidR="00376B87">
        <w:rPr>
          <w:rStyle w:val="Hyperlink"/>
          <w:szCs w:val="24"/>
          <w:lang w:val="en-US" w:eastAsia="zh-CN"/>
        </w:rPr>
        <w:fldChar w:fldCharType="end"/>
      </w:r>
      <w:r w:rsidR="00C53B73">
        <w:rPr>
          <w:rFonts w:hint="eastAsia"/>
          <w:szCs w:val="24"/>
          <w:lang w:val="en-US" w:eastAsia="zh-CN"/>
        </w:rPr>
        <w:t>）</w:t>
      </w:r>
      <w:r>
        <w:rPr>
          <w:rFonts w:hint="eastAsia"/>
          <w:szCs w:val="24"/>
          <w:lang w:val="en-US" w:eastAsia="zh-CN"/>
        </w:rPr>
        <w:t>，其中</w:t>
      </w:r>
      <w:r w:rsidR="00162F28" w:rsidRPr="00162F28">
        <w:rPr>
          <w:rFonts w:hint="eastAsia"/>
          <w:szCs w:val="24"/>
          <w:lang w:val="en-US" w:eastAsia="zh-CN"/>
        </w:rPr>
        <w:t>电信发展局</w:t>
      </w:r>
      <w:r>
        <w:rPr>
          <w:rFonts w:hint="eastAsia"/>
          <w:szCs w:val="24"/>
          <w:lang w:val="en-US" w:eastAsia="zh-CN"/>
        </w:rPr>
        <w:t>提出</w:t>
      </w:r>
      <w:r w:rsidR="00C53B73">
        <w:rPr>
          <w:rFonts w:hint="eastAsia"/>
          <w:szCs w:val="24"/>
          <w:lang w:val="en-US" w:eastAsia="zh-CN"/>
        </w:rPr>
        <w:t>了</w:t>
      </w:r>
      <w:r w:rsidRPr="001A6F82">
        <w:rPr>
          <w:rFonts w:hint="eastAsia"/>
          <w:szCs w:val="24"/>
          <w:lang w:val="en-US" w:eastAsia="zh-CN"/>
        </w:rPr>
        <w:t>以下要求</w:t>
      </w:r>
      <w:r>
        <w:rPr>
          <w:rFonts w:hint="eastAsia"/>
          <w:szCs w:val="24"/>
          <w:lang w:val="en-US" w:eastAsia="zh-CN"/>
        </w:rPr>
        <w:t>：“在</w:t>
      </w:r>
      <w:r>
        <w:rPr>
          <w:szCs w:val="24"/>
          <w:lang w:val="en-US" w:eastAsia="zh-CN"/>
        </w:rPr>
        <w:t>2024-2027</w:t>
      </w:r>
      <w:r>
        <w:rPr>
          <w:rFonts w:hint="eastAsia"/>
          <w:szCs w:val="24"/>
          <w:lang w:val="en-US" w:eastAsia="zh-CN"/>
        </w:rPr>
        <w:t>年预算批准过程中，</w:t>
      </w:r>
      <w:r w:rsidR="00162F28" w:rsidRPr="00162F28">
        <w:rPr>
          <w:rFonts w:hint="eastAsia"/>
          <w:szCs w:val="24"/>
          <w:lang w:val="en-US" w:eastAsia="zh-CN"/>
        </w:rPr>
        <w:t>电信发展局</w:t>
      </w:r>
      <w:r>
        <w:rPr>
          <w:rFonts w:hint="eastAsia"/>
          <w:szCs w:val="24"/>
          <w:lang w:val="en-US" w:eastAsia="zh-CN"/>
        </w:rPr>
        <w:t>提请理事会考虑分配专项财务资源，用于实施</w:t>
      </w:r>
      <w:r>
        <w:rPr>
          <w:szCs w:val="24"/>
          <w:lang w:val="en-US" w:eastAsia="zh-CN"/>
        </w:rPr>
        <w:t>WTDC-22</w:t>
      </w:r>
      <w:r>
        <w:rPr>
          <w:rFonts w:hint="eastAsia"/>
          <w:szCs w:val="24"/>
          <w:lang w:val="en-US" w:eastAsia="zh-CN"/>
        </w:rPr>
        <w:t>为所有六个区域通过的区域性举措”，并告知</w:t>
      </w:r>
      <w:r w:rsidRPr="001A6F82">
        <w:rPr>
          <w:rFonts w:hint="eastAsia"/>
          <w:szCs w:val="24"/>
          <w:lang w:val="en-US" w:eastAsia="zh-CN"/>
        </w:rPr>
        <w:t>TDAG</w:t>
      </w:r>
      <w:r>
        <w:rPr>
          <w:rFonts w:hint="eastAsia"/>
          <w:szCs w:val="24"/>
          <w:lang w:val="en-US" w:eastAsia="zh-CN"/>
        </w:rPr>
        <w:t>，</w:t>
      </w:r>
      <w:r w:rsidRPr="001A6F82">
        <w:rPr>
          <w:rFonts w:hint="eastAsia"/>
          <w:szCs w:val="24"/>
          <w:lang w:val="en-US" w:eastAsia="zh-CN"/>
        </w:rPr>
        <w:t>秘书处向理事会提交了关于</w:t>
      </w:r>
      <w:r w:rsidRPr="001A6F82">
        <w:rPr>
          <w:szCs w:val="24"/>
          <w:lang w:val="en-US" w:eastAsia="zh-CN"/>
        </w:rPr>
        <w:t>WTDC-22</w:t>
      </w:r>
      <w:r w:rsidRPr="001A6F82">
        <w:rPr>
          <w:rFonts w:hint="eastAsia"/>
          <w:szCs w:val="24"/>
          <w:lang w:val="en-US" w:eastAsia="zh-CN"/>
        </w:rPr>
        <w:t>区域</w:t>
      </w:r>
      <w:r w:rsidR="00C53B73">
        <w:rPr>
          <w:rFonts w:hint="eastAsia"/>
          <w:szCs w:val="24"/>
          <w:lang w:val="en-US" w:eastAsia="zh-CN"/>
        </w:rPr>
        <w:t>性</w:t>
      </w:r>
      <w:r w:rsidRPr="001A6F82">
        <w:rPr>
          <w:rFonts w:hint="eastAsia"/>
          <w:szCs w:val="24"/>
          <w:lang w:val="en-US" w:eastAsia="zh-CN"/>
        </w:rPr>
        <w:t>举措融资</w:t>
      </w:r>
      <w:r w:rsidR="00EE1FBD">
        <w:rPr>
          <w:rFonts w:hint="eastAsia"/>
          <w:szCs w:val="24"/>
          <w:lang w:val="en-US" w:eastAsia="zh-CN"/>
        </w:rPr>
        <w:t>问题</w:t>
      </w:r>
      <w:r w:rsidRPr="001A6F82">
        <w:rPr>
          <w:rFonts w:hint="eastAsia"/>
          <w:szCs w:val="24"/>
          <w:lang w:val="en-US" w:eastAsia="zh-CN"/>
        </w:rPr>
        <w:t>的</w:t>
      </w:r>
      <w:r w:rsidRPr="001A6F82">
        <w:rPr>
          <w:szCs w:val="24"/>
          <w:lang w:val="en-US" w:eastAsia="zh-CN"/>
        </w:rPr>
        <w:t>26</w:t>
      </w:r>
      <w:r w:rsidRPr="001A6F82">
        <w:rPr>
          <w:rFonts w:hint="eastAsia"/>
          <w:szCs w:val="24"/>
          <w:lang w:val="en-US" w:eastAsia="zh-CN"/>
        </w:rPr>
        <w:t>号文件</w:t>
      </w:r>
      <w:r>
        <w:rPr>
          <w:rFonts w:hint="eastAsia"/>
          <w:szCs w:val="24"/>
          <w:lang w:val="en-US" w:eastAsia="zh-CN"/>
        </w:rPr>
        <w:t>，</w:t>
      </w:r>
      <w:r w:rsidR="00C53B73">
        <w:rPr>
          <w:rFonts w:hint="eastAsia"/>
          <w:szCs w:val="24"/>
          <w:lang w:val="en-US" w:eastAsia="zh-CN"/>
        </w:rPr>
        <w:t>如同</w:t>
      </w:r>
      <w:r w:rsidRPr="001A6F82">
        <w:rPr>
          <w:szCs w:val="24"/>
          <w:lang w:val="en-US" w:eastAsia="zh-CN"/>
        </w:rPr>
        <w:t>2018</w:t>
      </w:r>
      <w:r w:rsidR="00C53B73">
        <w:rPr>
          <w:rFonts w:hint="eastAsia"/>
          <w:szCs w:val="24"/>
          <w:lang w:val="en-US" w:eastAsia="zh-CN"/>
        </w:rPr>
        <w:t>年</w:t>
      </w:r>
      <w:r w:rsidRPr="001A6F82">
        <w:rPr>
          <w:rFonts w:hint="eastAsia"/>
          <w:szCs w:val="24"/>
          <w:lang w:val="en-US" w:eastAsia="zh-CN"/>
        </w:rPr>
        <w:t>为实施</w:t>
      </w:r>
      <w:r w:rsidRPr="001A6F82">
        <w:rPr>
          <w:szCs w:val="24"/>
          <w:lang w:val="en-US" w:eastAsia="zh-CN"/>
        </w:rPr>
        <w:t>WTDC-2017</w:t>
      </w:r>
      <w:r w:rsidRPr="001A6F82">
        <w:rPr>
          <w:rFonts w:hint="eastAsia"/>
          <w:szCs w:val="24"/>
          <w:lang w:val="en-US" w:eastAsia="zh-CN"/>
        </w:rPr>
        <w:t>区域</w:t>
      </w:r>
      <w:r>
        <w:rPr>
          <w:rFonts w:hint="eastAsia"/>
          <w:szCs w:val="24"/>
          <w:lang w:val="en-US" w:eastAsia="zh-CN"/>
        </w:rPr>
        <w:t>性</w:t>
      </w:r>
      <w:r w:rsidRPr="001A6F82">
        <w:rPr>
          <w:rFonts w:hint="eastAsia"/>
          <w:szCs w:val="24"/>
          <w:lang w:val="en-US" w:eastAsia="zh-CN"/>
        </w:rPr>
        <w:t>举措</w:t>
      </w:r>
      <w:r>
        <w:rPr>
          <w:rFonts w:hint="eastAsia"/>
          <w:szCs w:val="24"/>
          <w:lang w:val="en-US" w:eastAsia="zh-CN"/>
        </w:rPr>
        <w:t>分配</w:t>
      </w:r>
      <w:r w:rsidRPr="001A6F82">
        <w:rPr>
          <w:rFonts w:hint="eastAsia"/>
          <w:szCs w:val="24"/>
          <w:lang w:val="en-US" w:eastAsia="zh-CN"/>
        </w:rPr>
        <w:t>预算的情况一样</w:t>
      </w:r>
      <w:r w:rsidR="001A6F82">
        <w:rPr>
          <w:rFonts w:hint="eastAsia"/>
          <w:szCs w:val="24"/>
          <w:lang w:val="en-US" w:eastAsia="zh-CN"/>
        </w:rPr>
        <w:t>。</w:t>
      </w:r>
    </w:p>
    <w:bookmarkEnd w:id="9"/>
    <w:p w14:paraId="00D87F2A" w14:textId="091B782A" w:rsidR="001A6F82" w:rsidRPr="00F46E5B" w:rsidRDefault="00EE1FBD" w:rsidP="001A6F82">
      <w:pPr>
        <w:overflowPunct/>
        <w:autoSpaceDE/>
        <w:adjustRightInd/>
        <w:ind w:firstLineChars="200" w:firstLine="480"/>
        <w:jc w:val="both"/>
        <w:rPr>
          <w:szCs w:val="24"/>
          <w:lang w:val="en-US" w:eastAsia="zh-CN"/>
        </w:rPr>
      </w:pPr>
      <w:r w:rsidRPr="00F46E5B">
        <w:rPr>
          <w:szCs w:val="24"/>
          <w:lang w:val="en-US" w:eastAsia="zh-CN"/>
        </w:rPr>
        <w:t>TDAG</w:t>
      </w:r>
      <w:r w:rsidR="001A6F82" w:rsidRPr="001A6F82">
        <w:rPr>
          <w:rFonts w:hint="eastAsia"/>
          <w:szCs w:val="24"/>
          <w:lang w:val="en-US" w:eastAsia="zh-CN"/>
        </w:rPr>
        <w:t>讨论了该文件</w:t>
      </w:r>
      <w:r>
        <w:rPr>
          <w:rFonts w:hint="eastAsia"/>
          <w:szCs w:val="24"/>
          <w:lang w:val="en-US" w:eastAsia="zh-CN"/>
        </w:rPr>
        <w:t>，</w:t>
      </w:r>
      <w:r w:rsidR="001A6F82" w:rsidRPr="001A6F82">
        <w:rPr>
          <w:rFonts w:hint="eastAsia"/>
          <w:szCs w:val="24"/>
          <w:lang w:val="en-US" w:eastAsia="zh-CN"/>
        </w:rPr>
        <w:t>与会者指出</w:t>
      </w:r>
      <w:r>
        <w:rPr>
          <w:rFonts w:hint="eastAsia"/>
          <w:szCs w:val="24"/>
          <w:lang w:val="en-US" w:eastAsia="zh-CN"/>
        </w:rPr>
        <w:t>有必要</w:t>
      </w:r>
      <w:r w:rsidR="00164FB1">
        <w:rPr>
          <w:rFonts w:hint="eastAsia"/>
          <w:szCs w:val="24"/>
          <w:lang w:val="en-US" w:eastAsia="zh-CN"/>
        </w:rPr>
        <w:t>增加拨款，</w:t>
      </w:r>
      <w:r w:rsidR="001A6F82" w:rsidRPr="001A6F82">
        <w:rPr>
          <w:rFonts w:hint="eastAsia"/>
          <w:szCs w:val="24"/>
          <w:lang w:val="en-US" w:eastAsia="zh-CN"/>
        </w:rPr>
        <w:t>并要求秘书处</w:t>
      </w:r>
      <w:r w:rsidR="00164FB1">
        <w:rPr>
          <w:rFonts w:hint="eastAsia"/>
          <w:szCs w:val="24"/>
          <w:lang w:val="en-US" w:eastAsia="zh-CN"/>
        </w:rPr>
        <w:t>提交</w:t>
      </w:r>
      <w:r>
        <w:rPr>
          <w:rFonts w:hint="eastAsia"/>
          <w:szCs w:val="24"/>
          <w:lang w:val="en-US" w:eastAsia="zh-CN"/>
        </w:rPr>
        <w:t>一份</w:t>
      </w:r>
      <w:r w:rsidR="001A6F82" w:rsidRPr="001A6F82">
        <w:rPr>
          <w:rFonts w:hint="eastAsia"/>
          <w:szCs w:val="24"/>
          <w:lang w:val="en-US" w:eastAsia="zh-CN"/>
        </w:rPr>
        <w:t>理事会</w:t>
      </w:r>
      <w:r w:rsidRPr="00F46E5B">
        <w:rPr>
          <w:szCs w:val="24"/>
          <w:lang w:val="en-US" w:eastAsia="zh-CN"/>
        </w:rPr>
        <w:t>26</w:t>
      </w:r>
      <w:r>
        <w:rPr>
          <w:rFonts w:hint="eastAsia"/>
          <w:szCs w:val="24"/>
          <w:lang w:val="en-US" w:eastAsia="zh-CN"/>
        </w:rPr>
        <w:t>号文件的</w:t>
      </w:r>
      <w:r w:rsidRPr="00EE1FBD">
        <w:rPr>
          <w:rFonts w:hint="eastAsia"/>
          <w:szCs w:val="24"/>
          <w:lang w:val="en-US" w:eastAsia="zh-CN"/>
        </w:rPr>
        <w:t>补遗</w:t>
      </w:r>
      <w:r>
        <w:rPr>
          <w:rFonts w:hint="eastAsia"/>
          <w:szCs w:val="24"/>
          <w:lang w:val="en-US" w:eastAsia="zh-CN"/>
        </w:rPr>
        <w:t>，说明</w:t>
      </w:r>
      <w:r w:rsidRPr="00F46E5B">
        <w:rPr>
          <w:szCs w:val="24"/>
          <w:lang w:val="en-US" w:eastAsia="zh-CN"/>
        </w:rPr>
        <w:t>TDAG</w:t>
      </w:r>
      <w:r w:rsidR="001A6F82" w:rsidRPr="001A6F82">
        <w:rPr>
          <w:rFonts w:hint="eastAsia"/>
          <w:szCs w:val="24"/>
          <w:lang w:val="en-US" w:eastAsia="zh-CN"/>
        </w:rPr>
        <w:t>的</w:t>
      </w:r>
      <w:r w:rsidR="00164FB1">
        <w:rPr>
          <w:rFonts w:hint="eastAsia"/>
          <w:szCs w:val="24"/>
          <w:lang w:val="en-US" w:eastAsia="zh-CN"/>
        </w:rPr>
        <w:t>意见</w:t>
      </w:r>
      <w:r w:rsidR="001A6F82" w:rsidRPr="001A6F82">
        <w:rPr>
          <w:rFonts w:hint="eastAsia"/>
          <w:szCs w:val="24"/>
          <w:lang w:val="en-US" w:eastAsia="zh-CN"/>
        </w:rPr>
        <w:t>。</w:t>
      </w:r>
    </w:p>
    <w:p w14:paraId="0C931393" w14:textId="08849994" w:rsidR="001A6F82" w:rsidRPr="00F46E5B" w:rsidRDefault="001A6F82" w:rsidP="001A6F82">
      <w:pPr>
        <w:overflowPunct/>
        <w:autoSpaceDE/>
        <w:adjustRightInd/>
        <w:ind w:firstLineChars="200" w:firstLine="480"/>
        <w:jc w:val="both"/>
        <w:rPr>
          <w:szCs w:val="24"/>
          <w:lang w:val="en-US" w:eastAsia="zh-CN"/>
        </w:rPr>
      </w:pPr>
      <w:r w:rsidRPr="001A6F82">
        <w:rPr>
          <w:rFonts w:hint="eastAsia"/>
          <w:szCs w:val="24"/>
          <w:lang w:val="en-US" w:eastAsia="zh-CN"/>
        </w:rPr>
        <w:t>本</w:t>
      </w:r>
      <w:r w:rsidR="00EE1FBD" w:rsidRPr="00EE1FBD">
        <w:rPr>
          <w:rFonts w:hint="eastAsia"/>
          <w:szCs w:val="24"/>
          <w:lang w:val="en-US" w:eastAsia="zh-CN"/>
        </w:rPr>
        <w:t>补遗</w:t>
      </w:r>
      <w:r w:rsidRPr="001A6F82">
        <w:rPr>
          <w:rFonts w:hint="eastAsia"/>
          <w:szCs w:val="24"/>
          <w:lang w:val="en-US" w:eastAsia="zh-CN"/>
        </w:rPr>
        <w:t>旨在根据理事会</w:t>
      </w:r>
      <w:r w:rsidR="00EE1FBD" w:rsidRPr="00F46E5B">
        <w:rPr>
          <w:szCs w:val="24"/>
          <w:lang w:val="en-US" w:eastAsia="zh-CN"/>
        </w:rPr>
        <w:t>26</w:t>
      </w:r>
      <w:r w:rsidR="00164FB1">
        <w:rPr>
          <w:rFonts w:hint="eastAsia"/>
          <w:szCs w:val="24"/>
          <w:lang w:val="en-US" w:eastAsia="zh-CN"/>
        </w:rPr>
        <w:t>号</w:t>
      </w:r>
      <w:r w:rsidRPr="001A6F82">
        <w:rPr>
          <w:rFonts w:hint="eastAsia"/>
          <w:szCs w:val="24"/>
          <w:lang w:val="en-US" w:eastAsia="zh-CN"/>
        </w:rPr>
        <w:t>文件提交后举行的</w:t>
      </w:r>
      <w:r w:rsidR="00EE1FBD" w:rsidRPr="00D17D67">
        <w:rPr>
          <w:szCs w:val="24"/>
          <w:lang w:val="en-US" w:eastAsia="zh-CN"/>
        </w:rPr>
        <w:t>TDAG</w:t>
      </w:r>
      <w:r w:rsidRPr="00D17D67">
        <w:rPr>
          <w:rFonts w:hint="eastAsia"/>
          <w:szCs w:val="24"/>
          <w:lang w:val="en-US" w:eastAsia="zh-CN"/>
        </w:rPr>
        <w:t>会议上</w:t>
      </w:r>
      <w:r w:rsidR="00164FB1" w:rsidRPr="00D17D67">
        <w:rPr>
          <w:rFonts w:hint="eastAsia"/>
          <w:szCs w:val="24"/>
          <w:lang w:val="en-US" w:eastAsia="zh-CN"/>
        </w:rPr>
        <w:t>进行</w:t>
      </w:r>
      <w:r w:rsidRPr="00D17D67">
        <w:rPr>
          <w:rFonts w:hint="eastAsia"/>
          <w:szCs w:val="24"/>
          <w:lang w:val="en-US" w:eastAsia="zh-CN"/>
        </w:rPr>
        <w:t>的讨论提供</w:t>
      </w:r>
      <w:r w:rsidR="00164FB1" w:rsidRPr="00D17D67">
        <w:rPr>
          <w:rFonts w:hint="eastAsia"/>
          <w:szCs w:val="24"/>
          <w:lang w:val="en-US" w:eastAsia="zh-CN"/>
        </w:rPr>
        <w:t>这一</w:t>
      </w:r>
      <w:r w:rsidR="00EE1FBD" w:rsidRPr="00D17D67">
        <w:rPr>
          <w:rFonts w:hint="eastAsia"/>
          <w:szCs w:val="24"/>
          <w:lang w:val="en-US" w:eastAsia="zh-CN"/>
        </w:rPr>
        <w:t>补充</w:t>
      </w:r>
      <w:r w:rsidRPr="00D17D67">
        <w:rPr>
          <w:rFonts w:hint="eastAsia"/>
          <w:szCs w:val="24"/>
          <w:lang w:val="en-US" w:eastAsia="zh-CN"/>
        </w:rPr>
        <w:t>信息</w:t>
      </w:r>
      <w:r w:rsidR="00EE1FBD">
        <w:rPr>
          <w:rFonts w:hint="eastAsia"/>
          <w:szCs w:val="24"/>
          <w:lang w:val="en-US" w:eastAsia="zh-CN"/>
        </w:rPr>
        <w:t>。</w:t>
      </w:r>
    </w:p>
    <w:p w14:paraId="0162B36B" w14:textId="136924C4" w:rsidR="001A6F82" w:rsidRPr="00F44136" w:rsidRDefault="00164FB1" w:rsidP="001A6F82">
      <w:pPr>
        <w:overflowPunct/>
        <w:autoSpaceDE/>
        <w:adjustRightInd/>
        <w:ind w:firstLineChars="200" w:firstLine="480"/>
        <w:jc w:val="both"/>
        <w:rPr>
          <w:i/>
          <w:iCs/>
          <w:szCs w:val="24"/>
          <w:lang w:val="en-US" w:eastAsia="zh-CN"/>
        </w:rPr>
      </w:pPr>
      <w:r>
        <w:rPr>
          <w:szCs w:val="24"/>
          <w:lang w:val="en-US" w:eastAsia="zh-CN"/>
        </w:rPr>
        <w:t>TDAG</w:t>
      </w:r>
      <w:r w:rsidR="001A6F82" w:rsidRPr="001A6F82">
        <w:rPr>
          <w:rFonts w:hint="eastAsia"/>
          <w:szCs w:val="24"/>
          <w:lang w:val="en-US" w:eastAsia="zh-CN"/>
        </w:rPr>
        <w:t>在得出结论时考虑了以下</w:t>
      </w:r>
      <w:r>
        <w:rPr>
          <w:rFonts w:hint="eastAsia"/>
          <w:szCs w:val="24"/>
          <w:lang w:val="en-US" w:eastAsia="zh-CN"/>
        </w:rPr>
        <w:t>几点</w:t>
      </w:r>
      <w:r w:rsidR="00EE1FBD">
        <w:rPr>
          <w:rFonts w:hint="eastAsia"/>
          <w:szCs w:val="24"/>
          <w:lang w:val="en-US" w:eastAsia="zh-CN"/>
        </w:rPr>
        <w:t>：</w:t>
      </w:r>
    </w:p>
    <w:p w14:paraId="63D7F797" w14:textId="78942706" w:rsidR="001A6F82" w:rsidRPr="000271E9" w:rsidRDefault="00EF6649" w:rsidP="000271E9">
      <w:pPr>
        <w:pStyle w:val="Heading1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  <w:lang w:val="en-US" w:eastAsia="zh-CN"/>
        </w:rPr>
        <w:tab/>
      </w:r>
      <w:r w:rsidR="00EE1FBD" w:rsidRPr="000271E9">
        <w:rPr>
          <w:rFonts w:hint="eastAsia"/>
          <w:sz w:val="24"/>
          <w:szCs w:val="24"/>
          <w:lang w:val="en-US" w:eastAsia="zh-CN"/>
        </w:rPr>
        <w:t>说明</w:t>
      </w:r>
    </w:p>
    <w:p w14:paraId="6F423BE9" w14:textId="4EF3CB2F" w:rsidR="001A6F82" w:rsidRDefault="001A6F82" w:rsidP="001A6F82">
      <w:pPr>
        <w:overflowPunct/>
        <w:autoSpaceDE/>
        <w:adjustRightInd/>
        <w:ind w:firstLineChars="200" w:firstLine="480"/>
        <w:jc w:val="both"/>
        <w:rPr>
          <w:szCs w:val="24"/>
          <w:lang w:val="en-US" w:eastAsia="zh-CN"/>
        </w:rPr>
      </w:pPr>
      <w:r w:rsidRPr="001A6F82">
        <w:rPr>
          <w:rFonts w:hint="eastAsia"/>
          <w:szCs w:val="24"/>
          <w:lang w:val="en-US" w:eastAsia="zh-CN"/>
        </w:rPr>
        <w:t>上一周期</w:t>
      </w:r>
      <w:r w:rsidR="00162F28">
        <w:rPr>
          <w:rFonts w:hint="eastAsia"/>
          <w:szCs w:val="24"/>
          <w:lang w:val="en-US" w:eastAsia="zh-CN"/>
        </w:rPr>
        <w:t>拨出</w:t>
      </w:r>
      <w:r w:rsidR="00162F28" w:rsidRPr="001A6F82">
        <w:rPr>
          <w:rFonts w:hint="eastAsia"/>
          <w:szCs w:val="24"/>
          <w:lang w:val="en-US" w:eastAsia="zh-CN"/>
        </w:rPr>
        <w:t>500</w:t>
      </w:r>
      <w:proofErr w:type="gramStart"/>
      <w:r w:rsidR="00162F28" w:rsidRPr="001A6F82">
        <w:rPr>
          <w:rFonts w:hint="eastAsia"/>
          <w:szCs w:val="24"/>
          <w:lang w:val="en-US" w:eastAsia="zh-CN"/>
        </w:rPr>
        <w:t>万瑞</w:t>
      </w:r>
      <w:proofErr w:type="gramEnd"/>
      <w:r w:rsidR="00162F28" w:rsidRPr="001A6F82">
        <w:rPr>
          <w:rFonts w:hint="eastAsia"/>
          <w:szCs w:val="24"/>
          <w:lang w:val="en-US" w:eastAsia="zh-CN"/>
        </w:rPr>
        <w:t>郎</w:t>
      </w:r>
      <w:r w:rsidR="00162F28">
        <w:rPr>
          <w:rFonts w:hint="eastAsia"/>
          <w:szCs w:val="24"/>
          <w:lang w:val="en-US" w:eastAsia="zh-CN"/>
        </w:rPr>
        <w:t>，使</w:t>
      </w:r>
      <w:r w:rsidR="00162F28" w:rsidRPr="00F44136">
        <w:rPr>
          <w:szCs w:val="24"/>
          <w:lang w:val="en-US" w:eastAsia="zh-CN"/>
        </w:rPr>
        <w:t>WTDC-17</w:t>
      </w:r>
      <w:r w:rsidR="00162F28">
        <w:rPr>
          <w:rFonts w:hint="eastAsia"/>
          <w:szCs w:val="24"/>
          <w:lang w:val="en-US" w:eastAsia="zh-CN"/>
        </w:rPr>
        <w:t>批准的</w:t>
      </w:r>
      <w:r w:rsidR="00162F28" w:rsidRPr="001A6F82">
        <w:rPr>
          <w:rFonts w:hint="eastAsia"/>
          <w:szCs w:val="24"/>
          <w:lang w:val="en-US" w:eastAsia="zh-CN"/>
        </w:rPr>
        <w:t>区域</w:t>
      </w:r>
      <w:r w:rsidR="00162F28">
        <w:rPr>
          <w:rFonts w:hint="eastAsia"/>
          <w:szCs w:val="24"/>
          <w:lang w:val="en-US" w:eastAsia="zh-CN"/>
        </w:rPr>
        <w:t>性</w:t>
      </w:r>
      <w:r w:rsidR="00162F28" w:rsidRPr="001A6F82">
        <w:rPr>
          <w:rFonts w:hint="eastAsia"/>
          <w:szCs w:val="24"/>
          <w:lang w:val="en-US" w:eastAsia="zh-CN"/>
        </w:rPr>
        <w:t>举措下</w:t>
      </w:r>
      <w:r w:rsidR="00162F28">
        <w:rPr>
          <w:rFonts w:hint="eastAsia"/>
          <w:szCs w:val="24"/>
          <w:lang w:val="en-US" w:eastAsia="zh-CN"/>
        </w:rPr>
        <w:t>的</w:t>
      </w:r>
      <w:r w:rsidR="00162F28" w:rsidRPr="00F44136">
        <w:rPr>
          <w:szCs w:val="24"/>
          <w:lang w:val="en-US" w:eastAsia="zh-CN"/>
        </w:rPr>
        <w:t>37</w:t>
      </w:r>
      <w:r w:rsidR="00162F28" w:rsidRPr="001A6F82">
        <w:rPr>
          <w:rFonts w:hint="eastAsia"/>
          <w:szCs w:val="24"/>
          <w:lang w:val="en-US" w:eastAsia="zh-CN"/>
        </w:rPr>
        <w:t>个项目得以实施</w:t>
      </w:r>
      <w:r w:rsidR="00162F28">
        <w:rPr>
          <w:rFonts w:hint="eastAsia"/>
          <w:szCs w:val="24"/>
          <w:lang w:val="en-US" w:eastAsia="zh-CN"/>
        </w:rPr>
        <w:t>，继这一成功后，</w:t>
      </w:r>
      <w:r w:rsidR="00162F28" w:rsidRPr="00F44136">
        <w:rPr>
          <w:szCs w:val="24"/>
          <w:lang w:val="en-US" w:eastAsia="zh-CN"/>
        </w:rPr>
        <w:t>WTDC-22</w:t>
      </w:r>
      <w:r w:rsidRPr="001A6F82">
        <w:rPr>
          <w:rFonts w:hint="eastAsia"/>
          <w:szCs w:val="24"/>
          <w:lang w:val="en-US" w:eastAsia="zh-CN"/>
        </w:rPr>
        <w:t>区域</w:t>
      </w:r>
      <w:r w:rsidR="00162F28">
        <w:rPr>
          <w:rFonts w:hint="eastAsia"/>
          <w:szCs w:val="24"/>
          <w:lang w:val="en-US" w:eastAsia="zh-CN"/>
        </w:rPr>
        <w:t>性</w:t>
      </w:r>
      <w:r w:rsidRPr="001A6F82">
        <w:rPr>
          <w:rFonts w:hint="eastAsia"/>
          <w:szCs w:val="24"/>
          <w:lang w:val="en-US" w:eastAsia="zh-CN"/>
        </w:rPr>
        <w:t>举措</w:t>
      </w:r>
      <w:r w:rsidR="00164FB1">
        <w:rPr>
          <w:rFonts w:hint="eastAsia"/>
          <w:szCs w:val="24"/>
          <w:lang w:val="en-US" w:eastAsia="zh-CN"/>
        </w:rPr>
        <w:t>的</w:t>
      </w:r>
      <w:r w:rsidR="00164FB1" w:rsidRPr="001A6F82">
        <w:rPr>
          <w:rFonts w:hint="eastAsia"/>
          <w:szCs w:val="24"/>
          <w:lang w:val="en-US" w:eastAsia="zh-CN"/>
        </w:rPr>
        <w:t>实施</w:t>
      </w:r>
      <w:r w:rsidRPr="001A6F82">
        <w:rPr>
          <w:rFonts w:hint="eastAsia"/>
          <w:szCs w:val="24"/>
          <w:lang w:val="en-US" w:eastAsia="zh-CN"/>
        </w:rPr>
        <w:t>需要</w:t>
      </w:r>
      <w:r w:rsidR="00164FB1">
        <w:rPr>
          <w:rFonts w:hint="eastAsia"/>
          <w:szCs w:val="24"/>
          <w:lang w:val="en-US" w:eastAsia="zh-CN"/>
        </w:rPr>
        <w:t>更多</w:t>
      </w:r>
      <w:r w:rsidRPr="001A6F82">
        <w:rPr>
          <w:rFonts w:hint="eastAsia"/>
          <w:szCs w:val="24"/>
          <w:lang w:val="en-US" w:eastAsia="zh-CN"/>
        </w:rPr>
        <w:t>资源</w:t>
      </w:r>
      <w:r w:rsidR="00162F28">
        <w:rPr>
          <w:rFonts w:hint="eastAsia"/>
          <w:szCs w:val="24"/>
          <w:lang w:val="en-US" w:eastAsia="zh-CN"/>
        </w:rPr>
        <w:t>。</w:t>
      </w:r>
      <w:r w:rsidRPr="001A6F82">
        <w:rPr>
          <w:rFonts w:hint="eastAsia"/>
          <w:szCs w:val="24"/>
          <w:lang w:val="en-US" w:eastAsia="zh-CN"/>
        </w:rPr>
        <w:t>有关这些项目的详细信息</w:t>
      </w:r>
      <w:r w:rsidR="005D5959">
        <w:rPr>
          <w:rFonts w:hint="eastAsia"/>
          <w:szCs w:val="24"/>
          <w:lang w:val="en-US" w:eastAsia="zh-CN"/>
        </w:rPr>
        <w:t>请</w:t>
      </w:r>
      <w:r w:rsidRPr="001A6F82">
        <w:rPr>
          <w:rFonts w:hint="eastAsia"/>
          <w:szCs w:val="24"/>
          <w:lang w:val="en-US" w:eastAsia="zh-CN"/>
        </w:rPr>
        <w:t>参</w:t>
      </w:r>
      <w:r w:rsidR="005D5959">
        <w:rPr>
          <w:rFonts w:hint="eastAsia"/>
          <w:szCs w:val="24"/>
          <w:lang w:val="en-US" w:eastAsia="zh-CN"/>
        </w:rPr>
        <w:t>见</w:t>
      </w:r>
      <w:r w:rsidRPr="001A6F82">
        <w:rPr>
          <w:rFonts w:hint="eastAsia"/>
          <w:szCs w:val="24"/>
          <w:lang w:val="en-US" w:eastAsia="zh-CN"/>
        </w:rPr>
        <w:t>附件</w:t>
      </w:r>
      <w:r w:rsidRPr="001A6F82">
        <w:rPr>
          <w:rFonts w:hint="eastAsia"/>
          <w:szCs w:val="24"/>
          <w:lang w:val="en-US" w:eastAsia="zh-CN"/>
        </w:rPr>
        <w:t>1</w:t>
      </w:r>
      <w:r w:rsidR="00162F28">
        <w:rPr>
          <w:rFonts w:hint="eastAsia"/>
          <w:szCs w:val="24"/>
          <w:lang w:val="en-US" w:eastAsia="zh-CN"/>
        </w:rPr>
        <w:t>（</w:t>
      </w:r>
      <w:r w:rsidR="00162F28">
        <w:rPr>
          <w:rStyle w:val="ui-provider"/>
          <w:lang w:eastAsia="zh-CN"/>
        </w:rPr>
        <w:t>TDAG-23/25</w:t>
      </w:r>
      <w:r w:rsidR="00162F28">
        <w:rPr>
          <w:rFonts w:hint="eastAsia"/>
          <w:szCs w:val="24"/>
          <w:lang w:val="en-US" w:eastAsia="zh-CN"/>
        </w:rPr>
        <w:t>号文件），</w:t>
      </w:r>
      <w:r w:rsidRPr="001A6F82">
        <w:rPr>
          <w:rFonts w:hint="eastAsia"/>
          <w:szCs w:val="24"/>
          <w:lang w:val="en-US" w:eastAsia="zh-CN"/>
        </w:rPr>
        <w:t>可在</w:t>
      </w:r>
      <w:r w:rsidR="00162F28">
        <w:rPr>
          <w:rFonts w:hint="eastAsia"/>
          <w:szCs w:val="24"/>
          <w:lang w:val="en-US" w:eastAsia="zh-CN"/>
        </w:rPr>
        <w:t>以下网址获取：</w:t>
      </w:r>
      <w:r w:rsidR="00376B87">
        <w:fldChar w:fldCharType="begin"/>
      </w:r>
      <w:r w:rsidR="00376B87">
        <w:rPr>
          <w:lang w:eastAsia="zh-CN"/>
        </w:rPr>
        <w:instrText>HYPERLINK "https://www.itu.int/dms_pub/itu-d/md/22/tdag30/c/D22-TDAG30-C-0025!N1!MSW-E.docx"</w:instrText>
      </w:r>
      <w:r w:rsidR="00376B87">
        <w:fldChar w:fldCharType="separate"/>
      </w:r>
      <w:r w:rsidRPr="006166D0">
        <w:rPr>
          <w:rStyle w:val="Hyperlink"/>
          <w:szCs w:val="24"/>
          <w:lang w:val="en-US" w:eastAsia="zh-CN"/>
        </w:rPr>
        <w:t>https://www.itu.int/dms_pub/itu-d/md/22/tdag30/c/D22-TDAG30-C-0025!N1!MSW-E.docx</w:t>
      </w:r>
      <w:r w:rsidR="00376B87">
        <w:rPr>
          <w:rStyle w:val="Hyperlink"/>
          <w:szCs w:val="24"/>
          <w:lang w:val="en-US" w:eastAsia="zh-CN"/>
        </w:rPr>
        <w:fldChar w:fldCharType="end"/>
      </w:r>
    </w:p>
    <w:p w14:paraId="5B01549A" w14:textId="2ED49770" w:rsidR="001A6F82" w:rsidRPr="00F44136" w:rsidRDefault="00162F28" w:rsidP="001A6F82">
      <w:pPr>
        <w:overflowPunct/>
        <w:autoSpaceDE/>
        <w:adjustRightInd/>
        <w:ind w:firstLineChars="200" w:firstLine="480"/>
        <w:jc w:val="both"/>
        <w:rPr>
          <w:szCs w:val="24"/>
          <w:lang w:val="en-US" w:eastAsia="zh-CN"/>
        </w:rPr>
      </w:pPr>
      <w:r w:rsidRPr="00162F28">
        <w:rPr>
          <w:rFonts w:hint="eastAsia"/>
          <w:szCs w:val="24"/>
          <w:lang w:val="en-US" w:eastAsia="zh-CN"/>
        </w:rPr>
        <w:t>电信发展局</w:t>
      </w:r>
      <w:r w:rsidR="001A6F82" w:rsidRPr="001A6F82">
        <w:rPr>
          <w:rFonts w:hint="eastAsia"/>
          <w:szCs w:val="24"/>
          <w:lang w:val="en-US" w:eastAsia="zh-CN"/>
        </w:rPr>
        <w:t>利用理事会</w:t>
      </w:r>
      <w:r>
        <w:rPr>
          <w:rFonts w:hint="eastAsia"/>
          <w:szCs w:val="24"/>
          <w:lang w:val="en-US" w:eastAsia="zh-CN"/>
        </w:rPr>
        <w:t>划拨</w:t>
      </w:r>
      <w:r w:rsidR="001A6F82" w:rsidRPr="001A6F82">
        <w:rPr>
          <w:rFonts w:hint="eastAsia"/>
          <w:szCs w:val="24"/>
          <w:lang w:val="en-US" w:eastAsia="zh-CN"/>
        </w:rPr>
        <w:t>的</w:t>
      </w:r>
      <w:r w:rsidR="001A6F82" w:rsidRPr="001A6F82">
        <w:rPr>
          <w:rFonts w:hint="eastAsia"/>
          <w:szCs w:val="24"/>
          <w:lang w:val="en-US" w:eastAsia="zh-CN"/>
        </w:rPr>
        <w:t>500</w:t>
      </w:r>
      <w:proofErr w:type="gramStart"/>
      <w:r w:rsidR="001A6F82" w:rsidRPr="001A6F82">
        <w:rPr>
          <w:rFonts w:hint="eastAsia"/>
          <w:szCs w:val="24"/>
          <w:lang w:val="en-US" w:eastAsia="zh-CN"/>
        </w:rPr>
        <w:t>万瑞</w:t>
      </w:r>
      <w:proofErr w:type="gramEnd"/>
      <w:r w:rsidR="001A6F82" w:rsidRPr="001A6F82">
        <w:rPr>
          <w:rFonts w:hint="eastAsia"/>
          <w:szCs w:val="24"/>
          <w:lang w:val="en-US" w:eastAsia="zh-CN"/>
        </w:rPr>
        <w:t>郎作为种子资金</w:t>
      </w:r>
      <w:r>
        <w:rPr>
          <w:rFonts w:hint="eastAsia"/>
          <w:szCs w:val="24"/>
          <w:lang w:val="en-US" w:eastAsia="zh-CN"/>
        </w:rPr>
        <w:t>，</w:t>
      </w:r>
      <w:r w:rsidR="001A6F82" w:rsidRPr="001A6F82">
        <w:rPr>
          <w:rFonts w:hint="eastAsia"/>
          <w:szCs w:val="24"/>
          <w:lang w:val="en-US" w:eastAsia="zh-CN"/>
        </w:rPr>
        <w:t>成功从外部合作伙伴</w:t>
      </w:r>
      <w:r>
        <w:rPr>
          <w:rFonts w:hint="eastAsia"/>
          <w:szCs w:val="24"/>
          <w:lang w:val="en-US" w:eastAsia="zh-CN"/>
        </w:rPr>
        <w:t>处</w:t>
      </w:r>
      <w:r w:rsidR="00894B5D">
        <w:rPr>
          <w:rFonts w:hint="eastAsia"/>
          <w:szCs w:val="24"/>
          <w:lang w:val="en-US" w:eastAsia="zh-CN"/>
        </w:rPr>
        <w:t>筹措</w:t>
      </w:r>
      <w:r w:rsidR="001A6F82" w:rsidRPr="001A6F82">
        <w:rPr>
          <w:rFonts w:hint="eastAsia"/>
          <w:szCs w:val="24"/>
          <w:lang w:val="en-US" w:eastAsia="zh-CN"/>
        </w:rPr>
        <w:t>了价值</w:t>
      </w:r>
      <w:r w:rsidR="001A6F82" w:rsidRPr="001A6F82">
        <w:rPr>
          <w:rFonts w:hint="eastAsia"/>
          <w:szCs w:val="24"/>
          <w:lang w:val="en-US" w:eastAsia="zh-CN"/>
        </w:rPr>
        <w:t>850</w:t>
      </w:r>
      <w:proofErr w:type="gramStart"/>
      <w:r w:rsidR="001A6F82" w:rsidRPr="001A6F82">
        <w:rPr>
          <w:rFonts w:hint="eastAsia"/>
          <w:szCs w:val="24"/>
          <w:lang w:val="en-US" w:eastAsia="zh-CN"/>
        </w:rPr>
        <w:t>万瑞</w:t>
      </w:r>
      <w:proofErr w:type="gramEnd"/>
      <w:r w:rsidR="001A6F82" w:rsidRPr="001A6F82">
        <w:rPr>
          <w:rFonts w:hint="eastAsia"/>
          <w:szCs w:val="24"/>
          <w:lang w:val="en-US" w:eastAsia="zh-CN"/>
        </w:rPr>
        <w:t>郎的资源</w:t>
      </w:r>
      <w:r w:rsidR="005D5959">
        <w:rPr>
          <w:rFonts w:hint="eastAsia"/>
          <w:szCs w:val="24"/>
          <w:lang w:val="en-US" w:eastAsia="zh-CN"/>
        </w:rPr>
        <w:t>来</w:t>
      </w:r>
      <w:r w:rsidR="001A6F82" w:rsidRPr="001A6F82">
        <w:rPr>
          <w:rFonts w:hint="eastAsia"/>
          <w:szCs w:val="24"/>
          <w:lang w:val="en-US" w:eastAsia="zh-CN"/>
        </w:rPr>
        <w:t>共同资助</w:t>
      </w:r>
      <w:r>
        <w:rPr>
          <w:rFonts w:hint="eastAsia"/>
          <w:szCs w:val="24"/>
          <w:lang w:val="en-US" w:eastAsia="zh-CN"/>
        </w:rPr>
        <w:t>这些</w:t>
      </w:r>
      <w:r w:rsidR="001A6F82" w:rsidRPr="001A6F82">
        <w:rPr>
          <w:rFonts w:hint="eastAsia"/>
          <w:szCs w:val="24"/>
          <w:lang w:val="en-US" w:eastAsia="zh-CN"/>
        </w:rPr>
        <w:t>项目</w:t>
      </w:r>
      <w:r w:rsidR="005D5959">
        <w:rPr>
          <w:rFonts w:hint="eastAsia"/>
          <w:szCs w:val="24"/>
          <w:lang w:val="en-US" w:eastAsia="zh-CN"/>
        </w:rPr>
        <w:t>。</w:t>
      </w:r>
    </w:p>
    <w:p w14:paraId="5D1774A1" w14:textId="1729AFF3" w:rsidR="001A6F82" w:rsidRPr="00F44136" w:rsidRDefault="001A6F82" w:rsidP="001A6F82">
      <w:pPr>
        <w:overflowPunct/>
        <w:autoSpaceDE/>
        <w:adjustRightInd/>
        <w:ind w:firstLineChars="200" w:firstLine="480"/>
        <w:jc w:val="both"/>
        <w:rPr>
          <w:szCs w:val="24"/>
          <w:lang w:val="en-US" w:eastAsia="zh-CN"/>
        </w:rPr>
      </w:pPr>
      <w:r w:rsidRPr="001A6F82">
        <w:rPr>
          <w:rFonts w:hint="eastAsia"/>
          <w:szCs w:val="24"/>
          <w:lang w:val="en-US" w:eastAsia="zh-CN"/>
        </w:rPr>
        <w:t>根据</w:t>
      </w:r>
      <w:r w:rsidR="00162F28" w:rsidRPr="00162F28">
        <w:rPr>
          <w:rFonts w:hint="eastAsia"/>
          <w:szCs w:val="24"/>
          <w:lang w:val="en-US" w:eastAsia="zh-CN"/>
        </w:rPr>
        <w:t>电信发展局</w:t>
      </w:r>
      <w:r w:rsidRPr="001A6F82">
        <w:rPr>
          <w:rFonts w:hint="eastAsia"/>
          <w:szCs w:val="24"/>
          <w:lang w:val="en-US" w:eastAsia="zh-CN"/>
        </w:rPr>
        <w:t>上一周期</w:t>
      </w:r>
      <w:r w:rsidR="00162F28">
        <w:rPr>
          <w:rFonts w:hint="eastAsia"/>
          <w:szCs w:val="24"/>
          <w:lang w:val="en-US" w:eastAsia="zh-CN"/>
        </w:rPr>
        <w:t>（</w:t>
      </w:r>
      <w:r w:rsidR="00162F28" w:rsidRPr="00F44136">
        <w:rPr>
          <w:szCs w:val="24"/>
          <w:lang w:val="en-US" w:eastAsia="zh-CN"/>
        </w:rPr>
        <w:t>2018-2022</w:t>
      </w:r>
      <w:r w:rsidR="00162F28">
        <w:rPr>
          <w:rFonts w:hint="eastAsia"/>
          <w:szCs w:val="24"/>
          <w:lang w:val="en-US" w:eastAsia="zh-CN"/>
        </w:rPr>
        <w:t>年）</w:t>
      </w:r>
      <w:r w:rsidRPr="001A6F82">
        <w:rPr>
          <w:rFonts w:hint="eastAsia"/>
          <w:szCs w:val="24"/>
          <w:lang w:val="en-US" w:eastAsia="zh-CN"/>
        </w:rPr>
        <w:t>的经验</w:t>
      </w:r>
      <w:r w:rsidR="00162F28">
        <w:rPr>
          <w:rFonts w:hint="eastAsia"/>
          <w:szCs w:val="24"/>
          <w:lang w:val="en-US" w:eastAsia="zh-CN"/>
        </w:rPr>
        <w:t>：</w:t>
      </w:r>
    </w:p>
    <w:p w14:paraId="67E238C6" w14:textId="6711B066" w:rsidR="001A6F82" w:rsidRPr="001A6F82" w:rsidRDefault="00580393" w:rsidP="00580393">
      <w:pPr>
        <w:pStyle w:val="enumlev1"/>
        <w:rPr>
          <w:lang w:val="en-US" w:eastAsia="zh-CN"/>
        </w:rPr>
      </w:pPr>
      <w:r w:rsidRPr="00580393">
        <w:rPr>
          <w:lang w:val="en-US" w:eastAsia="zh-CN"/>
        </w:rPr>
        <w:t>•</w:t>
      </w:r>
      <w:r>
        <w:rPr>
          <w:lang w:val="en-US" w:eastAsia="zh-CN"/>
        </w:rPr>
        <w:tab/>
      </w:r>
      <w:r w:rsidR="001A6F82" w:rsidRPr="001A6F82">
        <w:rPr>
          <w:rFonts w:hint="eastAsia"/>
          <w:lang w:val="en-US" w:eastAsia="zh-CN"/>
        </w:rPr>
        <w:t>理事会为实施区域</w:t>
      </w:r>
      <w:r w:rsidR="00162F28">
        <w:rPr>
          <w:rFonts w:hint="eastAsia"/>
          <w:lang w:val="en-US" w:eastAsia="zh-CN"/>
        </w:rPr>
        <w:t>性举措</w:t>
      </w:r>
      <w:r w:rsidR="001A6F82" w:rsidRPr="001A6F82">
        <w:rPr>
          <w:rFonts w:hint="eastAsia"/>
          <w:lang w:val="en-US" w:eastAsia="zh-CN"/>
        </w:rPr>
        <w:t>下的项目</w:t>
      </w:r>
      <w:r w:rsidR="00162F28">
        <w:rPr>
          <w:rFonts w:hint="eastAsia"/>
          <w:lang w:val="en-US" w:eastAsia="zh-CN"/>
        </w:rPr>
        <w:t>划拨</w:t>
      </w:r>
      <w:r w:rsidR="001A6F82" w:rsidRPr="001A6F82">
        <w:rPr>
          <w:rFonts w:hint="eastAsia"/>
          <w:lang w:val="en-US" w:eastAsia="zh-CN"/>
        </w:rPr>
        <w:t>资金</w:t>
      </w:r>
      <w:r w:rsidR="00162F28">
        <w:rPr>
          <w:rFonts w:hint="eastAsia"/>
          <w:lang w:val="en-US" w:eastAsia="zh-CN"/>
        </w:rPr>
        <w:t>，</w:t>
      </w:r>
      <w:r w:rsidR="001A6F82" w:rsidRPr="001A6F82">
        <w:rPr>
          <w:rFonts w:hint="eastAsia"/>
          <w:lang w:val="en-US" w:eastAsia="zh-CN"/>
        </w:rPr>
        <w:t>是</w:t>
      </w:r>
      <w:r w:rsidR="00162F28">
        <w:rPr>
          <w:lang w:val="en-US" w:eastAsia="zh-CN"/>
        </w:rPr>
        <w:t>WTDC-17</w:t>
      </w:r>
      <w:r w:rsidR="001A6F82" w:rsidRPr="001A6F82">
        <w:rPr>
          <w:rFonts w:hint="eastAsia"/>
          <w:lang w:val="en-US" w:eastAsia="zh-CN"/>
        </w:rPr>
        <w:t>通过的区域</w:t>
      </w:r>
      <w:r w:rsidR="00162F28">
        <w:rPr>
          <w:rFonts w:hint="eastAsia"/>
          <w:lang w:val="en-US" w:eastAsia="zh-CN"/>
        </w:rPr>
        <w:t>性举措</w:t>
      </w:r>
      <w:r w:rsidR="001A6F82" w:rsidRPr="001A6F82">
        <w:rPr>
          <w:rFonts w:hint="eastAsia"/>
          <w:lang w:val="en-US" w:eastAsia="zh-CN"/>
        </w:rPr>
        <w:t>得以成功实施的原因</w:t>
      </w:r>
      <w:r w:rsidR="00162F28">
        <w:rPr>
          <w:rFonts w:hint="eastAsia"/>
          <w:lang w:val="en-US" w:eastAsia="zh-CN"/>
        </w:rPr>
        <w:t>。</w:t>
      </w:r>
    </w:p>
    <w:p w14:paraId="6CA90088" w14:textId="013EF38A" w:rsidR="001A6F82" w:rsidRPr="001A6F82" w:rsidRDefault="00580393" w:rsidP="00580393">
      <w:pPr>
        <w:pStyle w:val="enumlev1"/>
        <w:rPr>
          <w:lang w:val="en-US" w:eastAsia="zh-CN"/>
        </w:rPr>
      </w:pPr>
      <w:r w:rsidRPr="00580393">
        <w:rPr>
          <w:lang w:val="en-US" w:eastAsia="zh-CN"/>
        </w:rPr>
        <w:t>•</w:t>
      </w:r>
      <w:r>
        <w:rPr>
          <w:lang w:val="en-US" w:eastAsia="zh-CN"/>
        </w:rPr>
        <w:tab/>
      </w:r>
      <w:r w:rsidR="00162F28">
        <w:rPr>
          <w:rFonts w:cs="SimSun" w:hint="eastAsia"/>
          <w:lang w:eastAsia="zh-CN"/>
        </w:rPr>
        <w:t>有了</w:t>
      </w:r>
      <w:r w:rsidR="001A6F82" w:rsidRPr="001A6F82">
        <w:rPr>
          <w:rFonts w:hint="eastAsia"/>
          <w:lang w:val="en-US" w:eastAsia="zh-CN"/>
        </w:rPr>
        <w:t>理事会</w:t>
      </w:r>
      <w:r w:rsidR="00162F28">
        <w:rPr>
          <w:rFonts w:hint="eastAsia"/>
          <w:lang w:val="en-US" w:eastAsia="zh-CN"/>
        </w:rPr>
        <w:t>划拨</w:t>
      </w:r>
      <w:r w:rsidR="001A6F82" w:rsidRPr="001A6F82">
        <w:rPr>
          <w:rFonts w:hint="eastAsia"/>
          <w:lang w:val="en-US" w:eastAsia="zh-CN"/>
        </w:rPr>
        <w:t>的资金作为种子</w:t>
      </w:r>
      <w:r w:rsidR="00FD019B" w:rsidRPr="001A6F82">
        <w:rPr>
          <w:rFonts w:hint="eastAsia"/>
          <w:lang w:val="en-US" w:eastAsia="zh-CN"/>
        </w:rPr>
        <w:t>资金</w:t>
      </w:r>
      <w:r w:rsidR="00162F28">
        <w:rPr>
          <w:rFonts w:hint="eastAsia"/>
          <w:lang w:val="en-US" w:eastAsia="zh-CN"/>
        </w:rPr>
        <w:t>，</w:t>
      </w:r>
      <w:r w:rsidR="00FD019B">
        <w:rPr>
          <w:rFonts w:hint="eastAsia"/>
          <w:lang w:val="en-US" w:eastAsia="zh-CN"/>
        </w:rPr>
        <w:t>促进</w:t>
      </w:r>
      <w:r w:rsidR="00162F28">
        <w:rPr>
          <w:rFonts w:hint="eastAsia"/>
          <w:lang w:val="en-US" w:eastAsia="zh-CN"/>
        </w:rPr>
        <w:t>了</w:t>
      </w:r>
      <w:r w:rsidR="001A6F82" w:rsidRPr="001A6F82">
        <w:rPr>
          <w:rFonts w:hint="eastAsia"/>
          <w:lang w:val="en-US" w:eastAsia="zh-CN"/>
        </w:rPr>
        <w:t>国际电联</w:t>
      </w:r>
      <w:r w:rsidR="00162F28" w:rsidRPr="00F44136">
        <w:rPr>
          <w:lang w:val="en-US" w:eastAsia="zh-CN"/>
        </w:rPr>
        <w:t>/</w:t>
      </w:r>
      <w:r w:rsidR="00162F28" w:rsidRPr="00162F28">
        <w:rPr>
          <w:rFonts w:hint="eastAsia"/>
          <w:lang w:val="en-US" w:eastAsia="zh-CN"/>
        </w:rPr>
        <w:t>电信发展局</w:t>
      </w:r>
      <w:r w:rsidR="00894B5D">
        <w:rPr>
          <w:rFonts w:hint="eastAsia"/>
          <w:lang w:val="en-US" w:eastAsia="zh-CN"/>
        </w:rPr>
        <w:t>为筹措</w:t>
      </w:r>
      <w:r w:rsidR="001A6F82" w:rsidRPr="001A6F82">
        <w:rPr>
          <w:rFonts w:hint="eastAsia"/>
          <w:lang w:val="en-US" w:eastAsia="zh-CN"/>
        </w:rPr>
        <w:t>更多资源</w:t>
      </w:r>
      <w:r w:rsidR="00894B5D">
        <w:rPr>
          <w:rFonts w:hint="eastAsia"/>
          <w:lang w:val="en-US" w:eastAsia="zh-CN"/>
        </w:rPr>
        <w:t>所做</w:t>
      </w:r>
      <w:r w:rsidR="001A6F82" w:rsidRPr="001A6F82">
        <w:rPr>
          <w:rFonts w:hint="eastAsia"/>
          <w:lang w:val="en-US" w:eastAsia="zh-CN"/>
        </w:rPr>
        <w:t>的努力</w:t>
      </w:r>
      <w:r w:rsidR="00675DA2">
        <w:rPr>
          <w:rFonts w:hint="eastAsia"/>
          <w:lang w:val="en-US" w:eastAsia="zh-CN"/>
        </w:rPr>
        <w:t>。</w:t>
      </w:r>
    </w:p>
    <w:p w14:paraId="2A86643C" w14:textId="202520A2" w:rsidR="001A6F82" w:rsidRPr="001A6F82" w:rsidRDefault="00580393" w:rsidP="00580393">
      <w:pPr>
        <w:pStyle w:val="enumlev1"/>
        <w:rPr>
          <w:lang w:val="en-US" w:eastAsia="zh-CN"/>
        </w:rPr>
      </w:pPr>
      <w:r w:rsidRPr="00580393">
        <w:rPr>
          <w:lang w:val="en-US" w:eastAsia="zh-CN"/>
        </w:rPr>
        <w:t>•</w:t>
      </w:r>
      <w:r>
        <w:rPr>
          <w:lang w:val="en-US" w:eastAsia="zh-CN"/>
        </w:rPr>
        <w:tab/>
      </w:r>
      <w:r w:rsidR="001A6F82" w:rsidRPr="001A6F82">
        <w:rPr>
          <w:rFonts w:hint="eastAsia"/>
          <w:lang w:val="en-US" w:eastAsia="zh-CN"/>
        </w:rPr>
        <w:t>为了覆盖所有</w:t>
      </w:r>
      <w:r w:rsidR="00675DA2">
        <w:rPr>
          <w:rFonts w:hint="eastAsia"/>
          <w:lang w:val="en-US" w:eastAsia="zh-CN"/>
        </w:rPr>
        <w:t>区域，</w:t>
      </w:r>
      <w:r w:rsidR="001A6F82" w:rsidRPr="001A6F82">
        <w:rPr>
          <w:rFonts w:hint="eastAsia"/>
          <w:lang w:val="en-US" w:eastAsia="zh-CN"/>
        </w:rPr>
        <w:t>指导原则是让外部合作伙伴承担项目成本的</w:t>
      </w:r>
      <w:r w:rsidR="00675DA2" w:rsidRPr="00F44136">
        <w:rPr>
          <w:lang w:val="en-US" w:eastAsia="zh-CN"/>
        </w:rPr>
        <w:t>50</w:t>
      </w:r>
      <w:r w:rsidR="00675DA2">
        <w:rPr>
          <w:lang w:val="en-US" w:eastAsia="zh-CN"/>
        </w:rPr>
        <w:t>%</w:t>
      </w:r>
      <w:r w:rsidR="00675DA2">
        <w:rPr>
          <w:rFonts w:hint="eastAsia"/>
          <w:lang w:val="en-US" w:eastAsia="zh-CN"/>
        </w:rPr>
        <w:t>。</w:t>
      </w:r>
    </w:p>
    <w:p w14:paraId="00C00AF9" w14:textId="784EC741" w:rsidR="001A6F82" w:rsidRPr="001A6F82" w:rsidRDefault="00580393" w:rsidP="00580393">
      <w:pPr>
        <w:pStyle w:val="enumlev1"/>
        <w:rPr>
          <w:lang w:val="en-US" w:eastAsia="zh-CN"/>
        </w:rPr>
      </w:pPr>
      <w:r w:rsidRPr="00580393">
        <w:rPr>
          <w:lang w:val="en-US" w:eastAsia="zh-CN"/>
        </w:rPr>
        <w:t>•</w:t>
      </w:r>
      <w:r>
        <w:rPr>
          <w:lang w:val="en-US" w:eastAsia="zh-CN"/>
        </w:rPr>
        <w:tab/>
      </w:r>
      <w:r w:rsidR="00675DA2" w:rsidRPr="00F44136">
        <w:rPr>
          <w:lang w:val="en-US" w:eastAsia="zh-CN"/>
        </w:rPr>
        <w:t>WTDC-22</w:t>
      </w:r>
      <w:r w:rsidR="001A6F82" w:rsidRPr="001A6F82">
        <w:rPr>
          <w:rFonts w:hint="eastAsia"/>
          <w:lang w:val="en-US" w:eastAsia="zh-CN"/>
        </w:rPr>
        <w:t>通过的尚未列入预算的区域</w:t>
      </w:r>
      <w:r w:rsidR="00675DA2">
        <w:rPr>
          <w:rFonts w:hint="eastAsia"/>
          <w:lang w:val="en-US" w:eastAsia="zh-CN"/>
        </w:rPr>
        <w:t>性</w:t>
      </w:r>
      <w:r w:rsidR="001A6F82" w:rsidRPr="001A6F82">
        <w:rPr>
          <w:rFonts w:hint="eastAsia"/>
          <w:lang w:val="en-US" w:eastAsia="zh-CN"/>
        </w:rPr>
        <w:t>举措的实施将取决于为项目提供资金的具体预算</w:t>
      </w:r>
      <w:r w:rsidR="00675DA2">
        <w:rPr>
          <w:rFonts w:hint="eastAsia"/>
          <w:lang w:val="en-US" w:eastAsia="zh-CN"/>
        </w:rPr>
        <w:t>。</w:t>
      </w:r>
    </w:p>
    <w:p w14:paraId="62719645" w14:textId="7C6CE309" w:rsidR="001A6F82" w:rsidRDefault="00580393" w:rsidP="00580393">
      <w:pPr>
        <w:pStyle w:val="enumlev1"/>
        <w:rPr>
          <w:lang w:val="en-US" w:eastAsia="zh-CN"/>
        </w:rPr>
      </w:pPr>
      <w:r w:rsidRPr="00580393">
        <w:rPr>
          <w:lang w:val="en-US" w:eastAsia="zh-CN"/>
        </w:rPr>
        <w:t>•</w:t>
      </w:r>
      <w:r>
        <w:rPr>
          <w:lang w:val="en-US" w:eastAsia="zh-CN"/>
        </w:rPr>
        <w:tab/>
      </w:r>
      <w:r w:rsidR="00A27D61" w:rsidRPr="00A27D61">
        <w:rPr>
          <w:rFonts w:hint="eastAsia"/>
          <w:lang w:val="en-US" w:eastAsia="zh-CN"/>
        </w:rPr>
        <w:t>尽管</w:t>
      </w:r>
      <w:r w:rsidR="00675DA2" w:rsidRPr="00675DA2">
        <w:rPr>
          <w:rFonts w:hint="eastAsia"/>
          <w:lang w:val="en-US" w:eastAsia="zh-CN"/>
        </w:rPr>
        <w:t>电信发展局</w:t>
      </w:r>
      <w:r w:rsidR="00A27D61" w:rsidRPr="00A27D61">
        <w:rPr>
          <w:rFonts w:hint="eastAsia"/>
          <w:lang w:val="en-US" w:eastAsia="zh-CN"/>
        </w:rPr>
        <w:t>正在努力为项目</w:t>
      </w:r>
      <w:r w:rsidR="00894B5D">
        <w:rPr>
          <w:rFonts w:hint="eastAsia"/>
          <w:lang w:val="en-US" w:eastAsia="zh-CN"/>
        </w:rPr>
        <w:t>筹措</w:t>
      </w:r>
      <w:r w:rsidR="00A27D61" w:rsidRPr="00A27D61">
        <w:rPr>
          <w:rFonts w:hint="eastAsia"/>
          <w:lang w:val="en-US" w:eastAsia="zh-CN"/>
        </w:rPr>
        <w:t>资源</w:t>
      </w:r>
      <w:r w:rsidR="00675DA2">
        <w:rPr>
          <w:rFonts w:hint="eastAsia"/>
          <w:lang w:val="en-US" w:eastAsia="zh-CN"/>
        </w:rPr>
        <w:t>，</w:t>
      </w:r>
      <w:r w:rsidR="00A27D61" w:rsidRPr="00A27D61">
        <w:rPr>
          <w:rFonts w:hint="eastAsia"/>
          <w:lang w:val="en-US" w:eastAsia="zh-CN"/>
        </w:rPr>
        <w:t>但应指出的是</w:t>
      </w:r>
      <w:r w:rsidR="00675DA2">
        <w:rPr>
          <w:rFonts w:hint="eastAsia"/>
          <w:lang w:val="en-US" w:eastAsia="zh-CN"/>
        </w:rPr>
        <w:t>，</w:t>
      </w:r>
      <w:r w:rsidR="00A27D61" w:rsidRPr="00A27D61">
        <w:rPr>
          <w:rFonts w:hint="eastAsia"/>
          <w:lang w:val="en-US" w:eastAsia="zh-CN"/>
        </w:rPr>
        <w:t>如果没有种子</w:t>
      </w:r>
      <w:r w:rsidR="00675DA2" w:rsidRPr="00A27D61">
        <w:rPr>
          <w:rFonts w:hint="eastAsia"/>
          <w:lang w:val="en-US" w:eastAsia="zh-CN"/>
        </w:rPr>
        <w:t>资金</w:t>
      </w:r>
      <w:r w:rsidR="00675DA2">
        <w:rPr>
          <w:rFonts w:hint="eastAsia"/>
          <w:lang w:val="en-US" w:eastAsia="zh-CN"/>
        </w:rPr>
        <w:t>（</w:t>
      </w:r>
      <w:r w:rsidR="00675DA2" w:rsidRPr="00A27D61">
        <w:rPr>
          <w:rFonts w:hint="eastAsia"/>
          <w:lang w:val="en-US" w:eastAsia="zh-CN"/>
        </w:rPr>
        <w:t>由理事会</w:t>
      </w:r>
      <w:r w:rsidR="00675DA2">
        <w:rPr>
          <w:rFonts w:hint="eastAsia"/>
          <w:lang w:val="en-US" w:eastAsia="zh-CN"/>
        </w:rPr>
        <w:t>划拨）</w:t>
      </w:r>
      <w:r w:rsidR="00A27D61" w:rsidRPr="00A27D61">
        <w:rPr>
          <w:rFonts w:hint="eastAsia"/>
          <w:lang w:val="en-US" w:eastAsia="zh-CN"/>
        </w:rPr>
        <w:t>为已通过的区域</w:t>
      </w:r>
      <w:r w:rsidR="00675DA2">
        <w:rPr>
          <w:rFonts w:hint="eastAsia"/>
          <w:lang w:val="en-US" w:eastAsia="zh-CN"/>
        </w:rPr>
        <w:t>性</w:t>
      </w:r>
      <w:r w:rsidR="00A27D61" w:rsidRPr="00A27D61">
        <w:rPr>
          <w:rFonts w:hint="eastAsia"/>
          <w:lang w:val="en-US" w:eastAsia="zh-CN"/>
        </w:rPr>
        <w:t>举措提供资金</w:t>
      </w:r>
      <w:r w:rsidR="00675DA2">
        <w:rPr>
          <w:rFonts w:hint="eastAsia"/>
          <w:lang w:val="en-US" w:eastAsia="zh-CN"/>
        </w:rPr>
        <w:t>，</w:t>
      </w:r>
      <w:r w:rsidR="00A27D61" w:rsidRPr="00A27D61">
        <w:rPr>
          <w:rFonts w:hint="eastAsia"/>
          <w:lang w:val="en-US" w:eastAsia="zh-CN"/>
        </w:rPr>
        <w:t>就无法保证我们的资源</w:t>
      </w:r>
      <w:r w:rsidR="00894B5D">
        <w:rPr>
          <w:rFonts w:hint="eastAsia"/>
          <w:lang w:val="en-US" w:eastAsia="zh-CN"/>
        </w:rPr>
        <w:t>筹措</w:t>
      </w:r>
      <w:r w:rsidR="00A27D61" w:rsidRPr="00A27D61">
        <w:rPr>
          <w:rFonts w:hint="eastAsia"/>
          <w:lang w:val="en-US" w:eastAsia="zh-CN"/>
        </w:rPr>
        <w:t>工作</w:t>
      </w:r>
      <w:r w:rsidR="00894B5D">
        <w:rPr>
          <w:rFonts w:hint="eastAsia"/>
          <w:lang w:val="en-US" w:eastAsia="zh-CN"/>
        </w:rPr>
        <w:t>能够</w:t>
      </w:r>
      <w:r w:rsidR="00675DA2" w:rsidRPr="00A27D61">
        <w:rPr>
          <w:rFonts w:hint="eastAsia"/>
          <w:lang w:val="en-US" w:eastAsia="zh-CN"/>
        </w:rPr>
        <w:t>取得成果</w:t>
      </w:r>
      <w:r w:rsidR="00675DA2">
        <w:rPr>
          <w:rFonts w:hint="eastAsia"/>
          <w:lang w:val="en-US" w:eastAsia="zh-CN"/>
        </w:rPr>
        <w:t>，因为</w:t>
      </w:r>
      <w:r w:rsidR="00675DA2" w:rsidRPr="00675DA2">
        <w:rPr>
          <w:rFonts w:hint="eastAsia"/>
          <w:lang w:val="en-US" w:eastAsia="zh-CN"/>
        </w:rPr>
        <w:t>捐助机构</w:t>
      </w:r>
      <w:r w:rsidR="00675DA2">
        <w:rPr>
          <w:rFonts w:hint="eastAsia"/>
          <w:lang w:val="en-US" w:eastAsia="zh-CN"/>
        </w:rPr>
        <w:t>会</w:t>
      </w:r>
      <w:r w:rsidR="000B0582">
        <w:rPr>
          <w:rFonts w:hint="eastAsia"/>
          <w:lang w:val="en-US" w:eastAsia="zh-CN"/>
        </w:rPr>
        <w:t>决</w:t>
      </w:r>
      <w:r w:rsidR="000B0582" w:rsidRPr="00894B5D">
        <w:rPr>
          <w:rFonts w:hint="eastAsia"/>
          <w:lang w:val="en-US" w:eastAsia="zh-CN"/>
        </w:rPr>
        <w:t>定他们</w:t>
      </w:r>
      <w:r w:rsidR="00675DA2" w:rsidRPr="00894B5D">
        <w:rPr>
          <w:rFonts w:hint="eastAsia"/>
          <w:lang w:val="en-US" w:eastAsia="zh-CN"/>
        </w:rPr>
        <w:t>希望</w:t>
      </w:r>
      <w:r w:rsidR="00675DA2" w:rsidRPr="00A27D61">
        <w:rPr>
          <w:rFonts w:hint="eastAsia"/>
          <w:lang w:val="en-US" w:eastAsia="zh-CN"/>
        </w:rPr>
        <w:t>资助的主题</w:t>
      </w:r>
      <w:r w:rsidR="00A27D61" w:rsidRPr="00A27D61">
        <w:rPr>
          <w:rFonts w:hint="eastAsia"/>
          <w:lang w:val="en-US" w:eastAsia="zh-CN"/>
        </w:rPr>
        <w:t>并保留选择优先</w:t>
      </w:r>
      <w:r w:rsidR="00675DA2">
        <w:rPr>
          <w:rFonts w:hint="eastAsia"/>
          <w:lang w:val="en-US" w:eastAsia="zh-CN"/>
        </w:rPr>
        <w:t>投入资源的区域</w:t>
      </w:r>
      <w:r w:rsidR="00A27D61" w:rsidRPr="00A27D61">
        <w:rPr>
          <w:rFonts w:hint="eastAsia"/>
          <w:lang w:val="en-US" w:eastAsia="zh-CN"/>
        </w:rPr>
        <w:t>和</w:t>
      </w:r>
      <w:r w:rsidR="00675DA2" w:rsidRPr="00701067">
        <w:rPr>
          <w:lang w:val="en-US" w:eastAsia="zh-CN"/>
        </w:rPr>
        <w:t>/</w:t>
      </w:r>
      <w:r w:rsidR="00A27D61" w:rsidRPr="00A27D61">
        <w:rPr>
          <w:rFonts w:hint="eastAsia"/>
          <w:lang w:val="en-US" w:eastAsia="zh-CN"/>
        </w:rPr>
        <w:t>或国家</w:t>
      </w:r>
      <w:r w:rsidR="00CC4A5D">
        <w:rPr>
          <w:rFonts w:hint="eastAsia"/>
          <w:lang w:val="en-US" w:eastAsia="zh-CN"/>
        </w:rPr>
        <w:t>的权利</w:t>
      </w:r>
      <w:r w:rsidR="00675DA2">
        <w:rPr>
          <w:rFonts w:hint="eastAsia"/>
          <w:lang w:val="en-US" w:eastAsia="zh-CN"/>
        </w:rPr>
        <w:t>。</w:t>
      </w:r>
    </w:p>
    <w:p w14:paraId="468BC7F3" w14:textId="77777777" w:rsidR="00580393" w:rsidRPr="00701067" w:rsidRDefault="00580393" w:rsidP="00580393">
      <w:pPr>
        <w:pStyle w:val="enumlev1"/>
        <w:rPr>
          <w:lang w:val="en-US" w:eastAsia="zh-CN"/>
        </w:rPr>
      </w:pPr>
    </w:p>
    <w:p w14:paraId="5BCBB819" w14:textId="2CA92CE6" w:rsidR="00AE195F" w:rsidRPr="00E24D59" w:rsidRDefault="001A6F82" w:rsidP="00580393">
      <w:pPr>
        <w:jc w:val="center"/>
      </w:pPr>
      <w:r>
        <w:t>_______________</w:t>
      </w:r>
    </w:p>
    <w:sectPr w:rsidR="00AE195F" w:rsidRPr="00E24D59" w:rsidSect="00E24D59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F1E39" w14:textId="77777777" w:rsidR="00F973EA" w:rsidRDefault="00F973EA">
      <w:r>
        <w:separator/>
      </w:r>
    </w:p>
  </w:endnote>
  <w:endnote w:type="continuationSeparator" w:id="0">
    <w:p w14:paraId="57879BF7" w14:textId="77777777" w:rsidR="00F973EA" w:rsidRDefault="00F9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8"/>
      <w:gridCol w:w="8768"/>
    </w:tblGrid>
    <w:tr w:rsidR="00E24D59" w:rsidRPr="00784011" w14:paraId="467E1C45" w14:textId="77777777" w:rsidTr="004D30F2">
      <w:trPr>
        <w:jc w:val="center"/>
      </w:trPr>
      <w:tc>
        <w:tcPr>
          <w:tcW w:w="1438" w:type="dxa"/>
          <w:vAlign w:val="center"/>
        </w:tcPr>
        <w:p w14:paraId="44DDF2C6" w14:textId="2C94DC0D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4D30F2">
            <w:rPr>
              <w:noProof/>
            </w:rPr>
            <w:t>525717</w:t>
          </w:r>
        </w:p>
      </w:tc>
      <w:tc>
        <w:tcPr>
          <w:tcW w:w="8768" w:type="dxa"/>
        </w:tcPr>
        <w:p w14:paraId="11B777DD" w14:textId="2CB54B4F" w:rsidR="00E24D59" w:rsidRPr="00E06FD5" w:rsidRDefault="00E24D59" w:rsidP="004D30F2">
          <w:pPr>
            <w:pStyle w:val="Header"/>
            <w:tabs>
              <w:tab w:val="right" w:pos="8233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4D30F2">
            <w:rPr>
              <w:bCs/>
            </w:rPr>
            <w:t>26(Add.1)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F0F6BBD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E24D59" w:rsidRPr="00784011" w14:paraId="3280DCE3" w14:textId="77777777" w:rsidTr="004D30F2">
      <w:trPr>
        <w:jc w:val="center"/>
      </w:trPr>
      <w:tc>
        <w:tcPr>
          <w:tcW w:w="1803" w:type="dxa"/>
          <w:vAlign w:val="center"/>
        </w:tcPr>
        <w:p w14:paraId="0F91168B" w14:textId="77777777" w:rsidR="00E24D59" w:rsidRDefault="00376B87" w:rsidP="00E24D59">
          <w:pPr>
            <w:pStyle w:val="Header"/>
            <w:jc w:val="left"/>
            <w:rPr>
              <w:noProof/>
            </w:rPr>
          </w:pPr>
          <w:hyperlink r:id="rId1" w:history="1">
            <w:r w:rsidR="00E24D5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545" w:type="dxa"/>
        </w:tcPr>
        <w:p w14:paraId="4C1A92DC" w14:textId="69C460BA" w:rsidR="00E24D59" w:rsidRPr="00E06FD5" w:rsidRDefault="00E24D59" w:rsidP="00E24D59">
          <w:pPr>
            <w:pStyle w:val="Header"/>
            <w:tabs>
              <w:tab w:val="left" w:pos="686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4D30F2" w:rsidRPr="00623AE3">
            <w:rPr>
              <w:bCs/>
            </w:rPr>
            <w:t>C</w:t>
          </w:r>
          <w:r w:rsidR="004D30F2">
            <w:rPr>
              <w:bCs/>
            </w:rPr>
            <w:t>23</w:t>
          </w:r>
          <w:r w:rsidR="004D30F2" w:rsidRPr="00623AE3">
            <w:rPr>
              <w:bCs/>
            </w:rPr>
            <w:t>/</w:t>
          </w:r>
          <w:r w:rsidR="004D30F2">
            <w:rPr>
              <w:bCs/>
            </w:rPr>
            <w:t>26(Add.1)</w:t>
          </w:r>
          <w:r w:rsidR="004D30F2" w:rsidRPr="00623AE3">
            <w:rPr>
              <w:bCs/>
            </w:rPr>
            <w:t>-</w:t>
          </w:r>
          <w:r w:rsidR="004D30F2"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4A6B793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6A7C" w14:textId="77777777" w:rsidR="00F973EA" w:rsidRDefault="00F973EA">
      <w:r>
        <w:t>____________________</w:t>
      </w:r>
    </w:p>
  </w:footnote>
  <w:footnote w:type="continuationSeparator" w:id="0">
    <w:p w14:paraId="3E1E86A8" w14:textId="77777777" w:rsidR="00F973EA" w:rsidRDefault="00F97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56645090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409AD63" w14:textId="77777777" w:rsidR="00E24D59" w:rsidRPr="009621F8" w:rsidRDefault="00E24D59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0" w:name="_Hlk133422111"/>
          <w:r>
            <w:rPr>
              <w:noProof/>
            </w:rPr>
            <w:drawing>
              <wp:inline distT="0" distB="0" distL="0" distR="0" wp14:anchorId="393FCC6F" wp14:editId="5F928847">
                <wp:extent cx="1918260" cy="53908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24D5449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BA7132A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3971744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0"/>
  <w:p w14:paraId="61737B61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82F05A" wp14:editId="214B5708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DF66C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C7820FF"/>
    <w:multiLevelType w:val="hybridMultilevel"/>
    <w:tmpl w:val="42343DD0"/>
    <w:lvl w:ilvl="0" w:tplc="A94EAF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A4F0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80CA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70FF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3C53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7B69F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4243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5E19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ACCA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5"/>
  </w:num>
  <w:num w:numId="5" w16cid:durableId="2033219779">
    <w:abstractNumId w:val="7"/>
  </w:num>
  <w:num w:numId="6" w16cid:durableId="349645790">
    <w:abstractNumId w:val="6"/>
  </w:num>
  <w:num w:numId="7" w16cid:durableId="1451586466">
    <w:abstractNumId w:val="1"/>
  </w:num>
  <w:num w:numId="8" w16cid:durableId="1316496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271E9"/>
    <w:rsid w:val="00031E72"/>
    <w:rsid w:val="000404D2"/>
    <w:rsid w:val="000853C0"/>
    <w:rsid w:val="0009409E"/>
    <w:rsid w:val="000A1C21"/>
    <w:rsid w:val="000B0582"/>
    <w:rsid w:val="000C0BC5"/>
    <w:rsid w:val="000D15EA"/>
    <w:rsid w:val="000E58C3"/>
    <w:rsid w:val="000F32E6"/>
    <w:rsid w:val="00100D84"/>
    <w:rsid w:val="00124C9D"/>
    <w:rsid w:val="00157773"/>
    <w:rsid w:val="00162F28"/>
    <w:rsid w:val="00163F0D"/>
    <w:rsid w:val="00164FB1"/>
    <w:rsid w:val="0018251A"/>
    <w:rsid w:val="00190272"/>
    <w:rsid w:val="00193244"/>
    <w:rsid w:val="00194148"/>
    <w:rsid w:val="00195C6C"/>
    <w:rsid w:val="00195FED"/>
    <w:rsid w:val="001A4BD6"/>
    <w:rsid w:val="001A6F82"/>
    <w:rsid w:val="001D5A18"/>
    <w:rsid w:val="00224449"/>
    <w:rsid w:val="00280EB8"/>
    <w:rsid w:val="002A6670"/>
    <w:rsid w:val="00303502"/>
    <w:rsid w:val="00325C25"/>
    <w:rsid w:val="00372C8F"/>
    <w:rsid w:val="00376B87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17B3"/>
    <w:rsid w:val="00493085"/>
    <w:rsid w:val="004A36EC"/>
    <w:rsid w:val="004D163F"/>
    <w:rsid w:val="004D30F2"/>
    <w:rsid w:val="004E4BFF"/>
    <w:rsid w:val="004F2598"/>
    <w:rsid w:val="005403F7"/>
    <w:rsid w:val="00540632"/>
    <w:rsid w:val="00541CF4"/>
    <w:rsid w:val="005451E8"/>
    <w:rsid w:val="005507F2"/>
    <w:rsid w:val="005759CC"/>
    <w:rsid w:val="00580393"/>
    <w:rsid w:val="005A72E1"/>
    <w:rsid w:val="005C6632"/>
    <w:rsid w:val="005D1C9E"/>
    <w:rsid w:val="005D5959"/>
    <w:rsid w:val="00623025"/>
    <w:rsid w:val="00630DD5"/>
    <w:rsid w:val="00654257"/>
    <w:rsid w:val="0065435A"/>
    <w:rsid w:val="00675DA2"/>
    <w:rsid w:val="006829F8"/>
    <w:rsid w:val="006A2DD3"/>
    <w:rsid w:val="006A5AF8"/>
    <w:rsid w:val="006B5233"/>
    <w:rsid w:val="006B72FD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B15E3"/>
    <w:rsid w:val="007E189D"/>
    <w:rsid w:val="007F0210"/>
    <w:rsid w:val="00811259"/>
    <w:rsid w:val="00813AA2"/>
    <w:rsid w:val="008173A3"/>
    <w:rsid w:val="008405D9"/>
    <w:rsid w:val="008418F5"/>
    <w:rsid w:val="0086059C"/>
    <w:rsid w:val="00864589"/>
    <w:rsid w:val="00874C82"/>
    <w:rsid w:val="00890AFB"/>
    <w:rsid w:val="00890FC4"/>
    <w:rsid w:val="00894B5D"/>
    <w:rsid w:val="00895905"/>
    <w:rsid w:val="008B0B7A"/>
    <w:rsid w:val="00911867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27D61"/>
    <w:rsid w:val="00A5354B"/>
    <w:rsid w:val="00A71B57"/>
    <w:rsid w:val="00AB42C1"/>
    <w:rsid w:val="00AC516F"/>
    <w:rsid w:val="00AE195F"/>
    <w:rsid w:val="00AE2926"/>
    <w:rsid w:val="00B0184B"/>
    <w:rsid w:val="00B02202"/>
    <w:rsid w:val="00B035CD"/>
    <w:rsid w:val="00B0769D"/>
    <w:rsid w:val="00B217F8"/>
    <w:rsid w:val="00B24332"/>
    <w:rsid w:val="00B332EA"/>
    <w:rsid w:val="00B34840"/>
    <w:rsid w:val="00B409D6"/>
    <w:rsid w:val="00B40A53"/>
    <w:rsid w:val="00B45365"/>
    <w:rsid w:val="00B46A65"/>
    <w:rsid w:val="00B60184"/>
    <w:rsid w:val="00B62D20"/>
    <w:rsid w:val="00B81E75"/>
    <w:rsid w:val="00BD0954"/>
    <w:rsid w:val="00BD1A5A"/>
    <w:rsid w:val="00BD7A9B"/>
    <w:rsid w:val="00BD7BE1"/>
    <w:rsid w:val="00BF416B"/>
    <w:rsid w:val="00C32B40"/>
    <w:rsid w:val="00C45EB2"/>
    <w:rsid w:val="00C53B73"/>
    <w:rsid w:val="00C64E4E"/>
    <w:rsid w:val="00C66E64"/>
    <w:rsid w:val="00C761A0"/>
    <w:rsid w:val="00C85F7E"/>
    <w:rsid w:val="00C90D53"/>
    <w:rsid w:val="00CA0B2E"/>
    <w:rsid w:val="00CA6EF7"/>
    <w:rsid w:val="00CC4A5D"/>
    <w:rsid w:val="00CD47F0"/>
    <w:rsid w:val="00CD5566"/>
    <w:rsid w:val="00CD64D7"/>
    <w:rsid w:val="00CE6F22"/>
    <w:rsid w:val="00CF41F6"/>
    <w:rsid w:val="00CF7D3E"/>
    <w:rsid w:val="00D02B4E"/>
    <w:rsid w:val="00D17D67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B3621"/>
    <w:rsid w:val="00DC6427"/>
    <w:rsid w:val="00DD2869"/>
    <w:rsid w:val="00DD62F5"/>
    <w:rsid w:val="00DD66A1"/>
    <w:rsid w:val="00DE196D"/>
    <w:rsid w:val="00DF6B49"/>
    <w:rsid w:val="00E067C5"/>
    <w:rsid w:val="00E24D59"/>
    <w:rsid w:val="00E265BF"/>
    <w:rsid w:val="00E378D8"/>
    <w:rsid w:val="00E43A12"/>
    <w:rsid w:val="00E67C67"/>
    <w:rsid w:val="00E77476"/>
    <w:rsid w:val="00E8228B"/>
    <w:rsid w:val="00EE1FBD"/>
    <w:rsid w:val="00EE5706"/>
    <w:rsid w:val="00EF373D"/>
    <w:rsid w:val="00EF6649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973EA"/>
    <w:rsid w:val="00FA2AF6"/>
    <w:rsid w:val="00FB073D"/>
    <w:rsid w:val="00FB771F"/>
    <w:rsid w:val="00FC5386"/>
    <w:rsid w:val="00FD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4914C3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List Paragraph (numbered (a)),List Paragraph 1,List Paragraph1,List Paragraph11,NUMBERED PARAGRAPH,Recommendation,References,ReferencesCxSpLast,Use Case List Paragraph,lp1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customStyle="1" w:styleId="ListParagraphChar">
    <w:name w:val="List Paragraph Char"/>
    <w:aliases w:val="List Paragraph (numbered (a)) Char,List Paragraph 1 Char,List Paragraph1 Char,List Paragraph11 Char,NUMBERED PARAGRAPH Char,Recommendation Char,References Char,ReferencesCxSpLast Char,Use Case List Paragraph Char,lp1 Char"/>
    <w:link w:val="ListParagraph"/>
    <w:uiPriority w:val="34"/>
    <w:locked/>
    <w:rsid w:val="004917B3"/>
    <w:rPr>
      <w:rFonts w:ascii="Calibri" w:eastAsia="Times New Roman" w:hAnsi="Calibri"/>
      <w:sz w:val="24"/>
      <w:lang w:val="en-GB" w:eastAsia="en-US"/>
    </w:rPr>
  </w:style>
  <w:style w:type="character" w:customStyle="1" w:styleId="ui-provider">
    <w:name w:val="ui-provider"/>
    <w:basedOn w:val="DefaultParagraphFont"/>
    <w:rsid w:val="00491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890</Words>
  <Characters>855</Characters>
  <Application>Microsoft Office Word</Application>
  <DocSecurity>4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1742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Implications of the Regional Initiatives Approved by WTDC-22</dc:title>
  <dc:subject>Council 2023</dc:subject>
  <dc:creator>Kong, Hongli</dc:creator>
  <cp:keywords>C2023, C23 Council-23</cp:keywords>
  <dc:description/>
  <cp:lastModifiedBy>Xue, Kun</cp:lastModifiedBy>
  <cp:revision>2</cp:revision>
  <cp:lastPrinted>2015-02-24T13:23:00Z</cp:lastPrinted>
  <dcterms:created xsi:type="dcterms:W3CDTF">2023-07-11T11:49:00Z</dcterms:created>
  <dcterms:modified xsi:type="dcterms:W3CDTF">2023-07-11T11:49:00Z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