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EB0101" w14:paraId="1591300A" w14:textId="77777777" w:rsidTr="00AD3606">
        <w:trPr>
          <w:cantSplit/>
          <w:trHeight w:val="23"/>
        </w:trPr>
        <w:tc>
          <w:tcPr>
            <w:tcW w:w="3969" w:type="dxa"/>
            <w:vMerge w:val="restart"/>
            <w:tcMar>
              <w:left w:w="0" w:type="dxa"/>
            </w:tcMar>
          </w:tcPr>
          <w:p w14:paraId="4F2DE73B" w14:textId="3D7416B8" w:rsidR="00AD3606" w:rsidRPr="00EB0101" w:rsidRDefault="00AD3606" w:rsidP="00472BAD">
            <w:pPr>
              <w:tabs>
                <w:tab w:val="left" w:pos="851"/>
              </w:tabs>
              <w:spacing w:before="0" w:line="240" w:lineRule="atLeast"/>
              <w:rPr>
                <w:b/>
              </w:rPr>
            </w:pPr>
            <w:bookmarkStart w:id="0" w:name="dmeeting" w:colFirst="0" w:colLast="0"/>
            <w:bookmarkStart w:id="1" w:name="dnum" w:colFirst="1" w:colLast="1"/>
            <w:r w:rsidRPr="00EB0101">
              <w:rPr>
                <w:b/>
              </w:rPr>
              <w:t>Agenda item:</w:t>
            </w:r>
            <w:r w:rsidR="00F571F9" w:rsidRPr="00EB0101">
              <w:rPr>
                <w:b/>
              </w:rPr>
              <w:t xml:space="preserve"> PL</w:t>
            </w:r>
            <w:r w:rsidR="00FE3785" w:rsidRPr="00EB0101">
              <w:rPr>
                <w:b/>
              </w:rPr>
              <w:t xml:space="preserve"> 3</w:t>
            </w:r>
          </w:p>
        </w:tc>
        <w:tc>
          <w:tcPr>
            <w:tcW w:w="5245" w:type="dxa"/>
          </w:tcPr>
          <w:p w14:paraId="2F0CB53A" w14:textId="61C32FB2" w:rsidR="00AD3606" w:rsidRPr="00EB0101" w:rsidRDefault="00AD3606" w:rsidP="00472BAD">
            <w:pPr>
              <w:tabs>
                <w:tab w:val="left" w:pos="851"/>
              </w:tabs>
              <w:spacing w:before="0" w:line="240" w:lineRule="atLeast"/>
              <w:jc w:val="right"/>
              <w:rPr>
                <w:b/>
              </w:rPr>
            </w:pPr>
            <w:r w:rsidRPr="00EB0101">
              <w:rPr>
                <w:b/>
              </w:rPr>
              <w:t>Document C23/</w:t>
            </w:r>
            <w:r w:rsidR="00F571F9" w:rsidRPr="00EB0101">
              <w:rPr>
                <w:b/>
              </w:rPr>
              <w:t>24</w:t>
            </w:r>
            <w:r w:rsidRPr="00EB0101">
              <w:rPr>
                <w:b/>
              </w:rPr>
              <w:t>-E</w:t>
            </w:r>
          </w:p>
        </w:tc>
      </w:tr>
      <w:tr w:rsidR="00AD3606" w:rsidRPr="00EB0101" w14:paraId="777833CB" w14:textId="77777777" w:rsidTr="00AD3606">
        <w:trPr>
          <w:cantSplit/>
        </w:trPr>
        <w:tc>
          <w:tcPr>
            <w:tcW w:w="3969" w:type="dxa"/>
            <w:vMerge/>
          </w:tcPr>
          <w:p w14:paraId="7DECAB6C" w14:textId="77777777" w:rsidR="00AD3606" w:rsidRPr="00EB0101"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766B3241" w:rsidR="00AD3606" w:rsidRPr="00EB0101" w:rsidRDefault="00D13123" w:rsidP="00AD3606">
            <w:pPr>
              <w:tabs>
                <w:tab w:val="left" w:pos="851"/>
              </w:tabs>
              <w:spacing w:before="0"/>
              <w:jc w:val="right"/>
              <w:rPr>
                <w:b/>
              </w:rPr>
            </w:pPr>
            <w:r>
              <w:rPr>
                <w:b/>
              </w:rPr>
              <w:t>1</w:t>
            </w:r>
            <w:r w:rsidR="00B64A5A">
              <w:rPr>
                <w:b/>
              </w:rPr>
              <w:t>6</w:t>
            </w:r>
            <w:r>
              <w:rPr>
                <w:b/>
              </w:rPr>
              <w:t xml:space="preserve"> May</w:t>
            </w:r>
            <w:r w:rsidR="00F571F9" w:rsidRPr="00EB0101">
              <w:rPr>
                <w:b/>
              </w:rPr>
              <w:t xml:space="preserve"> 2023</w:t>
            </w:r>
          </w:p>
        </w:tc>
      </w:tr>
      <w:tr w:rsidR="00AD3606" w:rsidRPr="00EB0101" w14:paraId="082C2282" w14:textId="77777777" w:rsidTr="00AD3606">
        <w:trPr>
          <w:cantSplit/>
          <w:trHeight w:val="23"/>
        </w:trPr>
        <w:tc>
          <w:tcPr>
            <w:tcW w:w="3969" w:type="dxa"/>
            <w:vMerge/>
          </w:tcPr>
          <w:p w14:paraId="5967F199" w14:textId="77777777" w:rsidR="00AD3606" w:rsidRPr="00EB0101"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B0101" w:rsidRDefault="00AD3606" w:rsidP="00AD3606">
            <w:pPr>
              <w:tabs>
                <w:tab w:val="left" w:pos="851"/>
              </w:tabs>
              <w:spacing w:before="0" w:line="240" w:lineRule="atLeast"/>
              <w:jc w:val="right"/>
              <w:rPr>
                <w:b/>
              </w:rPr>
            </w:pPr>
            <w:r w:rsidRPr="00EB0101">
              <w:rPr>
                <w:b/>
              </w:rPr>
              <w:t>Original: English</w:t>
            </w:r>
          </w:p>
        </w:tc>
      </w:tr>
      <w:tr w:rsidR="00472BAD" w:rsidRPr="00EB0101" w14:paraId="3C9C7706" w14:textId="77777777" w:rsidTr="00AD3606">
        <w:trPr>
          <w:cantSplit/>
          <w:trHeight w:val="23"/>
        </w:trPr>
        <w:tc>
          <w:tcPr>
            <w:tcW w:w="3969" w:type="dxa"/>
          </w:tcPr>
          <w:p w14:paraId="20349897" w14:textId="77777777" w:rsidR="00472BAD" w:rsidRPr="00EB0101" w:rsidRDefault="00472BAD" w:rsidP="00AD3606">
            <w:pPr>
              <w:tabs>
                <w:tab w:val="left" w:pos="851"/>
              </w:tabs>
              <w:spacing w:line="240" w:lineRule="atLeast"/>
              <w:rPr>
                <w:b/>
              </w:rPr>
            </w:pPr>
          </w:p>
        </w:tc>
        <w:tc>
          <w:tcPr>
            <w:tcW w:w="5245" w:type="dxa"/>
          </w:tcPr>
          <w:p w14:paraId="1CCE97A6" w14:textId="77777777" w:rsidR="00472BAD" w:rsidRPr="00EB0101" w:rsidRDefault="00472BAD" w:rsidP="00AD3606">
            <w:pPr>
              <w:tabs>
                <w:tab w:val="left" w:pos="851"/>
              </w:tabs>
              <w:spacing w:before="0" w:line="240" w:lineRule="atLeast"/>
              <w:jc w:val="right"/>
              <w:rPr>
                <w:b/>
              </w:rPr>
            </w:pPr>
          </w:p>
        </w:tc>
      </w:tr>
      <w:tr w:rsidR="00AD3606" w:rsidRPr="00EB0101" w14:paraId="5BEAAFE0" w14:textId="77777777" w:rsidTr="00AD3606">
        <w:trPr>
          <w:cantSplit/>
        </w:trPr>
        <w:tc>
          <w:tcPr>
            <w:tcW w:w="9214" w:type="dxa"/>
            <w:gridSpan w:val="2"/>
            <w:tcMar>
              <w:left w:w="0" w:type="dxa"/>
            </w:tcMar>
          </w:tcPr>
          <w:p w14:paraId="598EF21A" w14:textId="77777777" w:rsidR="00AD3606" w:rsidRPr="00EB0101" w:rsidRDefault="00AD3606" w:rsidP="00C050CE">
            <w:pPr>
              <w:pStyle w:val="Source"/>
              <w:framePr w:hSpace="0" w:wrap="auto" w:vAnchor="margin" w:hAnchor="text" w:xAlign="left" w:yAlign="inline"/>
            </w:pPr>
            <w:bookmarkStart w:id="4" w:name="dsource" w:colFirst="0" w:colLast="0"/>
            <w:bookmarkEnd w:id="3"/>
            <w:r w:rsidRPr="00EB0101">
              <w:t>Report by the Secretary-General</w:t>
            </w:r>
          </w:p>
        </w:tc>
      </w:tr>
      <w:tr w:rsidR="00AD3606" w:rsidRPr="00EB0101" w14:paraId="62B9C291" w14:textId="77777777" w:rsidTr="00AD3606">
        <w:trPr>
          <w:cantSplit/>
        </w:trPr>
        <w:tc>
          <w:tcPr>
            <w:tcW w:w="9214" w:type="dxa"/>
            <w:gridSpan w:val="2"/>
            <w:tcMar>
              <w:left w:w="0" w:type="dxa"/>
            </w:tcMar>
          </w:tcPr>
          <w:p w14:paraId="556A1BCF" w14:textId="46A1D01D" w:rsidR="00AD3606" w:rsidRPr="00EB0101" w:rsidRDefault="00980CB5" w:rsidP="00C050CE">
            <w:pPr>
              <w:pStyle w:val="Subtitle"/>
              <w:framePr w:hSpace="0" w:wrap="auto" w:xAlign="left" w:yAlign="inline"/>
            </w:pPr>
            <w:bookmarkStart w:id="5" w:name="dtitle1" w:colFirst="0" w:colLast="0"/>
            <w:bookmarkEnd w:id="4"/>
            <w:r w:rsidRPr="00EB0101">
              <w:t xml:space="preserve">PRECISE </w:t>
            </w:r>
            <w:r w:rsidR="00D004F4" w:rsidRPr="00EB0101">
              <w:t>PLACE</w:t>
            </w:r>
            <w:r w:rsidRPr="00EB0101">
              <w:t xml:space="preserve"> AND EXACT DATES</w:t>
            </w:r>
            <w:r w:rsidR="00D004F4" w:rsidRPr="00EB0101">
              <w:t xml:space="preserve"> OF THE </w:t>
            </w:r>
            <w:r w:rsidR="00942CAC">
              <w:t xml:space="preserve">2024 </w:t>
            </w:r>
            <w:r w:rsidR="00D004F4" w:rsidRPr="00EB0101">
              <w:t xml:space="preserve">WORLD TELECOMMUNICATION STANDARDIZATION </w:t>
            </w:r>
            <w:r w:rsidR="003871D7" w:rsidRPr="00EB0101">
              <w:t>ASSEMBLY</w:t>
            </w:r>
            <w:r w:rsidR="00D004F4" w:rsidRPr="00EB0101">
              <w:t xml:space="preserve"> AND UPDATE ON PREPARATION</w:t>
            </w:r>
            <w:r w:rsidR="00966EEB">
              <w:t>S</w:t>
            </w:r>
          </w:p>
        </w:tc>
      </w:tr>
      <w:tr w:rsidR="00AD3606" w:rsidRPr="00EB0101"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5A60FE14" w:rsidR="00AD3606" w:rsidRPr="00EB0101" w:rsidRDefault="00F16BAB" w:rsidP="00F16BAB">
            <w:pPr>
              <w:spacing w:before="160"/>
              <w:rPr>
                <w:b/>
                <w:bCs/>
                <w:sz w:val="26"/>
                <w:szCs w:val="26"/>
              </w:rPr>
            </w:pPr>
            <w:r w:rsidRPr="00EB0101">
              <w:rPr>
                <w:b/>
                <w:bCs/>
                <w:sz w:val="26"/>
                <w:szCs w:val="26"/>
              </w:rPr>
              <w:t xml:space="preserve">Purpose </w:t>
            </w:r>
          </w:p>
          <w:p w14:paraId="39C9CEDD" w14:textId="42905066" w:rsidR="00D004F4" w:rsidRPr="00EB0101" w:rsidRDefault="00D004F4" w:rsidP="00F571F9">
            <w:pPr>
              <w:spacing w:after="120"/>
              <w:jc w:val="both"/>
              <w:rPr>
                <w:szCs w:val="24"/>
              </w:rPr>
            </w:pPr>
            <w:r w:rsidRPr="00EB0101">
              <w:t xml:space="preserve">Resolution 77 (Rev. Bucharest, 2022) </w:t>
            </w:r>
            <w:r w:rsidR="00C050CE" w:rsidRPr="00EB0101">
              <w:t xml:space="preserve">of the Plenipotentiary Conference </w:t>
            </w:r>
            <w:r w:rsidRPr="00EB0101">
              <w:t xml:space="preserve">resolves that </w:t>
            </w:r>
            <w:r w:rsidR="00966EEB">
              <w:t xml:space="preserve">the </w:t>
            </w:r>
            <w:r w:rsidRPr="00EB0101">
              <w:t>W</w:t>
            </w:r>
            <w:r w:rsidR="00966EEB">
              <w:t xml:space="preserve">orld </w:t>
            </w:r>
            <w:r w:rsidRPr="00EB0101">
              <w:t>T</w:t>
            </w:r>
            <w:r w:rsidR="00966EEB">
              <w:t xml:space="preserve">elecommunication </w:t>
            </w:r>
            <w:r w:rsidRPr="00EB0101">
              <w:t>S</w:t>
            </w:r>
            <w:r w:rsidR="00966EEB">
              <w:t xml:space="preserve">tandardization </w:t>
            </w:r>
            <w:r w:rsidRPr="00EB0101">
              <w:t>A</w:t>
            </w:r>
            <w:r w:rsidR="00966EEB">
              <w:t>ssembly (WTSA)</w:t>
            </w:r>
            <w:r w:rsidRPr="00EB0101">
              <w:t xml:space="preserve"> shall be held in the last quarter of 2024 in India.</w:t>
            </w:r>
          </w:p>
          <w:p w14:paraId="7DCD2A58" w14:textId="09433713" w:rsidR="00F571F9" w:rsidRPr="00EB0101" w:rsidRDefault="00D004F4" w:rsidP="00F571F9">
            <w:pPr>
              <w:spacing w:after="120"/>
              <w:jc w:val="both"/>
              <w:rPr>
                <w:szCs w:val="24"/>
              </w:rPr>
            </w:pPr>
            <w:r w:rsidRPr="00EB0101">
              <w:rPr>
                <w:szCs w:val="24"/>
              </w:rPr>
              <w:t xml:space="preserve">Following the invitation received from the Government of India to hold WTSA-24 at </w:t>
            </w:r>
            <w:r w:rsidR="00527A3C">
              <w:rPr>
                <w:szCs w:val="24"/>
              </w:rPr>
              <w:t xml:space="preserve">the </w:t>
            </w:r>
            <w:r w:rsidRPr="00BC6D51">
              <w:rPr>
                <w:szCs w:val="24"/>
              </w:rPr>
              <w:t>International</w:t>
            </w:r>
            <w:r w:rsidRPr="00EB0101">
              <w:rPr>
                <w:szCs w:val="24"/>
              </w:rPr>
              <w:t xml:space="preserve"> Exhibition</w:t>
            </w:r>
            <w:r w:rsidR="009125A6">
              <w:rPr>
                <w:szCs w:val="24"/>
              </w:rPr>
              <w:t xml:space="preserve"> c</w:t>
            </w:r>
            <w:r w:rsidRPr="00EB0101">
              <w:rPr>
                <w:szCs w:val="24"/>
              </w:rPr>
              <w:t>um</w:t>
            </w:r>
            <w:r w:rsidR="009125A6">
              <w:rPr>
                <w:szCs w:val="24"/>
              </w:rPr>
              <w:t xml:space="preserve"> </w:t>
            </w:r>
            <w:r w:rsidRPr="00EB0101">
              <w:rPr>
                <w:szCs w:val="24"/>
              </w:rPr>
              <w:t xml:space="preserve">Convention </w:t>
            </w:r>
            <w:r w:rsidR="00BC6D51" w:rsidRPr="00EB0101">
              <w:rPr>
                <w:szCs w:val="24"/>
              </w:rPr>
              <w:t>Centre</w:t>
            </w:r>
            <w:r w:rsidRPr="00EB0101">
              <w:rPr>
                <w:szCs w:val="24"/>
              </w:rPr>
              <w:t>, Pragati Maidan, New Delhi</w:t>
            </w:r>
            <w:r w:rsidR="00527A3C">
              <w:rPr>
                <w:szCs w:val="24"/>
              </w:rPr>
              <w:t xml:space="preserve">, </w:t>
            </w:r>
            <w:r w:rsidR="00BC6D51">
              <w:rPr>
                <w:szCs w:val="24"/>
              </w:rPr>
              <w:t>India</w:t>
            </w:r>
            <w:r w:rsidRPr="00EB0101">
              <w:rPr>
                <w:szCs w:val="24"/>
              </w:rPr>
              <w:t xml:space="preserve">, </w:t>
            </w:r>
            <w:r w:rsidR="00C050CE" w:rsidRPr="00EB0101">
              <w:rPr>
                <w:spacing w:val="-2"/>
                <w:szCs w:val="24"/>
              </w:rPr>
              <w:t xml:space="preserve">from </w:t>
            </w:r>
            <w:r w:rsidRPr="00EB0101">
              <w:rPr>
                <w:spacing w:val="-2"/>
              </w:rPr>
              <w:t>15 to 24 October 2024</w:t>
            </w:r>
            <w:r w:rsidR="00C050CE" w:rsidRPr="00EB0101">
              <w:rPr>
                <w:spacing w:val="-2"/>
              </w:rPr>
              <w:t>, the</w:t>
            </w:r>
            <w:r w:rsidRPr="00EB0101">
              <w:rPr>
                <w:spacing w:val="-2"/>
              </w:rPr>
              <w:t xml:space="preserve"> </w:t>
            </w:r>
            <w:r w:rsidR="00966EEB">
              <w:rPr>
                <w:spacing w:val="-2"/>
              </w:rPr>
              <w:t xml:space="preserve">ITU </w:t>
            </w:r>
            <w:r w:rsidR="00F571F9" w:rsidRPr="00EB0101">
              <w:rPr>
                <w:spacing w:val="-2"/>
                <w:szCs w:val="24"/>
              </w:rPr>
              <w:t>Council</w:t>
            </w:r>
            <w:r w:rsidR="00AF4167" w:rsidRPr="00EB0101">
              <w:rPr>
                <w:spacing w:val="-2"/>
                <w:szCs w:val="24"/>
              </w:rPr>
              <w:t xml:space="preserve">, </w:t>
            </w:r>
            <w:r w:rsidRPr="00EB0101">
              <w:rPr>
                <w:spacing w:val="-2"/>
                <w:szCs w:val="24"/>
              </w:rPr>
              <w:t xml:space="preserve">pursuant to No. 42 of the </w:t>
            </w:r>
            <w:r w:rsidR="00C050CE" w:rsidRPr="00EB0101">
              <w:rPr>
                <w:spacing w:val="-2"/>
                <w:szCs w:val="24"/>
              </w:rPr>
              <w:t xml:space="preserve">ITU </w:t>
            </w:r>
            <w:r w:rsidRPr="00EB0101">
              <w:rPr>
                <w:spacing w:val="-2"/>
                <w:szCs w:val="24"/>
              </w:rPr>
              <w:t>Convention, shall determine</w:t>
            </w:r>
            <w:r w:rsidRPr="00EB0101">
              <w:rPr>
                <w:szCs w:val="24"/>
              </w:rPr>
              <w:t xml:space="preserve"> the </w:t>
            </w:r>
            <w:r w:rsidR="00F571F9" w:rsidRPr="00EB0101">
              <w:rPr>
                <w:szCs w:val="24"/>
              </w:rPr>
              <w:t xml:space="preserve">precise place and exact dates of WTSA-24 with the concurrence of </w:t>
            </w:r>
            <w:r w:rsidR="00966EEB">
              <w:rPr>
                <w:szCs w:val="24"/>
              </w:rPr>
              <w:t>a</w:t>
            </w:r>
            <w:r w:rsidR="00966EEB" w:rsidRPr="00EB0101">
              <w:rPr>
                <w:szCs w:val="24"/>
              </w:rPr>
              <w:t xml:space="preserve"> </w:t>
            </w:r>
            <w:r w:rsidR="00F571F9" w:rsidRPr="00EB0101">
              <w:rPr>
                <w:szCs w:val="24"/>
              </w:rPr>
              <w:t>majority of the Member States.</w:t>
            </w:r>
          </w:p>
          <w:p w14:paraId="01EEEAC5" w14:textId="5E201F6F" w:rsidR="00AD3606" w:rsidRPr="00EB0101" w:rsidRDefault="00F571F9" w:rsidP="00F571F9">
            <w:r w:rsidRPr="00EB0101">
              <w:rPr>
                <w:rFonts w:asciiTheme="minorHAnsi" w:hAnsiTheme="minorHAnsi" w:cstheme="minorHAnsi"/>
                <w:szCs w:val="24"/>
              </w:rPr>
              <w:t xml:space="preserve">The document </w:t>
            </w:r>
            <w:r w:rsidR="00D004F4" w:rsidRPr="00EB0101">
              <w:rPr>
                <w:rFonts w:asciiTheme="minorHAnsi" w:hAnsiTheme="minorHAnsi" w:cstheme="minorHAnsi"/>
                <w:szCs w:val="24"/>
              </w:rPr>
              <w:t xml:space="preserve">also </w:t>
            </w:r>
            <w:r w:rsidRPr="00EB0101">
              <w:rPr>
                <w:rFonts w:asciiTheme="minorHAnsi" w:hAnsiTheme="minorHAnsi" w:cstheme="minorHAnsi"/>
                <w:szCs w:val="24"/>
              </w:rPr>
              <w:t xml:space="preserve">reports </w:t>
            </w:r>
            <w:r w:rsidR="00966EEB">
              <w:rPr>
                <w:rFonts w:asciiTheme="minorHAnsi" w:hAnsiTheme="minorHAnsi" w:cstheme="minorHAnsi"/>
                <w:szCs w:val="24"/>
              </w:rPr>
              <w:t>on</w:t>
            </w:r>
            <w:r w:rsidR="00966EEB" w:rsidRPr="00EB0101">
              <w:rPr>
                <w:rFonts w:asciiTheme="minorHAnsi" w:hAnsiTheme="minorHAnsi" w:cstheme="minorHAnsi"/>
                <w:szCs w:val="24"/>
              </w:rPr>
              <w:t xml:space="preserve"> </w:t>
            </w:r>
            <w:r w:rsidRPr="00EB0101">
              <w:rPr>
                <w:rFonts w:asciiTheme="minorHAnsi" w:hAnsiTheme="minorHAnsi" w:cstheme="minorHAnsi"/>
                <w:szCs w:val="24"/>
              </w:rPr>
              <w:t xml:space="preserve">the status of preparations for WTSA-24 and the </w:t>
            </w:r>
            <w:r w:rsidR="00966EEB">
              <w:rPr>
                <w:rFonts w:asciiTheme="minorHAnsi" w:hAnsiTheme="minorHAnsi" w:cstheme="minorHAnsi"/>
                <w:szCs w:val="24"/>
              </w:rPr>
              <w:t xml:space="preserve">2024 </w:t>
            </w:r>
            <w:r w:rsidR="000F0FB2">
              <w:rPr>
                <w:rFonts w:asciiTheme="minorHAnsi" w:hAnsiTheme="minorHAnsi" w:cstheme="minorHAnsi"/>
                <w:szCs w:val="24"/>
              </w:rPr>
              <w:t>g</w:t>
            </w:r>
            <w:r w:rsidRPr="00EB0101">
              <w:rPr>
                <w:rFonts w:asciiTheme="minorHAnsi" w:hAnsiTheme="minorHAnsi" w:cstheme="minorHAnsi"/>
                <w:szCs w:val="24"/>
              </w:rPr>
              <w:t xml:space="preserve">lobal </w:t>
            </w:r>
            <w:r w:rsidR="000F0FB2">
              <w:rPr>
                <w:rFonts w:asciiTheme="minorHAnsi" w:hAnsiTheme="minorHAnsi" w:cstheme="minorHAnsi"/>
                <w:szCs w:val="24"/>
              </w:rPr>
              <w:t>s</w:t>
            </w:r>
            <w:r w:rsidRPr="00EB0101">
              <w:rPr>
                <w:rFonts w:asciiTheme="minorHAnsi" w:hAnsiTheme="minorHAnsi" w:cstheme="minorHAnsi"/>
                <w:szCs w:val="24"/>
              </w:rPr>
              <w:t xml:space="preserve">tandards </w:t>
            </w:r>
            <w:r w:rsidR="000F0FB2">
              <w:rPr>
                <w:rFonts w:asciiTheme="minorHAnsi" w:hAnsiTheme="minorHAnsi" w:cstheme="minorHAnsi"/>
                <w:szCs w:val="24"/>
              </w:rPr>
              <w:t>s</w:t>
            </w:r>
            <w:r w:rsidRPr="00EB0101">
              <w:rPr>
                <w:rFonts w:asciiTheme="minorHAnsi" w:hAnsiTheme="minorHAnsi" w:cstheme="minorHAnsi"/>
                <w:szCs w:val="24"/>
              </w:rPr>
              <w:t>ymposium (GSS-24).</w:t>
            </w:r>
          </w:p>
          <w:p w14:paraId="45B1495A" w14:textId="77777777" w:rsidR="00AD3606" w:rsidRPr="00EB0101" w:rsidRDefault="00AD3606" w:rsidP="00F16BAB">
            <w:pPr>
              <w:spacing w:before="160"/>
              <w:rPr>
                <w:b/>
                <w:bCs/>
                <w:sz w:val="26"/>
                <w:szCs w:val="26"/>
              </w:rPr>
            </w:pPr>
            <w:r w:rsidRPr="00EB0101">
              <w:rPr>
                <w:b/>
                <w:bCs/>
                <w:sz w:val="26"/>
                <w:szCs w:val="26"/>
              </w:rPr>
              <w:t>Action required</w:t>
            </w:r>
            <w:r w:rsidR="00F16BAB" w:rsidRPr="00EB0101">
              <w:rPr>
                <w:b/>
                <w:bCs/>
                <w:sz w:val="26"/>
                <w:szCs w:val="26"/>
              </w:rPr>
              <w:t xml:space="preserve"> by the Council</w:t>
            </w:r>
          </w:p>
          <w:p w14:paraId="4C1CE7D0" w14:textId="60A4DA05" w:rsidR="00F571F9" w:rsidRPr="00EB0101" w:rsidRDefault="00D004F4" w:rsidP="00F571F9">
            <w:pPr>
              <w:tabs>
                <w:tab w:val="clear" w:pos="567"/>
                <w:tab w:val="clear" w:pos="1134"/>
                <w:tab w:val="clear" w:pos="1701"/>
                <w:tab w:val="clear" w:pos="2268"/>
                <w:tab w:val="clear" w:pos="2835"/>
              </w:tabs>
              <w:overflowPunct/>
              <w:jc w:val="both"/>
              <w:textAlignment w:val="auto"/>
              <w:rPr>
                <w:rFonts w:cs="Calibri"/>
                <w:szCs w:val="24"/>
                <w:lang w:eastAsia="zh-CN"/>
              </w:rPr>
            </w:pPr>
            <w:r w:rsidRPr="00EB0101">
              <w:rPr>
                <w:rFonts w:asciiTheme="minorHAnsi" w:hAnsiTheme="minorHAnsi"/>
                <w:bCs/>
                <w:szCs w:val="24"/>
              </w:rPr>
              <w:t xml:space="preserve">The Council is invited </w:t>
            </w:r>
            <w:r w:rsidRPr="00EB0101">
              <w:rPr>
                <w:rFonts w:asciiTheme="minorHAnsi" w:hAnsiTheme="minorHAnsi"/>
                <w:b/>
                <w:szCs w:val="24"/>
              </w:rPr>
              <w:t>to note</w:t>
            </w:r>
            <w:r w:rsidRPr="00EB0101">
              <w:rPr>
                <w:rFonts w:asciiTheme="minorHAnsi" w:hAnsiTheme="minorHAnsi"/>
                <w:bCs/>
                <w:szCs w:val="24"/>
              </w:rPr>
              <w:t xml:space="preserve"> the report</w:t>
            </w:r>
            <w:r w:rsidRPr="00EB0101">
              <w:rPr>
                <w:rFonts w:cs="Calibri"/>
                <w:szCs w:val="24"/>
                <w:lang w:eastAsia="zh-CN"/>
              </w:rPr>
              <w:t xml:space="preserve"> on the preparation</w:t>
            </w:r>
            <w:r w:rsidR="00966EEB">
              <w:rPr>
                <w:rFonts w:cs="Calibri"/>
                <w:szCs w:val="24"/>
                <w:lang w:eastAsia="zh-CN"/>
              </w:rPr>
              <w:t>s</w:t>
            </w:r>
            <w:r w:rsidRPr="00EB0101">
              <w:rPr>
                <w:rFonts w:cs="Calibri"/>
                <w:szCs w:val="24"/>
                <w:lang w:eastAsia="zh-CN"/>
              </w:rPr>
              <w:t xml:space="preserve"> </w:t>
            </w:r>
            <w:r w:rsidR="00966EEB">
              <w:rPr>
                <w:rFonts w:cs="Calibri"/>
                <w:szCs w:val="24"/>
                <w:lang w:eastAsia="zh-CN"/>
              </w:rPr>
              <w:t>for</w:t>
            </w:r>
            <w:r w:rsidRPr="00EB0101">
              <w:rPr>
                <w:rFonts w:cs="Calibri"/>
                <w:szCs w:val="24"/>
                <w:lang w:eastAsia="zh-CN"/>
              </w:rPr>
              <w:t xml:space="preserve"> WTSA-24 and </w:t>
            </w:r>
            <w:r w:rsidR="00F571F9" w:rsidRPr="00EB0101">
              <w:rPr>
                <w:rFonts w:cs="Calibri"/>
                <w:b/>
                <w:bCs/>
                <w:szCs w:val="24"/>
                <w:lang w:eastAsia="zh-CN"/>
              </w:rPr>
              <w:t>to</w:t>
            </w:r>
            <w:r w:rsidR="00F571F9" w:rsidRPr="00EB0101">
              <w:rPr>
                <w:rFonts w:cs="Calibri"/>
                <w:szCs w:val="24"/>
                <w:lang w:eastAsia="zh-CN"/>
              </w:rPr>
              <w:t xml:space="preserve"> </w:t>
            </w:r>
            <w:r w:rsidR="00F571F9" w:rsidRPr="00EB0101">
              <w:rPr>
                <w:b/>
                <w:bCs/>
              </w:rPr>
              <w:t>decide</w:t>
            </w:r>
            <w:r w:rsidR="00F571F9" w:rsidRPr="00EB0101">
              <w:t xml:space="preserve"> on the </w:t>
            </w:r>
            <w:r w:rsidR="00942CAC">
              <w:t>precise place</w:t>
            </w:r>
            <w:r w:rsidR="00942CAC" w:rsidRPr="00EB0101">
              <w:t xml:space="preserve"> </w:t>
            </w:r>
            <w:r w:rsidR="00F571F9" w:rsidRPr="00EB0101">
              <w:t xml:space="preserve">and </w:t>
            </w:r>
            <w:r w:rsidR="00966EEB">
              <w:t xml:space="preserve">exact </w:t>
            </w:r>
            <w:r w:rsidR="00F571F9" w:rsidRPr="00EB0101">
              <w:t>dates of WTSA-24</w:t>
            </w:r>
            <w:r w:rsidRPr="00EB0101">
              <w:t xml:space="preserve"> by </w:t>
            </w:r>
            <w:r w:rsidR="00F571F9" w:rsidRPr="00EB0101">
              <w:rPr>
                <w:b/>
                <w:iCs/>
              </w:rPr>
              <w:t>adopt</w:t>
            </w:r>
            <w:r w:rsidRPr="00EB0101">
              <w:rPr>
                <w:b/>
                <w:iCs/>
              </w:rPr>
              <w:t>ing</w:t>
            </w:r>
            <w:r w:rsidR="00F571F9" w:rsidRPr="00EB0101">
              <w:rPr>
                <w:iCs/>
              </w:rPr>
              <w:t xml:space="preserve"> the draft decision contained in Annex</w:t>
            </w:r>
            <w:r w:rsidR="00C050CE" w:rsidRPr="00EB0101">
              <w:rPr>
                <w:iCs/>
              </w:rPr>
              <w:t> </w:t>
            </w:r>
            <w:r w:rsidR="00F571F9" w:rsidRPr="00EB0101">
              <w:rPr>
                <w:iCs/>
              </w:rPr>
              <w:t>2 to this document</w:t>
            </w:r>
            <w:r w:rsidR="00F571F9" w:rsidRPr="00EB0101">
              <w:t>.</w:t>
            </w:r>
          </w:p>
          <w:p w14:paraId="71511FA1" w14:textId="65D50FD3" w:rsidR="00F16BAB" w:rsidRPr="00EB0101" w:rsidRDefault="00F16BAB" w:rsidP="00F16BAB">
            <w:pPr>
              <w:spacing w:before="160"/>
              <w:rPr>
                <w:b/>
                <w:bCs/>
                <w:sz w:val="26"/>
                <w:szCs w:val="26"/>
              </w:rPr>
            </w:pPr>
            <w:r w:rsidRPr="00EB0101">
              <w:rPr>
                <w:b/>
                <w:bCs/>
                <w:sz w:val="26"/>
                <w:szCs w:val="26"/>
              </w:rPr>
              <w:t>Relevant link</w:t>
            </w:r>
            <w:r w:rsidR="00A54171" w:rsidRPr="00EB0101">
              <w:rPr>
                <w:b/>
                <w:bCs/>
                <w:sz w:val="26"/>
                <w:szCs w:val="26"/>
              </w:rPr>
              <w:t>(s)</w:t>
            </w:r>
            <w:r w:rsidRPr="00EB0101">
              <w:rPr>
                <w:b/>
                <w:bCs/>
                <w:sz w:val="26"/>
                <w:szCs w:val="26"/>
              </w:rPr>
              <w:t xml:space="preserve"> with the Strategic Plan</w:t>
            </w:r>
          </w:p>
          <w:p w14:paraId="39CD09EA" w14:textId="1C13A858" w:rsidR="00D004F4" w:rsidRPr="00EB0101" w:rsidRDefault="00D004F4" w:rsidP="00F16BAB">
            <w:pPr>
              <w:spacing w:before="160"/>
              <w:rPr>
                <w:szCs w:val="24"/>
              </w:rPr>
            </w:pPr>
            <w:r w:rsidRPr="00EB0101">
              <w:rPr>
                <w:szCs w:val="24"/>
              </w:rPr>
              <w:t>Convening Platform</w:t>
            </w:r>
            <w:r w:rsidR="00966EEB">
              <w:rPr>
                <w:szCs w:val="24"/>
              </w:rPr>
              <w:t>.</w:t>
            </w:r>
          </w:p>
          <w:p w14:paraId="2EA83AAB" w14:textId="727E12CA" w:rsidR="00966EEB" w:rsidRDefault="00F16BAB" w:rsidP="00F16BAB">
            <w:pPr>
              <w:spacing w:before="160"/>
              <w:rPr>
                <w:b/>
                <w:bCs/>
                <w:sz w:val="26"/>
                <w:szCs w:val="26"/>
              </w:rPr>
            </w:pPr>
            <w:r w:rsidRPr="00EB0101">
              <w:rPr>
                <w:b/>
                <w:bCs/>
                <w:sz w:val="26"/>
                <w:szCs w:val="26"/>
              </w:rPr>
              <w:t>Financial implications</w:t>
            </w:r>
          </w:p>
          <w:p w14:paraId="74189BBD" w14:textId="0CFF1F1C" w:rsidR="00F16BAB" w:rsidRPr="00EB0101" w:rsidRDefault="009D0F4C" w:rsidP="00F16BAB">
            <w:pPr>
              <w:spacing w:before="160"/>
              <w:rPr>
                <w:b/>
                <w:bCs/>
                <w:sz w:val="26"/>
                <w:szCs w:val="26"/>
              </w:rPr>
            </w:pPr>
            <w:r>
              <w:rPr>
                <w:szCs w:val="24"/>
              </w:rPr>
              <w:t>CHF </w:t>
            </w:r>
            <w:r w:rsidRPr="00EB0101">
              <w:rPr>
                <w:szCs w:val="24"/>
              </w:rPr>
              <w:t>639</w:t>
            </w:r>
            <w:r>
              <w:rPr>
                <w:szCs w:val="24"/>
              </w:rPr>
              <w:t> </w:t>
            </w:r>
            <w:r w:rsidR="00631091" w:rsidRPr="00EB0101">
              <w:rPr>
                <w:szCs w:val="24"/>
              </w:rPr>
              <w:t>000</w:t>
            </w:r>
            <w:r w:rsidR="00525A1F">
              <w:rPr>
                <w:szCs w:val="24"/>
              </w:rPr>
              <w:t>.</w:t>
            </w:r>
          </w:p>
          <w:p w14:paraId="6F1B8B4E" w14:textId="77777777" w:rsidR="00AD3606" w:rsidRPr="00EB0101" w:rsidRDefault="00AD3606" w:rsidP="00D13123">
            <w:pPr>
              <w:spacing w:before="0"/>
              <w:rPr>
                <w:caps/>
                <w:sz w:val="22"/>
              </w:rPr>
            </w:pPr>
            <w:r w:rsidRPr="00EB0101">
              <w:rPr>
                <w:sz w:val="22"/>
              </w:rPr>
              <w:t>__________________</w:t>
            </w:r>
          </w:p>
          <w:p w14:paraId="0EBC340A" w14:textId="77777777" w:rsidR="00AD3606" w:rsidRPr="00EB0101" w:rsidRDefault="00AD3606" w:rsidP="00D13123">
            <w:pPr>
              <w:rPr>
                <w:b/>
                <w:bCs/>
                <w:sz w:val="26"/>
                <w:szCs w:val="26"/>
              </w:rPr>
            </w:pPr>
            <w:r w:rsidRPr="00EB0101">
              <w:rPr>
                <w:b/>
                <w:bCs/>
                <w:sz w:val="26"/>
                <w:szCs w:val="26"/>
              </w:rPr>
              <w:t>References</w:t>
            </w:r>
          </w:p>
          <w:p w14:paraId="65250B1E" w14:textId="672DF746" w:rsidR="00AD3606" w:rsidRPr="00EB0101" w:rsidRDefault="00B64A5A" w:rsidP="00AF4167">
            <w:pPr>
              <w:pStyle w:val="NoSpacing"/>
              <w:spacing w:before="120" w:after="120"/>
              <w:rPr>
                <w:sz w:val="24"/>
                <w:szCs w:val="24"/>
                <w:lang w:val="en-GB"/>
              </w:rPr>
            </w:pPr>
            <w:hyperlink r:id="rId8" w:history="1">
              <w:r w:rsidR="009D0F4C">
                <w:rPr>
                  <w:rStyle w:val="Hyperlink"/>
                  <w:i/>
                  <w:iCs/>
                  <w:sz w:val="24"/>
                  <w:szCs w:val="24"/>
                  <w:lang w:val="en-GB"/>
                </w:rPr>
                <w:t>CS N</w:t>
              </w:r>
              <w:r w:rsidR="00F571F9" w:rsidRPr="00EB0101">
                <w:rPr>
                  <w:rStyle w:val="Hyperlink"/>
                  <w:i/>
                  <w:iCs/>
                  <w:sz w:val="24"/>
                  <w:szCs w:val="24"/>
                  <w:lang w:val="en-GB"/>
                </w:rPr>
                <w:t>o. 114</w:t>
              </w:r>
            </w:hyperlink>
            <w:r w:rsidR="00F571F9" w:rsidRPr="00EB0101">
              <w:rPr>
                <w:i/>
                <w:iCs/>
                <w:sz w:val="24"/>
                <w:szCs w:val="24"/>
                <w:lang w:val="en-GB"/>
              </w:rPr>
              <w:t xml:space="preserve">, </w:t>
            </w:r>
            <w:hyperlink r:id="rId9" w:history="1">
              <w:r w:rsidR="009D0F4C">
                <w:rPr>
                  <w:rStyle w:val="Hyperlink"/>
                  <w:i/>
                  <w:iCs/>
                  <w:sz w:val="24"/>
                  <w:szCs w:val="24"/>
                  <w:lang w:val="en-GB"/>
                </w:rPr>
                <w:t>CV N</w:t>
              </w:r>
              <w:r w:rsidR="00F571F9" w:rsidRPr="00EB0101">
                <w:rPr>
                  <w:rStyle w:val="Hyperlink"/>
                  <w:i/>
                  <w:iCs/>
                  <w:sz w:val="24"/>
                  <w:szCs w:val="24"/>
                  <w:lang w:val="en-GB"/>
                </w:rPr>
                <w:t>os. 23, 24 and 42</w:t>
              </w:r>
            </w:hyperlink>
            <w:r w:rsidR="00F571F9" w:rsidRPr="00EB0101">
              <w:rPr>
                <w:rStyle w:val="Hyperlink"/>
                <w:i/>
                <w:iCs/>
                <w:sz w:val="24"/>
                <w:szCs w:val="24"/>
                <w:u w:val="none"/>
                <w:lang w:val="en-GB"/>
              </w:rPr>
              <w:t xml:space="preserve">, </w:t>
            </w:r>
            <w:hyperlink r:id="rId10" w:history="1">
              <w:r w:rsidR="00F571F9" w:rsidRPr="00EB0101">
                <w:rPr>
                  <w:rStyle w:val="Hyperlink"/>
                  <w:i/>
                  <w:iCs/>
                  <w:sz w:val="24"/>
                  <w:szCs w:val="24"/>
                  <w:lang w:val="en-GB"/>
                </w:rPr>
                <w:t>Chapter I of the General Rules of Conferences, Assemblies and Meetings of the Union</w:t>
              </w:r>
            </w:hyperlink>
            <w:r w:rsidR="00AF4167" w:rsidRPr="00EB0101">
              <w:rPr>
                <w:i/>
                <w:iCs/>
                <w:sz w:val="24"/>
                <w:szCs w:val="24"/>
                <w:lang w:val="en-GB"/>
              </w:rPr>
              <w:t xml:space="preserve">, </w:t>
            </w:r>
            <w:hyperlink r:id="rId11" w:history="1">
              <w:r w:rsidR="00CA7D31" w:rsidRPr="00EB0101">
                <w:rPr>
                  <w:rStyle w:val="Hyperlink"/>
                  <w:i/>
                  <w:iCs/>
                  <w:spacing w:val="-2"/>
                  <w:sz w:val="24"/>
                  <w:szCs w:val="24"/>
                  <w:lang w:val="en-GB"/>
                </w:rPr>
                <w:t>R</w:t>
              </w:r>
              <w:r w:rsidR="00F571F9" w:rsidRPr="00EB0101">
                <w:rPr>
                  <w:rStyle w:val="Hyperlink"/>
                  <w:i/>
                  <w:iCs/>
                  <w:spacing w:val="-2"/>
                  <w:sz w:val="24"/>
                  <w:szCs w:val="24"/>
                  <w:lang w:val="en-GB"/>
                </w:rPr>
                <w:t>esolution 77 (Rev.</w:t>
              </w:r>
              <w:r w:rsidR="0093558C" w:rsidRPr="00EB0101">
                <w:rPr>
                  <w:rStyle w:val="Hyperlink"/>
                  <w:i/>
                  <w:iCs/>
                  <w:spacing w:val="-2"/>
                  <w:sz w:val="24"/>
                  <w:szCs w:val="24"/>
                  <w:lang w:val="en-GB"/>
                </w:rPr>
                <w:t> </w:t>
              </w:r>
              <w:r w:rsidR="00F571F9" w:rsidRPr="00EB0101">
                <w:rPr>
                  <w:rStyle w:val="Hyperlink"/>
                  <w:i/>
                  <w:iCs/>
                  <w:spacing w:val="-2"/>
                  <w:sz w:val="24"/>
                  <w:szCs w:val="24"/>
                  <w:lang w:val="en-GB"/>
                </w:rPr>
                <w:t>Bucharest, 2022)</w:t>
              </w:r>
            </w:hyperlink>
            <w:r w:rsidR="00F571F9" w:rsidRPr="00EB0101">
              <w:rPr>
                <w:i/>
                <w:iCs/>
                <w:spacing w:val="-2"/>
                <w:sz w:val="24"/>
                <w:szCs w:val="24"/>
                <w:lang w:val="en-GB"/>
              </w:rPr>
              <w:t xml:space="preserve"> and </w:t>
            </w:r>
            <w:hyperlink r:id="rId12" w:history="1">
              <w:r w:rsidR="00F571F9" w:rsidRPr="00EB0101">
                <w:rPr>
                  <w:rStyle w:val="Hyperlink"/>
                  <w:i/>
                  <w:iCs/>
                  <w:spacing w:val="-2"/>
                  <w:sz w:val="24"/>
                  <w:szCs w:val="24"/>
                  <w:lang w:val="en-GB"/>
                </w:rPr>
                <w:t>Resolution 111 (Rev. Busan, 2014)</w:t>
              </w:r>
            </w:hyperlink>
            <w:r w:rsidR="009D0F4C">
              <w:rPr>
                <w:rStyle w:val="Hyperlink"/>
                <w:i/>
                <w:iCs/>
                <w:color w:val="auto"/>
                <w:spacing w:val="-2"/>
                <w:sz w:val="24"/>
                <w:szCs w:val="24"/>
                <w:u w:val="none"/>
                <w:lang w:val="en-GB"/>
              </w:rPr>
              <w:t xml:space="preserve"> of the Plenipotentiary Conference,</w:t>
            </w:r>
            <w:r w:rsidR="00AF4167" w:rsidRPr="00EB0101">
              <w:rPr>
                <w:rStyle w:val="Hyperlink"/>
                <w:i/>
                <w:iCs/>
                <w:color w:val="auto"/>
                <w:spacing w:val="-2"/>
                <w:sz w:val="24"/>
                <w:szCs w:val="24"/>
                <w:u w:val="none"/>
                <w:lang w:val="en-GB"/>
              </w:rPr>
              <w:t xml:space="preserve"> </w:t>
            </w:r>
            <w:hyperlink r:id="rId13" w:history="1">
              <w:r w:rsidR="00F571F9" w:rsidRPr="00EB0101">
                <w:rPr>
                  <w:rStyle w:val="Hyperlink"/>
                  <w:i/>
                  <w:iCs/>
                  <w:spacing w:val="-2"/>
                  <w:sz w:val="24"/>
                  <w:szCs w:val="24"/>
                  <w:lang w:val="en-GB"/>
                </w:rPr>
                <w:t>https://www.itu.int/wtsa/2024/</w:t>
              </w:r>
            </w:hyperlink>
          </w:p>
        </w:tc>
      </w:tr>
      <w:bookmarkEnd w:id="5"/>
    </w:tbl>
    <w:p w14:paraId="7FE52F59" w14:textId="77777777" w:rsidR="0090147A" w:rsidRPr="00EB0101"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EB0101">
        <w:br w:type="page"/>
      </w:r>
    </w:p>
    <w:p w14:paraId="3A92CF0D" w14:textId="77777777" w:rsidR="00732A6D" w:rsidRPr="00EB0101" w:rsidRDefault="00732A6D" w:rsidP="00732A6D">
      <w:pPr>
        <w:pStyle w:val="ListParagraph"/>
        <w:keepNext/>
        <w:keepLines/>
        <w:numPr>
          <w:ilvl w:val="0"/>
          <w:numId w:val="2"/>
        </w:numPr>
        <w:snapToGrid w:val="0"/>
        <w:spacing w:before="480" w:after="120"/>
        <w:ind w:left="0" w:firstLine="0"/>
        <w:contextualSpacing w:val="0"/>
        <w:jc w:val="both"/>
        <w:rPr>
          <w:rFonts w:asciiTheme="minorHAnsi" w:hAnsiTheme="minorHAnsi"/>
          <w:b/>
          <w:bCs/>
          <w:szCs w:val="24"/>
        </w:rPr>
      </w:pPr>
      <w:r w:rsidRPr="00EB0101">
        <w:rPr>
          <w:b/>
          <w:bCs/>
        </w:rPr>
        <w:lastRenderedPageBreak/>
        <w:t>Venue and date</w:t>
      </w:r>
    </w:p>
    <w:p w14:paraId="2D1E0110" w14:textId="1BAA0834" w:rsidR="00732A6D" w:rsidRPr="00EB0101" w:rsidRDefault="00732A6D" w:rsidP="00732A6D">
      <w:pPr>
        <w:keepNext/>
        <w:keepLines/>
        <w:snapToGrid w:val="0"/>
        <w:spacing w:after="120"/>
        <w:jc w:val="both"/>
      </w:pPr>
      <w:r w:rsidRPr="00EB0101">
        <w:t>1.1</w:t>
      </w:r>
      <w:r w:rsidRPr="00EB0101">
        <w:tab/>
        <w:t>No.</w:t>
      </w:r>
      <w:r w:rsidR="00C050CE" w:rsidRPr="00EB0101">
        <w:t> </w:t>
      </w:r>
      <w:r w:rsidRPr="00EB0101">
        <w:t xml:space="preserve">114 of the ITU Constitution stipulates that </w:t>
      </w:r>
      <w:r w:rsidR="009D0F4C">
        <w:t>w</w:t>
      </w:r>
      <w:r w:rsidRPr="00EB0101">
        <w:t xml:space="preserve">orld </w:t>
      </w:r>
      <w:r w:rsidR="009D0F4C">
        <w:t>t</w:t>
      </w:r>
      <w:r w:rsidRPr="00EB0101">
        <w:t xml:space="preserve">elecommunication </w:t>
      </w:r>
      <w:r w:rsidR="009D0F4C">
        <w:t>s</w:t>
      </w:r>
      <w:r w:rsidRPr="00EB0101">
        <w:t xml:space="preserve">tandardization </w:t>
      </w:r>
      <w:r w:rsidR="009D0F4C">
        <w:rPr>
          <w:rFonts w:eastAsia="Times New Roman"/>
        </w:rPr>
        <w:t>a</w:t>
      </w:r>
      <w:r w:rsidR="002C7899" w:rsidRPr="00EB0101">
        <w:rPr>
          <w:rFonts w:eastAsia="Times New Roman"/>
        </w:rPr>
        <w:t>ssembl</w:t>
      </w:r>
      <w:r w:rsidR="009D0F4C">
        <w:rPr>
          <w:rFonts w:eastAsia="Times New Roman"/>
        </w:rPr>
        <w:t>ies</w:t>
      </w:r>
      <w:r w:rsidRPr="00EB0101">
        <w:t xml:space="preserve"> (WTSA</w:t>
      </w:r>
      <w:r w:rsidR="009D0F4C">
        <w:t>s</w:t>
      </w:r>
      <w:r w:rsidRPr="00EB0101">
        <w:t>) shall be convened every four years; and Nos.</w:t>
      </w:r>
      <w:r w:rsidR="00C050CE" w:rsidRPr="00EB0101">
        <w:t> </w:t>
      </w:r>
      <w:r w:rsidRPr="00EB0101">
        <w:t xml:space="preserve">23 and 24 of the ITU Convention stipulate that </w:t>
      </w:r>
      <w:r w:rsidR="009D0F4C">
        <w:t>one</w:t>
      </w:r>
      <w:r w:rsidR="009D0F4C" w:rsidRPr="00EB0101">
        <w:t xml:space="preserve"> </w:t>
      </w:r>
      <w:r w:rsidRPr="00EB0101">
        <w:t xml:space="preserve">WTSA shall </w:t>
      </w:r>
      <w:r w:rsidR="009D0F4C">
        <w:t xml:space="preserve">normally </w:t>
      </w:r>
      <w:r w:rsidRPr="00EB0101">
        <w:t>be convened within the period between two plenipotentiary conferences.</w:t>
      </w:r>
    </w:p>
    <w:p w14:paraId="731B8665" w14:textId="77777777" w:rsidR="00732A6D" w:rsidRPr="00EB0101" w:rsidRDefault="00732A6D" w:rsidP="00732A6D">
      <w:pPr>
        <w:snapToGrid w:val="0"/>
        <w:spacing w:after="120"/>
        <w:jc w:val="both"/>
      </w:pPr>
      <w:r w:rsidRPr="00EB0101">
        <w:t>1.2</w:t>
      </w:r>
      <w:r w:rsidRPr="00EB0101">
        <w:tab/>
        <w:t>Resolution 77 (Rev. Bucharest, 2022) of the Plenipotentiary Conference resolves that WTSA shall be held in the last quarter of 2024 in India.</w:t>
      </w:r>
    </w:p>
    <w:p w14:paraId="01FFCAC1" w14:textId="3F5E6506" w:rsidR="00732A6D" w:rsidRPr="00EB0101" w:rsidRDefault="00732A6D" w:rsidP="00732A6D">
      <w:pPr>
        <w:snapToGrid w:val="0"/>
        <w:spacing w:after="120"/>
        <w:jc w:val="both"/>
      </w:pPr>
      <w:r w:rsidRPr="00EB0101">
        <w:t>1.3</w:t>
      </w:r>
      <w:r w:rsidRPr="00EB0101">
        <w:tab/>
        <w:t xml:space="preserve">Resolution 111 (Rev. Busan, 2014) </w:t>
      </w:r>
      <w:r w:rsidR="009D0F4C" w:rsidRPr="00EB0101">
        <w:t xml:space="preserve">of the Plenipotentiary Conference </w:t>
      </w:r>
      <w:r w:rsidR="009D0F4C">
        <w:t>resolves that</w:t>
      </w:r>
      <w:r w:rsidR="009D0F4C" w:rsidRPr="00EB0101">
        <w:t xml:space="preserve"> </w:t>
      </w:r>
      <w:r w:rsidRPr="00EB0101">
        <w:t xml:space="preserve">the Union and its Member States </w:t>
      </w:r>
      <w:r w:rsidR="00B8083D">
        <w:t>should</w:t>
      </w:r>
      <w:r w:rsidR="00B8083D" w:rsidRPr="00EB0101">
        <w:t xml:space="preserve"> </w:t>
      </w:r>
      <w:r w:rsidRPr="00EB0101">
        <w:t xml:space="preserve">make every effort, as far as practicable, </w:t>
      </w:r>
      <w:r w:rsidR="009D0F4C">
        <w:t>in order</w:t>
      </w:r>
      <w:r w:rsidRPr="00EB0101">
        <w:t xml:space="preserve"> that the planned period of any ITU conference </w:t>
      </w:r>
      <w:r w:rsidR="009D0F4C">
        <w:t xml:space="preserve">or assembly not be scheduled during a period which is </w:t>
      </w:r>
      <w:r w:rsidRPr="00EB0101">
        <w:t>considered a major religious period by a Member State.</w:t>
      </w:r>
    </w:p>
    <w:p w14:paraId="4D11FD8B" w14:textId="5ADC9B62" w:rsidR="00732A6D" w:rsidRPr="00EB0101" w:rsidRDefault="00732A6D" w:rsidP="00732A6D">
      <w:pPr>
        <w:snapToGrid w:val="0"/>
        <w:spacing w:after="120"/>
        <w:jc w:val="both"/>
      </w:pPr>
      <w:bookmarkStart w:id="6" w:name="OLE_LINK6"/>
      <w:bookmarkStart w:id="7" w:name="OLE_LINK5"/>
      <w:r w:rsidRPr="00EB0101">
        <w:t>1.4</w:t>
      </w:r>
      <w:r w:rsidRPr="00EB0101">
        <w:tab/>
        <w:t>No. 42 of the Convention and Chapter I of the General Rules of Conferences, Assemblies and Meetings of the Union require that, in the absence of a decision by the Plenipotentiary Conference, the precise place and exact dates of a WTSA be ap</w:t>
      </w:r>
      <w:r w:rsidRPr="00EB0101">
        <w:rPr>
          <w:szCs w:val="24"/>
        </w:rPr>
        <w:t xml:space="preserve">proved by the </w:t>
      </w:r>
      <w:r w:rsidR="00B8083D">
        <w:rPr>
          <w:szCs w:val="24"/>
        </w:rPr>
        <w:t xml:space="preserve">ITU </w:t>
      </w:r>
      <w:r w:rsidRPr="00EB0101">
        <w:rPr>
          <w:szCs w:val="24"/>
        </w:rPr>
        <w:t>Council with the concurrence of a majority of the Member States.</w:t>
      </w:r>
    </w:p>
    <w:p w14:paraId="46389683" w14:textId="3A30FCF4" w:rsidR="00732A6D" w:rsidRPr="00EB0101" w:rsidRDefault="00732A6D" w:rsidP="00732A6D">
      <w:pPr>
        <w:jc w:val="both"/>
        <w:rPr>
          <w:szCs w:val="24"/>
        </w:rPr>
      </w:pPr>
      <w:r w:rsidRPr="00EB0101">
        <w:rPr>
          <w:szCs w:val="24"/>
        </w:rPr>
        <w:t>1.5</w:t>
      </w:r>
      <w:r w:rsidRPr="00EB0101">
        <w:tab/>
        <w:t xml:space="preserve">The </w:t>
      </w:r>
      <w:r w:rsidRPr="00EB0101">
        <w:rPr>
          <w:szCs w:val="24"/>
        </w:rPr>
        <w:t xml:space="preserve">ITU Secretary-General has received an invitation from the Government of India for </w:t>
      </w:r>
      <w:r w:rsidRPr="00527A3C">
        <w:rPr>
          <w:spacing w:val="4"/>
          <w:szCs w:val="24"/>
        </w:rPr>
        <w:t xml:space="preserve">the hosting of WTSA-24 in India with the proposed dates </w:t>
      </w:r>
      <w:r w:rsidR="00B8083D">
        <w:rPr>
          <w:spacing w:val="4"/>
          <w:szCs w:val="24"/>
        </w:rPr>
        <w:t>of</w:t>
      </w:r>
      <w:r w:rsidR="00B8083D" w:rsidRPr="00527A3C">
        <w:rPr>
          <w:spacing w:val="4"/>
          <w:szCs w:val="24"/>
        </w:rPr>
        <w:t xml:space="preserve"> </w:t>
      </w:r>
      <w:r w:rsidRPr="00527A3C">
        <w:rPr>
          <w:spacing w:val="4"/>
          <w:szCs w:val="24"/>
        </w:rPr>
        <w:t>15</w:t>
      </w:r>
      <w:r w:rsidRPr="00527A3C">
        <w:rPr>
          <w:spacing w:val="4"/>
        </w:rPr>
        <w:t xml:space="preserve"> to 24 October </w:t>
      </w:r>
      <w:r w:rsidRPr="00527A3C">
        <w:rPr>
          <w:spacing w:val="4"/>
          <w:szCs w:val="24"/>
        </w:rPr>
        <w:t xml:space="preserve">2024, at </w:t>
      </w:r>
      <w:r w:rsidR="009E6B40" w:rsidRPr="00527A3C">
        <w:rPr>
          <w:spacing w:val="4"/>
          <w:szCs w:val="24"/>
        </w:rPr>
        <w:t>the International Exhibition</w:t>
      </w:r>
      <w:r w:rsidR="00EB0101" w:rsidRPr="00527A3C">
        <w:rPr>
          <w:spacing w:val="4"/>
          <w:szCs w:val="24"/>
        </w:rPr>
        <w:t xml:space="preserve"> c</w:t>
      </w:r>
      <w:r w:rsidR="009E6B40" w:rsidRPr="00527A3C">
        <w:rPr>
          <w:spacing w:val="4"/>
          <w:szCs w:val="24"/>
        </w:rPr>
        <w:t>um</w:t>
      </w:r>
      <w:r w:rsidR="00EB0101" w:rsidRPr="00527A3C">
        <w:rPr>
          <w:spacing w:val="4"/>
          <w:szCs w:val="24"/>
        </w:rPr>
        <w:t xml:space="preserve"> </w:t>
      </w:r>
      <w:r w:rsidR="009E6B40" w:rsidRPr="00527A3C">
        <w:rPr>
          <w:spacing w:val="4"/>
          <w:szCs w:val="24"/>
        </w:rPr>
        <w:t xml:space="preserve">Convention </w:t>
      </w:r>
      <w:r w:rsidR="00BC6D51" w:rsidRPr="00527A3C">
        <w:rPr>
          <w:spacing w:val="4"/>
          <w:szCs w:val="24"/>
        </w:rPr>
        <w:t>Centre</w:t>
      </w:r>
      <w:r w:rsidR="009E6B40" w:rsidRPr="00527A3C">
        <w:rPr>
          <w:spacing w:val="4"/>
          <w:szCs w:val="24"/>
        </w:rPr>
        <w:t>, Pragati Maidan, New Delhi</w:t>
      </w:r>
      <w:r w:rsidRPr="00527A3C">
        <w:rPr>
          <w:spacing w:val="4"/>
          <w:szCs w:val="24"/>
        </w:rPr>
        <w:t xml:space="preserve">, India </w:t>
      </w:r>
      <w:r w:rsidRPr="00527A3C">
        <w:rPr>
          <w:spacing w:val="2"/>
          <w:szCs w:val="24"/>
        </w:rPr>
        <w:t xml:space="preserve">(see </w:t>
      </w:r>
      <w:hyperlink w:anchor="Annex1" w:history="1">
        <w:r w:rsidRPr="00527A3C">
          <w:rPr>
            <w:rStyle w:val="Hyperlink"/>
            <w:b/>
            <w:bCs/>
            <w:spacing w:val="2"/>
            <w:szCs w:val="24"/>
          </w:rPr>
          <w:t>Annex 1</w:t>
        </w:r>
      </w:hyperlink>
      <w:r w:rsidRPr="00527A3C">
        <w:rPr>
          <w:spacing w:val="2"/>
          <w:szCs w:val="24"/>
        </w:rPr>
        <w:t>).</w:t>
      </w:r>
      <w:bookmarkEnd w:id="6"/>
      <w:bookmarkEnd w:id="7"/>
    </w:p>
    <w:p w14:paraId="03F30858" w14:textId="31F07FB8" w:rsidR="00732A6D" w:rsidRPr="00EB0101" w:rsidRDefault="00732A6D" w:rsidP="00732A6D">
      <w:pPr>
        <w:jc w:val="both"/>
      </w:pPr>
      <w:r w:rsidRPr="00EB0101">
        <w:t>1.6</w:t>
      </w:r>
      <w:r w:rsidRPr="00EB0101">
        <w:tab/>
        <w:t xml:space="preserve">TSB in coordination with </w:t>
      </w:r>
      <w:r w:rsidR="00B8083D">
        <w:t>the ITU Conferences and Publications Department</w:t>
      </w:r>
      <w:r w:rsidRPr="00EB0101">
        <w:t xml:space="preserve"> plans to make an on-site visit </w:t>
      </w:r>
      <w:r w:rsidR="006D62CE" w:rsidRPr="00EB0101">
        <w:t xml:space="preserve">to </w:t>
      </w:r>
      <w:r w:rsidR="00527A3C">
        <w:t xml:space="preserve">the </w:t>
      </w:r>
      <w:r w:rsidR="00527A3C" w:rsidRPr="00BC6D51">
        <w:rPr>
          <w:szCs w:val="24"/>
        </w:rPr>
        <w:t>International</w:t>
      </w:r>
      <w:r w:rsidR="00527A3C" w:rsidRPr="00EB0101">
        <w:rPr>
          <w:szCs w:val="24"/>
        </w:rPr>
        <w:t xml:space="preserve"> Exhibition</w:t>
      </w:r>
      <w:r w:rsidR="00527A3C">
        <w:rPr>
          <w:szCs w:val="24"/>
        </w:rPr>
        <w:t xml:space="preserve"> c</w:t>
      </w:r>
      <w:r w:rsidR="00527A3C" w:rsidRPr="00EB0101">
        <w:rPr>
          <w:szCs w:val="24"/>
        </w:rPr>
        <w:t>um</w:t>
      </w:r>
      <w:r w:rsidR="00527A3C">
        <w:rPr>
          <w:szCs w:val="24"/>
        </w:rPr>
        <w:t xml:space="preserve"> </w:t>
      </w:r>
      <w:r w:rsidR="00527A3C" w:rsidRPr="00EB0101">
        <w:rPr>
          <w:szCs w:val="24"/>
        </w:rPr>
        <w:t>Convention Centre</w:t>
      </w:r>
      <w:r w:rsidR="006D62CE" w:rsidRPr="00EB0101">
        <w:t xml:space="preserve">, </w:t>
      </w:r>
      <w:r w:rsidRPr="00EB0101">
        <w:rPr>
          <w:szCs w:val="24"/>
        </w:rPr>
        <w:t>New Delhi, India</w:t>
      </w:r>
      <w:r w:rsidR="00527A3C">
        <w:rPr>
          <w:szCs w:val="24"/>
        </w:rPr>
        <w:t>,</w:t>
      </w:r>
      <w:r w:rsidRPr="00EB0101">
        <w:rPr>
          <w:szCs w:val="24"/>
        </w:rPr>
        <w:t xml:space="preserve"> </w:t>
      </w:r>
      <w:r w:rsidRPr="00EB0101">
        <w:t xml:space="preserve">for the further logistical planning of the </w:t>
      </w:r>
      <w:r w:rsidR="00B8083D">
        <w:t>a</w:t>
      </w:r>
      <w:r w:rsidRPr="00EB0101">
        <w:t>ssembly.</w:t>
      </w:r>
    </w:p>
    <w:p w14:paraId="1D93C8E6" w14:textId="6C9B38F9" w:rsidR="00732A6D" w:rsidRPr="00EB0101" w:rsidRDefault="00732A6D" w:rsidP="00732A6D">
      <w:pPr>
        <w:jc w:val="both"/>
        <w:rPr>
          <w:szCs w:val="24"/>
        </w:rPr>
      </w:pPr>
      <w:r w:rsidRPr="00EB0101">
        <w:rPr>
          <w:szCs w:val="24"/>
        </w:rPr>
        <w:t>1.7</w:t>
      </w:r>
      <w:r w:rsidRPr="00EB0101">
        <w:rPr>
          <w:szCs w:val="24"/>
        </w:rPr>
        <w:tab/>
      </w:r>
      <w:r w:rsidR="00B8083D">
        <w:rPr>
          <w:rFonts w:asciiTheme="minorHAnsi" w:hAnsiTheme="minorHAnsi" w:cstheme="minorHAnsi"/>
          <w:szCs w:val="24"/>
        </w:rPr>
        <w:t>T</w:t>
      </w:r>
      <w:r w:rsidRPr="00EB0101">
        <w:rPr>
          <w:rFonts w:asciiTheme="minorHAnsi" w:hAnsiTheme="minorHAnsi" w:cstheme="minorHAnsi"/>
          <w:szCs w:val="24"/>
        </w:rPr>
        <w:t xml:space="preserve">he </w:t>
      </w:r>
      <w:r w:rsidR="00B8083D">
        <w:rPr>
          <w:rFonts w:asciiTheme="minorHAnsi" w:hAnsiTheme="minorHAnsi" w:cstheme="minorHAnsi"/>
          <w:szCs w:val="24"/>
        </w:rPr>
        <w:t xml:space="preserve">2024 </w:t>
      </w:r>
      <w:r w:rsidR="00201770">
        <w:rPr>
          <w:rFonts w:asciiTheme="minorHAnsi" w:hAnsiTheme="minorHAnsi" w:cstheme="minorHAnsi"/>
          <w:szCs w:val="24"/>
        </w:rPr>
        <w:t>g</w:t>
      </w:r>
      <w:r w:rsidRPr="00EB0101">
        <w:rPr>
          <w:rFonts w:asciiTheme="minorHAnsi" w:hAnsiTheme="minorHAnsi" w:cstheme="minorHAnsi"/>
          <w:szCs w:val="24"/>
        </w:rPr>
        <w:t xml:space="preserve">lobal </w:t>
      </w:r>
      <w:r w:rsidR="00201770">
        <w:rPr>
          <w:rFonts w:asciiTheme="minorHAnsi" w:hAnsiTheme="minorHAnsi" w:cstheme="minorHAnsi"/>
          <w:szCs w:val="24"/>
        </w:rPr>
        <w:t>s</w:t>
      </w:r>
      <w:r w:rsidRPr="00EB0101">
        <w:rPr>
          <w:rFonts w:asciiTheme="minorHAnsi" w:hAnsiTheme="minorHAnsi" w:cstheme="minorHAnsi"/>
          <w:szCs w:val="24"/>
        </w:rPr>
        <w:t xml:space="preserve">tandards </w:t>
      </w:r>
      <w:r w:rsidR="00201770">
        <w:rPr>
          <w:rFonts w:asciiTheme="minorHAnsi" w:hAnsiTheme="minorHAnsi" w:cstheme="minorHAnsi"/>
          <w:szCs w:val="24"/>
        </w:rPr>
        <w:t>s</w:t>
      </w:r>
      <w:r w:rsidRPr="00EB0101">
        <w:rPr>
          <w:rFonts w:asciiTheme="minorHAnsi" w:hAnsiTheme="minorHAnsi" w:cstheme="minorHAnsi"/>
          <w:szCs w:val="24"/>
        </w:rPr>
        <w:t>ymposium (GSS-24) is planned to take place at the same venue on 14 October 2024</w:t>
      </w:r>
      <w:r w:rsidR="00B8083D">
        <w:rPr>
          <w:rFonts w:asciiTheme="minorHAnsi" w:hAnsiTheme="minorHAnsi" w:cstheme="minorHAnsi"/>
          <w:szCs w:val="24"/>
        </w:rPr>
        <w:t>,</w:t>
      </w:r>
      <w:r w:rsidR="00B8083D" w:rsidRPr="00B8083D">
        <w:rPr>
          <w:szCs w:val="24"/>
        </w:rPr>
        <w:t xml:space="preserve"> </w:t>
      </w:r>
      <w:r w:rsidR="00B8083D">
        <w:rPr>
          <w:szCs w:val="24"/>
        </w:rPr>
        <w:t>t</w:t>
      </w:r>
      <w:r w:rsidR="00B8083D" w:rsidRPr="00EB0101">
        <w:rPr>
          <w:szCs w:val="24"/>
        </w:rPr>
        <w:t>he day prior to the start of WTSA-24</w:t>
      </w:r>
      <w:r w:rsidRPr="00EB0101">
        <w:rPr>
          <w:rFonts w:asciiTheme="minorHAnsi" w:hAnsiTheme="minorHAnsi" w:cstheme="minorHAnsi"/>
          <w:szCs w:val="24"/>
        </w:rPr>
        <w:t>.</w:t>
      </w:r>
    </w:p>
    <w:p w14:paraId="498EEA7C" w14:textId="7D4A9BFA" w:rsidR="00732A6D" w:rsidRPr="00EB0101" w:rsidRDefault="00732A6D" w:rsidP="00732A6D">
      <w:pPr>
        <w:spacing w:before="360" w:after="120"/>
        <w:rPr>
          <w:b/>
          <w:bCs/>
        </w:rPr>
      </w:pPr>
      <w:r w:rsidRPr="00EB0101">
        <w:rPr>
          <w:b/>
          <w:bCs/>
        </w:rPr>
        <w:t>2.</w:t>
      </w:r>
      <w:r w:rsidRPr="00EB0101">
        <w:rPr>
          <w:b/>
          <w:bCs/>
        </w:rPr>
        <w:tab/>
        <w:t xml:space="preserve">WTSA-24 </w:t>
      </w:r>
      <w:r w:rsidR="00B8083D">
        <w:rPr>
          <w:b/>
          <w:bCs/>
        </w:rPr>
        <w:t>r</w:t>
      </w:r>
      <w:r w:rsidRPr="00EB0101">
        <w:rPr>
          <w:b/>
          <w:bCs/>
        </w:rPr>
        <w:t>egional preparatory meetings</w:t>
      </w:r>
    </w:p>
    <w:p w14:paraId="0AC6631A" w14:textId="77777777" w:rsidR="00732A6D" w:rsidRPr="00EB0101" w:rsidRDefault="00732A6D" w:rsidP="00732A6D">
      <w:pPr>
        <w:spacing w:after="120"/>
        <w:jc w:val="both"/>
        <w:rPr>
          <w:rFonts w:asciiTheme="minorHAnsi" w:hAnsiTheme="minorHAnsi"/>
          <w:szCs w:val="24"/>
        </w:rPr>
      </w:pPr>
      <w:r w:rsidRPr="00EB0101">
        <w:rPr>
          <w:szCs w:val="24"/>
        </w:rPr>
        <w:t>2.1</w:t>
      </w:r>
      <w:r w:rsidRPr="00EB0101">
        <w:rPr>
          <w:szCs w:val="24"/>
        </w:rPr>
        <w:tab/>
        <w:t xml:space="preserve">Regional preparatory meetings are being organized by the regional telecommunication organizations in coordination with TSB. The latest updates on the </w:t>
      </w:r>
      <w:r w:rsidRPr="00EB0101">
        <w:rPr>
          <w:rFonts w:asciiTheme="minorHAnsi" w:hAnsiTheme="minorHAnsi"/>
          <w:szCs w:val="24"/>
        </w:rPr>
        <w:t xml:space="preserve">calendar of all planned regional preparatory meetings are also available on this </w:t>
      </w:r>
      <w:hyperlink r:id="rId14" w:history="1">
        <w:r w:rsidRPr="00EB0101">
          <w:rPr>
            <w:rStyle w:val="Hyperlink"/>
            <w:rFonts w:asciiTheme="minorHAnsi" w:hAnsiTheme="minorHAnsi"/>
            <w:szCs w:val="24"/>
          </w:rPr>
          <w:t>website</w:t>
        </w:r>
      </w:hyperlink>
      <w:r w:rsidRPr="00EB0101">
        <w:rPr>
          <w:rFonts w:asciiTheme="minorHAnsi" w:hAnsiTheme="minorHAnsi"/>
          <w:szCs w:val="24"/>
        </w:rPr>
        <w:t>.</w:t>
      </w:r>
    </w:p>
    <w:p w14:paraId="77D49DEE" w14:textId="789BE28F" w:rsidR="00732A6D" w:rsidRPr="00EB0101" w:rsidRDefault="00732A6D" w:rsidP="00732A6D">
      <w:pPr>
        <w:spacing w:after="120"/>
        <w:jc w:val="both"/>
      </w:pPr>
      <w:r w:rsidRPr="00EB0101">
        <w:t>2.2</w:t>
      </w:r>
      <w:r w:rsidRPr="00EB0101">
        <w:tab/>
        <w:t xml:space="preserve">Two interregional coordination meetings are foreseen prior to each of the last two </w:t>
      </w:r>
      <w:r w:rsidR="000D684A" w:rsidRPr="000D684A">
        <w:t xml:space="preserve">Telecommunication Standardization Advisory Group </w:t>
      </w:r>
      <w:r w:rsidR="000D684A">
        <w:t>(</w:t>
      </w:r>
      <w:r w:rsidRPr="00EB0101">
        <w:t>TSAG</w:t>
      </w:r>
      <w:r w:rsidR="000D684A">
        <w:t>)</w:t>
      </w:r>
      <w:r w:rsidRPr="00EB0101">
        <w:t xml:space="preserve"> meetings in 2024 </w:t>
      </w:r>
      <w:r w:rsidRPr="00EB0101">
        <w:rPr>
          <w:rFonts w:asciiTheme="minorHAnsi" w:hAnsiTheme="minorHAnsi"/>
        </w:rPr>
        <w:t>to facilitate discussions among the regions</w:t>
      </w:r>
      <w:r w:rsidR="00201770">
        <w:rPr>
          <w:rFonts w:asciiTheme="minorHAnsi" w:hAnsiTheme="minorHAnsi"/>
        </w:rPr>
        <w:t xml:space="preserve">, with the </w:t>
      </w:r>
      <w:r w:rsidR="00B8083D" w:rsidRPr="00EB0101">
        <w:t xml:space="preserve">dates </w:t>
      </w:r>
      <w:r w:rsidR="00B8083D">
        <w:t>to be determined</w:t>
      </w:r>
      <w:r w:rsidRPr="00EB0101">
        <w:rPr>
          <w:rFonts w:asciiTheme="minorHAnsi" w:hAnsiTheme="minorHAnsi"/>
        </w:rPr>
        <w:t>.</w:t>
      </w:r>
    </w:p>
    <w:p w14:paraId="32BBAA39" w14:textId="6878408A" w:rsidR="00732A6D" w:rsidRPr="00EB0101" w:rsidRDefault="00732A6D" w:rsidP="00732A6D">
      <w:pPr>
        <w:spacing w:after="120"/>
        <w:jc w:val="both"/>
        <w:rPr>
          <w:rFonts w:asciiTheme="minorHAnsi" w:hAnsiTheme="minorHAnsi" w:cstheme="minorHAnsi"/>
          <w:color w:val="000000"/>
          <w:szCs w:val="24"/>
        </w:rPr>
      </w:pPr>
      <w:r w:rsidRPr="00EB0101">
        <w:rPr>
          <w:rFonts w:asciiTheme="minorHAnsi" w:hAnsiTheme="minorHAnsi"/>
          <w:szCs w:val="24"/>
        </w:rPr>
        <w:t>2.3</w:t>
      </w:r>
      <w:r w:rsidRPr="00EB0101">
        <w:rPr>
          <w:rFonts w:asciiTheme="minorHAnsi" w:hAnsiTheme="minorHAnsi"/>
          <w:szCs w:val="24"/>
        </w:rPr>
        <w:tab/>
      </w:r>
      <w:r w:rsidRPr="00EB0101">
        <w:rPr>
          <w:spacing w:val="4"/>
        </w:rPr>
        <w:t xml:space="preserve">Information </w:t>
      </w:r>
      <w:r w:rsidR="000D684A">
        <w:rPr>
          <w:spacing w:val="4"/>
        </w:rPr>
        <w:t>on</w:t>
      </w:r>
      <w:r w:rsidRPr="00EB0101">
        <w:rPr>
          <w:spacing w:val="4"/>
        </w:rPr>
        <w:t xml:space="preserve"> </w:t>
      </w:r>
      <w:r w:rsidR="000D684A">
        <w:rPr>
          <w:spacing w:val="4"/>
        </w:rPr>
        <w:t>i</w:t>
      </w:r>
      <w:r w:rsidRPr="00EB0101">
        <w:rPr>
          <w:spacing w:val="4"/>
        </w:rPr>
        <w:t xml:space="preserve">nterregional coordination </w:t>
      </w:r>
      <w:r w:rsidR="006D62CE" w:rsidRPr="00EB0101">
        <w:rPr>
          <w:spacing w:val="4"/>
        </w:rPr>
        <w:t xml:space="preserve">will </w:t>
      </w:r>
      <w:r w:rsidRPr="00EB0101">
        <w:rPr>
          <w:spacing w:val="4"/>
        </w:rPr>
        <w:t xml:space="preserve">be </w:t>
      </w:r>
      <w:r w:rsidR="006D62CE" w:rsidRPr="00EB0101">
        <w:rPr>
          <w:spacing w:val="4"/>
        </w:rPr>
        <w:t>made available</w:t>
      </w:r>
      <w:r w:rsidRPr="00EB0101">
        <w:rPr>
          <w:spacing w:val="4"/>
        </w:rPr>
        <w:t xml:space="preserve"> on the</w:t>
      </w:r>
      <w:r w:rsidRPr="00EB0101">
        <w:t xml:space="preserve"> </w:t>
      </w:r>
      <w:hyperlink r:id="rId15" w:history="1">
        <w:r w:rsidRPr="00EB0101">
          <w:rPr>
            <w:rStyle w:val="Hyperlink"/>
          </w:rPr>
          <w:t>WTSA-24 web</w:t>
        </w:r>
        <w:r w:rsidR="000D684A">
          <w:rPr>
            <w:rStyle w:val="Hyperlink"/>
          </w:rPr>
          <w:t>site</w:t>
        </w:r>
      </w:hyperlink>
      <w:r w:rsidRPr="00EB0101">
        <w:t>.</w:t>
      </w:r>
    </w:p>
    <w:p w14:paraId="647E22CC" w14:textId="15C12D76" w:rsidR="00732A6D" w:rsidRPr="00EB0101" w:rsidRDefault="00732A6D" w:rsidP="00732A6D">
      <w:pPr>
        <w:keepNext/>
        <w:keepLines/>
        <w:spacing w:before="360" w:after="120"/>
        <w:rPr>
          <w:rFonts w:asciiTheme="minorHAnsi" w:hAnsiTheme="minorHAnsi"/>
          <w:b/>
          <w:bCs/>
        </w:rPr>
      </w:pPr>
      <w:r w:rsidRPr="00EB0101">
        <w:rPr>
          <w:rFonts w:asciiTheme="minorHAnsi" w:hAnsiTheme="minorHAnsi"/>
          <w:b/>
          <w:bCs/>
        </w:rPr>
        <w:t>3.</w:t>
      </w:r>
      <w:r w:rsidRPr="00EB0101">
        <w:rPr>
          <w:rFonts w:asciiTheme="minorHAnsi" w:hAnsiTheme="minorHAnsi"/>
          <w:b/>
          <w:bCs/>
        </w:rPr>
        <w:tab/>
        <w:t xml:space="preserve">TSAG and ITU-T </w:t>
      </w:r>
      <w:r w:rsidR="000D684A">
        <w:rPr>
          <w:rFonts w:asciiTheme="minorHAnsi" w:hAnsiTheme="minorHAnsi"/>
          <w:b/>
          <w:bCs/>
        </w:rPr>
        <w:t>s</w:t>
      </w:r>
      <w:r w:rsidRPr="00EB0101">
        <w:rPr>
          <w:rFonts w:asciiTheme="minorHAnsi" w:hAnsiTheme="minorHAnsi"/>
          <w:b/>
          <w:bCs/>
        </w:rPr>
        <w:t xml:space="preserve">tudy </w:t>
      </w:r>
      <w:r w:rsidR="000D684A">
        <w:rPr>
          <w:rFonts w:asciiTheme="minorHAnsi" w:hAnsiTheme="minorHAnsi"/>
          <w:b/>
          <w:bCs/>
        </w:rPr>
        <w:t>g</w:t>
      </w:r>
      <w:r w:rsidRPr="00EB0101">
        <w:rPr>
          <w:rFonts w:asciiTheme="minorHAnsi" w:hAnsiTheme="minorHAnsi"/>
          <w:b/>
          <w:bCs/>
        </w:rPr>
        <w:t>roup preparations for WTSA</w:t>
      </w:r>
    </w:p>
    <w:p w14:paraId="5609E0FF" w14:textId="674E430E" w:rsidR="00732A6D" w:rsidRPr="00EB0101" w:rsidRDefault="00732A6D" w:rsidP="00732A6D">
      <w:pPr>
        <w:spacing w:before="360" w:after="120"/>
      </w:pPr>
      <w:r w:rsidRPr="00EB0101">
        <w:rPr>
          <w:rFonts w:asciiTheme="minorHAnsi" w:hAnsiTheme="minorHAnsi"/>
        </w:rPr>
        <w:t>3.1</w:t>
      </w:r>
      <w:r w:rsidRPr="00EB0101">
        <w:rPr>
          <w:rFonts w:asciiTheme="minorHAnsi" w:hAnsiTheme="minorHAnsi"/>
          <w:b/>
          <w:bCs/>
        </w:rPr>
        <w:tab/>
      </w:r>
      <w:r w:rsidRPr="00EB0101">
        <w:t xml:space="preserve">All </w:t>
      </w:r>
      <w:hyperlink r:id="rId16" w:history="1">
        <w:r w:rsidRPr="00EB0101">
          <w:rPr>
            <w:rStyle w:val="Hyperlink"/>
          </w:rPr>
          <w:t>ITU-T study groups</w:t>
        </w:r>
      </w:hyperlink>
      <w:r w:rsidRPr="00EB0101">
        <w:t xml:space="preserve"> have begun their preparations </w:t>
      </w:r>
      <w:r w:rsidR="000D684A">
        <w:t>for</w:t>
      </w:r>
      <w:r w:rsidRPr="00EB0101">
        <w:t xml:space="preserve"> WTSA-24.</w:t>
      </w:r>
    </w:p>
    <w:p w14:paraId="54097E43" w14:textId="0EE10A75" w:rsidR="00732A6D" w:rsidRPr="00EB0101" w:rsidRDefault="00732A6D" w:rsidP="00732A6D">
      <w:pPr>
        <w:spacing w:after="120"/>
        <w:jc w:val="both"/>
      </w:pPr>
      <w:r w:rsidRPr="00EB0101">
        <w:t>3.2</w:t>
      </w:r>
      <w:r w:rsidRPr="00EB0101">
        <w:tab/>
        <w:t xml:space="preserve">TSAG has established and is operating two </w:t>
      </w:r>
      <w:r w:rsidR="000D684A">
        <w:t>r</w:t>
      </w:r>
      <w:r w:rsidRPr="00EB0101">
        <w:t xml:space="preserve">apporteur </w:t>
      </w:r>
      <w:r w:rsidR="000D684A">
        <w:t>g</w:t>
      </w:r>
      <w:r w:rsidRPr="00EB0101">
        <w:t xml:space="preserve">roups that are specifically tasked </w:t>
      </w:r>
      <w:r w:rsidR="000D684A">
        <w:t xml:space="preserve">with </w:t>
      </w:r>
      <w:r w:rsidRPr="00EB0101">
        <w:t>prepar</w:t>
      </w:r>
      <w:r w:rsidR="000D684A">
        <w:t>ations for</w:t>
      </w:r>
      <w:r w:rsidRPr="00EB0101">
        <w:t xml:space="preserve"> WTSA-24: </w:t>
      </w:r>
      <w:r w:rsidR="000D684A">
        <w:t>the</w:t>
      </w:r>
      <w:r w:rsidR="000D684A" w:rsidRPr="00EB0101">
        <w:t xml:space="preserve"> </w:t>
      </w:r>
      <w:r w:rsidRPr="00EB0101">
        <w:t>Rapporteur Group on ITU-T work programme and study group restructuring (RG-WPR</w:t>
      </w:r>
      <w:r w:rsidR="000D684A" w:rsidRPr="00EB0101">
        <w:t>)</w:t>
      </w:r>
      <w:r w:rsidR="000D684A">
        <w:t>;</w:t>
      </w:r>
      <w:r w:rsidR="000D684A" w:rsidRPr="00EB0101">
        <w:t xml:space="preserve"> </w:t>
      </w:r>
      <w:r w:rsidRPr="00EB0101">
        <w:t xml:space="preserve">and </w:t>
      </w:r>
      <w:r w:rsidR="000D684A">
        <w:t>the</w:t>
      </w:r>
      <w:r w:rsidRPr="00EB0101">
        <w:t xml:space="preserve"> Rapporteur Group on WTSA preparations and review of resolutions (RG-WTSA).</w:t>
      </w:r>
    </w:p>
    <w:p w14:paraId="0B3DB233" w14:textId="41DEEF9D" w:rsidR="00732A6D" w:rsidRPr="00EB0101" w:rsidRDefault="00732A6D" w:rsidP="00732A6D">
      <w:pPr>
        <w:spacing w:after="120"/>
        <w:jc w:val="both"/>
      </w:pPr>
      <w:r w:rsidRPr="00EB0101">
        <w:lastRenderedPageBreak/>
        <w:t>3.3</w:t>
      </w:r>
      <w:r w:rsidRPr="00EB0101">
        <w:tab/>
        <w:t xml:space="preserve">TSAG </w:t>
      </w:r>
      <w:r w:rsidR="000D684A">
        <w:t xml:space="preserve">has </w:t>
      </w:r>
      <w:r w:rsidRPr="00EB0101">
        <w:t xml:space="preserve">planned two more meetings and a series of </w:t>
      </w:r>
      <w:hyperlink r:id="rId17" w:history="1">
        <w:r w:rsidR="00525A1F">
          <w:rPr>
            <w:rStyle w:val="Hyperlink"/>
          </w:rPr>
          <w:t>r</w:t>
        </w:r>
        <w:r w:rsidRPr="00EB0101">
          <w:rPr>
            <w:rStyle w:val="Hyperlink"/>
          </w:rPr>
          <w:t xml:space="preserve">apporteur </w:t>
        </w:r>
        <w:r w:rsidR="00525A1F">
          <w:rPr>
            <w:rStyle w:val="Hyperlink"/>
          </w:rPr>
          <w:t>g</w:t>
        </w:r>
        <w:r w:rsidRPr="00EB0101">
          <w:rPr>
            <w:rStyle w:val="Hyperlink"/>
          </w:rPr>
          <w:t xml:space="preserve">roup </w:t>
        </w:r>
        <w:r w:rsidR="000D684A">
          <w:rPr>
            <w:rStyle w:val="Hyperlink"/>
          </w:rPr>
          <w:t>m</w:t>
        </w:r>
        <w:r w:rsidRPr="00EB0101">
          <w:rPr>
            <w:rStyle w:val="Hyperlink"/>
          </w:rPr>
          <w:t>eetings</w:t>
        </w:r>
      </w:hyperlink>
      <w:r w:rsidRPr="00EB0101">
        <w:t xml:space="preserve"> to advance preparations for WTSA-24.</w:t>
      </w:r>
    </w:p>
    <w:p w14:paraId="58EA0A8B" w14:textId="33A50EDB" w:rsidR="00732A6D" w:rsidRPr="00EB0101" w:rsidRDefault="00732A6D" w:rsidP="00732A6D">
      <w:pPr>
        <w:keepNext/>
        <w:keepLines/>
        <w:spacing w:before="360" w:after="120"/>
        <w:rPr>
          <w:rFonts w:asciiTheme="minorHAnsi" w:hAnsiTheme="minorHAnsi"/>
          <w:b/>
          <w:bCs/>
        </w:rPr>
      </w:pPr>
      <w:r w:rsidRPr="00EB0101">
        <w:rPr>
          <w:rFonts w:asciiTheme="minorHAnsi" w:hAnsiTheme="minorHAnsi"/>
          <w:b/>
          <w:bCs/>
        </w:rPr>
        <w:t>4.</w:t>
      </w:r>
      <w:r w:rsidRPr="00EB0101">
        <w:rPr>
          <w:rFonts w:asciiTheme="minorHAnsi" w:hAnsiTheme="minorHAnsi"/>
          <w:b/>
          <w:bCs/>
        </w:rPr>
        <w:tab/>
        <w:t>Deadline for submi</w:t>
      </w:r>
      <w:r w:rsidR="000D684A">
        <w:rPr>
          <w:rFonts w:asciiTheme="minorHAnsi" w:hAnsiTheme="minorHAnsi"/>
          <w:b/>
          <w:bCs/>
        </w:rPr>
        <w:t xml:space="preserve">ssion of </w:t>
      </w:r>
      <w:r w:rsidRPr="00EB0101">
        <w:rPr>
          <w:rFonts w:asciiTheme="minorHAnsi" w:hAnsiTheme="minorHAnsi"/>
          <w:b/>
          <w:bCs/>
        </w:rPr>
        <w:t xml:space="preserve">proposals </w:t>
      </w:r>
      <w:r w:rsidR="000D684A">
        <w:rPr>
          <w:rFonts w:asciiTheme="minorHAnsi" w:hAnsiTheme="minorHAnsi"/>
          <w:b/>
          <w:bCs/>
        </w:rPr>
        <w:t>for</w:t>
      </w:r>
      <w:r w:rsidRPr="00EB0101">
        <w:rPr>
          <w:rFonts w:asciiTheme="minorHAnsi" w:hAnsiTheme="minorHAnsi"/>
          <w:b/>
          <w:bCs/>
        </w:rPr>
        <w:t xml:space="preserve"> WTSA-24</w:t>
      </w:r>
    </w:p>
    <w:p w14:paraId="25A3634B" w14:textId="556FD9EE" w:rsidR="00732A6D" w:rsidRPr="00EB0101" w:rsidRDefault="00732A6D" w:rsidP="00732A6D">
      <w:pPr>
        <w:pStyle w:val="ListParagraph"/>
        <w:keepNext/>
        <w:keepLines/>
        <w:spacing w:after="120"/>
        <w:ind w:left="0"/>
        <w:contextualSpacing w:val="0"/>
        <w:jc w:val="both"/>
        <w:rPr>
          <w:rFonts w:asciiTheme="minorHAnsi" w:hAnsiTheme="minorHAnsi"/>
        </w:rPr>
      </w:pPr>
      <w:bookmarkStart w:id="8" w:name="_Hlk52456721"/>
      <w:r w:rsidRPr="00EB0101">
        <w:rPr>
          <w:rFonts w:asciiTheme="minorHAnsi" w:hAnsiTheme="minorHAnsi"/>
        </w:rPr>
        <w:t>4.1</w:t>
      </w:r>
      <w:r w:rsidRPr="00EB0101">
        <w:rPr>
          <w:rFonts w:asciiTheme="minorHAnsi" w:hAnsiTheme="minorHAnsi"/>
        </w:rPr>
        <w:tab/>
      </w:r>
      <w:r w:rsidRPr="00EB0101">
        <w:rPr>
          <w:szCs w:val="24"/>
        </w:rPr>
        <w:t xml:space="preserve">Delegations are invited to submit contributions to WTSA-24 </w:t>
      </w:r>
      <w:r w:rsidR="00930787">
        <w:rPr>
          <w:szCs w:val="24"/>
        </w:rPr>
        <w:t xml:space="preserve">by </w:t>
      </w:r>
      <w:r w:rsidR="00930787" w:rsidRPr="00EB0101">
        <w:rPr>
          <w:szCs w:val="24"/>
        </w:rPr>
        <w:t>Monday, 16 September</w:t>
      </w:r>
      <w:r w:rsidR="00930787">
        <w:rPr>
          <w:szCs w:val="24"/>
        </w:rPr>
        <w:t xml:space="preserve">, i.e. </w:t>
      </w:r>
      <w:r w:rsidRPr="00EB0101">
        <w:rPr>
          <w:szCs w:val="24"/>
        </w:rPr>
        <w:t xml:space="preserve">four weeks </w:t>
      </w:r>
      <w:r w:rsidR="000D684A">
        <w:rPr>
          <w:szCs w:val="24"/>
        </w:rPr>
        <w:t xml:space="preserve">prior to </w:t>
      </w:r>
      <w:r w:rsidRPr="00EB0101">
        <w:rPr>
          <w:szCs w:val="24"/>
        </w:rPr>
        <w:t>the opening of WTSA-24</w:t>
      </w:r>
      <w:r w:rsidR="00930787">
        <w:rPr>
          <w:szCs w:val="24"/>
        </w:rPr>
        <w:t xml:space="preserve">, </w:t>
      </w:r>
      <w:r w:rsidR="00201770">
        <w:rPr>
          <w:szCs w:val="24"/>
        </w:rPr>
        <w:t>bearing in mind</w:t>
      </w:r>
      <w:r w:rsidRPr="00EB0101">
        <w:rPr>
          <w:szCs w:val="24"/>
        </w:rPr>
        <w:t xml:space="preserve"> that, </w:t>
      </w:r>
      <w:r w:rsidR="00930787">
        <w:rPr>
          <w:szCs w:val="24"/>
        </w:rPr>
        <w:t xml:space="preserve">pursuant to </w:t>
      </w:r>
      <w:r w:rsidRPr="00EB0101">
        <w:rPr>
          <w:szCs w:val="24"/>
        </w:rPr>
        <w:t>Resolution 165</w:t>
      </w:r>
      <w:r w:rsidR="00930787">
        <w:rPr>
          <w:szCs w:val="24"/>
        </w:rPr>
        <w:t xml:space="preserve"> (Rev. </w:t>
      </w:r>
      <w:r w:rsidR="00525A1F">
        <w:rPr>
          <w:szCs w:val="24"/>
        </w:rPr>
        <w:t>Dubai</w:t>
      </w:r>
      <w:r w:rsidR="00930787">
        <w:rPr>
          <w:szCs w:val="24"/>
        </w:rPr>
        <w:t>, 2018)</w:t>
      </w:r>
      <w:r w:rsidR="00525A1F">
        <w:rPr>
          <w:szCs w:val="24"/>
        </w:rPr>
        <w:t xml:space="preserve"> of the Plenipotentiary Conference</w:t>
      </w:r>
      <w:r w:rsidRPr="00EB0101">
        <w:rPr>
          <w:szCs w:val="24"/>
        </w:rPr>
        <w:t>, there is a firm submission deadline of 21 calendar days prior to the opening of WTSA-24</w:t>
      </w:r>
      <w:r w:rsidR="00930787">
        <w:rPr>
          <w:szCs w:val="24"/>
        </w:rPr>
        <w:t>, i.e.</w:t>
      </w:r>
      <w:r w:rsidRPr="00EB0101">
        <w:rPr>
          <w:szCs w:val="24"/>
        </w:rPr>
        <w:t xml:space="preserve"> </w:t>
      </w:r>
      <w:r w:rsidRPr="00EB0101">
        <w:rPr>
          <w:color w:val="000000" w:themeColor="text1"/>
          <w:szCs w:val="24"/>
        </w:rPr>
        <w:t>Monday, 23 September 2024 at 2359 hours Geneva time</w:t>
      </w:r>
      <w:r w:rsidRPr="00EB0101">
        <w:rPr>
          <w:szCs w:val="24"/>
        </w:rPr>
        <w:t>.</w:t>
      </w:r>
      <w:r w:rsidRPr="00EB0101">
        <w:rPr>
          <w:szCs w:val="24"/>
          <w:vertAlign w:val="superscript"/>
        </w:rPr>
        <w:footnoteReference w:id="1"/>
      </w:r>
      <w:r w:rsidRPr="00EB0101">
        <w:rPr>
          <w:szCs w:val="24"/>
          <w:vertAlign w:val="superscript"/>
        </w:rPr>
        <w:t>,</w:t>
      </w:r>
      <w:r w:rsidRPr="00EB0101">
        <w:rPr>
          <w:vertAlign w:val="superscript"/>
        </w:rPr>
        <w:footnoteReference w:id="2"/>
      </w:r>
    </w:p>
    <w:bookmarkEnd w:id="8"/>
    <w:p w14:paraId="08250433" w14:textId="77777777" w:rsidR="00732A6D" w:rsidRPr="00EB0101" w:rsidRDefault="00732A6D" w:rsidP="00732A6D">
      <w:pPr>
        <w:spacing w:before="360" w:after="120"/>
        <w:jc w:val="both"/>
        <w:rPr>
          <w:rFonts w:asciiTheme="minorHAnsi" w:hAnsiTheme="minorHAnsi"/>
          <w:b/>
          <w:bCs/>
        </w:rPr>
      </w:pPr>
      <w:r w:rsidRPr="00EB0101">
        <w:rPr>
          <w:rFonts w:asciiTheme="minorHAnsi" w:hAnsiTheme="minorHAnsi"/>
          <w:b/>
          <w:bCs/>
        </w:rPr>
        <w:t>5.</w:t>
      </w:r>
      <w:r w:rsidRPr="00EB0101">
        <w:rPr>
          <w:rFonts w:asciiTheme="minorHAnsi" w:hAnsiTheme="minorHAnsi"/>
          <w:b/>
          <w:bCs/>
        </w:rPr>
        <w:tab/>
        <w:t>Fellowships</w:t>
      </w:r>
    </w:p>
    <w:p w14:paraId="0F1EC4BD" w14:textId="3A12B406" w:rsidR="00732A6D" w:rsidRPr="00EB0101" w:rsidRDefault="00732A6D" w:rsidP="00732A6D">
      <w:pPr>
        <w:pStyle w:val="ListParagraph"/>
        <w:spacing w:after="120"/>
        <w:ind w:left="0"/>
        <w:contextualSpacing w:val="0"/>
        <w:jc w:val="both"/>
        <w:rPr>
          <w:szCs w:val="24"/>
          <w:lang w:eastAsia="zh-CN"/>
        </w:rPr>
      </w:pPr>
      <w:r w:rsidRPr="00EB0101">
        <w:rPr>
          <w:rFonts w:asciiTheme="minorHAnsi" w:hAnsiTheme="minorHAnsi"/>
        </w:rPr>
        <w:t>5.1</w:t>
      </w:r>
      <w:r w:rsidRPr="00EB0101">
        <w:rPr>
          <w:rFonts w:asciiTheme="minorHAnsi" w:hAnsiTheme="minorHAnsi"/>
        </w:rPr>
        <w:tab/>
        <w:t xml:space="preserve">Fellowships per eligible Member State for WTSA-24 will be </w:t>
      </w:r>
      <w:r w:rsidRPr="00EB0101">
        <w:rPr>
          <w:szCs w:val="24"/>
          <w:lang w:eastAsia="zh-CN"/>
        </w:rPr>
        <w:t xml:space="preserve">awarded based on available funding to facilitate participation from </w:t>
      </w:r>
      <w:r w:rsidR="00EB0101">
        <w:rPr>
          <w:szCs w:val="24"/>
          <w:lang w:eastAsia="zh-CN"/>
        </w:rPr>
        <w:t>d</w:t>
      </w:r>
      <w:r w:rsidRPr="00EB0101">
        <w:rPr>
          <w:szCs w:val="24"/>
          <w:lang w:eastAsia="zh-CN"/>
        </w:rPr>
        <w:t xml:space="preserve">eveloping </w:t>
      </w:r>
      <w:r w:rsidR="00EB0101">
        <w:rPr>
          <w:szCs w:val="24"/>
          <w:lang w:eastAsia="zh-CN"/>
        </w:rPr>
        <w:t>c</w:t>
      </w:r>
      <w:r w:rsidRPr="00EB0101">
        <w:rPr>
          <w:szCs w:val="24"/>
          <w:lang w:eastAsia="zh-CN"/>
        </w:rPr>
        <w:t>ountrie</w:t>
      </w:r>
      <w:r w:rsidR="00930787">
        <w:rPr>
          <w:szCs w:val="24"/>
          <w:lang w:eastAsia="zh-CN"/>
        </w:rPr>
        <w:t>s.</w:t>
      </w:r>
      <w:r w:rsidR="00EB0101">
        <w:rPr>
          <w:rStyle w:val="FootnoteReference"/>
          <w:szCs w:val="24"/>
          <w:lang w:eastAsia="zh-CN"/>
        </w:rPr>
        <w:footnoteReference w:id="3"/>
      </w:r>
      <w:r w:rsidRPr="00EB0101">
        <w:rPr>
          <w:szCs w:val="24"/>
          <w:lang w:eastAsia="zh-CN"/>
        </w:rPr>
        <w:t xml:space="preserve"> An application must be authorized by the relevant </w:t>
      </w:r>
      <w:r w:rsidR="00930787">
        <w:rPr>
          <w:szCs w:val="24"/>
          <w:lang w:eastAsia="zh-CN"/>
        </w:rPr>
        <w:t>a</w:t>
      </w:r>
      <w:r w:rsidR="00930787" w:rsidRPr="00EB0101">
        <w:rPr>
          <w:szCs w:val="24"/>
          <w:lang w:eastAsia="zh-CN"/>
        </w:rPr>
        <w:t xml:space="preserve">dministration </w:t>
      </w:r>
      <w:r w:rsidRPr="00EB0101">
        <w:rPr>
          <w:szCs w:val="24"/>
          <w:lang w:eastAsia="zh-CN"/>
        </w:rPr>
        <w:t>of the ITU Member State</w:t>
      </w:r>
      <w:r w:rsidR="00930787">
        <w:rPr>
          <w:szCs w:val="24"/>
          <w:lang w:eastAsia="zh-CN"/>
        </w:rPr>
        <w:t xml:space="preserve"> concerned</w:t>
      </w:r>
      <w:r w:rsidRPr="00EB0101">
        <w:rPr>
          <w:szCs w:val="24"/>
          <w:lang w:eastAsia="zh-CN"/>
        </w:rPr>
        <w:t>.</w:t>
      </w:r>
    </w:p>
    <w:p w14:paraId="2A6E4095" w14:textId="77777777" w:rsidR="00732A6D" w:rsidRPr="00EB0101" w:rsidRDefault="00732A6D" w:rsidP="00732A6D">
      <w:pPr>
        <w:spacing w:before="360" w:after="120"/>
        <w:jc w:val="both"/>
        <w:rPr>
          <w:rFonts w:asciiTheme="minorHAnsi" w:hAnsiTheme="minorHAnsi"/>
          <w:b/>
          <w:bCs/>
        </w:rPr>
      </w:pPr>
      <w:r w:rsidRPr="00EB0101">
        <w:rPr>
          <w:rFonts w:asciiTheme="minorHAnsi" w:hAnsiTheme="minorHAnsi"/>
          <w:b/>
          <w:bCs/>
        </w:rPr>
        <w:t>6.</w:t>
      </w:r>
      <w:r w:rsidRPr="00EB0101">
        <w:rPr>
          <w:rFonts w:asciiTheme="minorHAnsi" w:hAnsiTheme="minorHAnsi"/>
          <w:b/>
          <w:bCs/>
        </w:rPr>
        <w:tab/>
        <w:t>WTSA website</w:t>
      </w:r>
    </w:p>
    <w:p w14:paraId="62B05743" w14:textId="44C5C8AD" w:rsidR="00732A6D" w:rsidRPr="00EB0101" w:rsidRDefault="00732A6D" w:rsidP="00732A6D">
      <w:pPr>
        <w:pStyle w:val="ListParagraph"/>
        <w:spacing w:after="120"/>
        <w:ind w:left="0"/>
        <w:contextualSpacing w:val="0"/>
        <w:jc w:val="both"/>
        <w:rPr>
          <w:rFonts w:asciiTheme="minorHAnsi" w:hAnsiTheme="minorHAnsi"/>
        </w:rPr>
      </w:pPr>
      <w:r w:rsidRPr="00EB0101">
        <w:rPr>
          <w:rFonts w:asciiTheme="minorHAnsi" w:hAnsiTheme="minorHAnsi"/>
        </w:rPr>
        <w:t>6.1</w:t>
      </w:r>
      <w:r w:rsidRPr="00EB0101">
        <w:rPr>
          <w:rFonts w:asciiTheme="minorHAnsi" w:hAnsiTheme="minorHAnsi"/>
        </w:rPr>
        <w:tab/>
        <w:t xml:space="preserve">The WTSA-24 website </w:t>
      </w:r>
      <w:hyperlink r:id="rId18" w:history="1">
        <w:r w:rsidRPr="00EB0101">
          <w:rPr>
            <w:rStyle w:val="Hyperlink"/>
            <w:rFonts w:asciiTheme="minorHAnsi" w:hAnsiTheme="minorHAnsi"/>
          </w:rPr>
          <w:t>https://www.itu.int/wtsa/2024/</w:t>
        </w:r>
      </w:hyperlink>
      <w:r w:rsidRPr="00EB0101">
        <w:rPr>
          <w:rFonts w:asciiTheme="minorHAnsi" w:hAnsiTheme="minorHAnsi"/>
        </w:rPr>
        <w:t xml:space="preserve"> will contain all the above information.</w:t>
      </w:r>
    </w:p>
    <w:p w14:paraId="22109BF4" w14:textId="77777777" w:rsidR="00732A6D" w:rsidRPr="00EB0101" w:rsidRDefault="00732A6D" w:rsidP="00732A6D">
      <w:pPr>
        <w:spacing w:before="320"/>
        <w:jc w:val="both"/>
        <w:rPr>
          <w:b/>
          <w:bCs/>
          <w:szCs w:val="24"/>
        </w:rPr>
      </w:pPr>
      <w:r w:rsidRPr="00EB0101">
        <w:rPr>
          <w:b/>
          <w:bCs/>
          <w:szCs w:val="24"/>
        </w:rPr>
        <w:t>7.</w:t>
      </w:r>
      <w:r w:rsidRPr="00EB0101">
        <w:rPr>
          <w:b/>
          <w:bCs/>
          <w:szCs w:val="24"/>
        </w:rPr>
        <w:tab/>
        <w:t>Proposal</w:t>
      </w:r>
    </w:p>
    <w:p w14:paraId="723BA7B8" w14:textId="27223779" w:rsidR="00732A6D" w:rsidRPr="00EB0101" w:rsidRDefault="00732A6D" w:rsidP="00732A6D">
      <w:pPr>
        <w:jc w:val="both"/>
        <w:rPr>
          <w:szCs w:val="24"/>
        </w:rPr>
      </w:pPr>
      <w:r w:rsidRPr="00EB0101">
        <w:rPr>
          <w:szCs w:val="24"/>
        </w:rPr>
        <w:t>7.1</w:t>
      </w:r>
      <w:r w:rsidRPr="00EB0101">
        <w:rPr>
          <w:szCs w:val="24"/>
        </w:rPr>
        <w:tab/>
        <w:t>The Council is invited to consider the invitation of the Government of India to hold WTSA-24 from 15</w:t>
      </w:r>
      <w:r w:rsidRPr="00EB0101">
        <w:t xml:space="preserve"> to 24 October </w:t>
      </w:r>
      <w:r w:rsidRPr="00EB0101">
        <w:rPr>
          <w:szCs w:val="24"/>
        </w:rPr>
        <w:t xml:space="preserve">2024, </w:t>
      </w:r>
      <w:r w:rsidRPr="00BC6D51">
        <w:rPr>
          <w:szCs w:val="24"/>
        </w:rPr>
        <w:t>at</w:t>
      </w:r>
      <w:r w:rsidR="006D62CE" w:rsidRPr="00BC6D51">
        <w:rPr>
          <w:szCs w:val="24"/>
        </w:rPr>
        <w:t xml:space="preserve"> the</w:t>
      </w:r>
      <w:r w:rsidRPr="00BC6D51">
        <w:rPr>
          <w:szCs w:val="24"/>
        </w:rPr>
        <w:t xml:space="preserve"> </w:t>
      </w:r>
      <w:r w:rsidR="006D62CE" w:rsidRPr="00BC6D51">
        <w:rPr>
          <w:szCs w:val="24"/>
        </w:rPr>
        <w:t>International</w:t>
      </w:r>
      <w:r w:rsidR="006D62CE" w:rsidRPr="00EB0101">
        <w:rPr>
          <w:szCs w:val="24"/>
        </w:rPr>
        <w:t xml:space="preserve"> Exhibition</w:t>
      </w:r>
      <w:r w:rsidR="00EB0101">
        <w:rPr>
          <w:szCs w:val="24"/>
        </w:rPr>
        <w:t xml:space="preserve"> c</w:t>
      </w:r>
      <w:r w:rsidR="006D62CE" w:rsidRPr="00EB0101">
        <w:rPr>
          <w:szCs w:val="24"/>
        </w:rPr>
        <w:t>um</w:t>
      </w:r>
      <w:r w:rsidR="00EB0101">
        <w:rPr>
          <w:szCs w:val="24"/>
        </w:rPr>
        <w:t xml:space="preserve"> </w:t>
      </w:r>
      <w:r w:rsidR="006D62CE" w:rsidRPr="00EB0101">
        <w:rPr>
          <w:szCs w:val="24"/>
        </w:rPr>
        <w:t>Convention Cent</w:t>
      </w:r>
      <w:r w:rsidR="00BC6D51">
        <w:rPr>
          <w:szCs w:val="24"/>
        </w:rPr>
        <w:t>re</w:t>
      </w:r>
      <w:r w:rsidR="006D62CE" w:rsidRPr="00EB0101">
        <w:rPr>
          <w:szCs w:val="24"/>
        </w:rPr>
        <w:t xml:space="preserve">, Pragati Maidan, </w:t>
      </w:r>
      <w:r w:rsidRPr="00EB0101">
        <w:rPr>
          <w:szCs w:val="24"/>
        </w:rPr>
        <w:t>New Delhi</w:t>
      </w:r>
      <w:r w:rsidR="000135B5" w:rsidRPr="00EB0101">
        <w:rPr>
          <w:szCs w:val="24"/>
        </w:rPr>
        <w:t>,</w:t>
      </w:r>
      <w:r w:rsidRPr="00EB0101">
        <w:rPr>
          <w:szCs w:val="24"/>
        </w:rPr>
        <w:t xml:space="preserve"> </w:t>
      </w:r>
      <w:r w:rsidR="00527A3C">
        <w:rPr>
          <w:szCs w:val="24"/>
        </w:rPr>
        <w:t xml:space="preserve">India, </w:t>
      </w:r>
      <w:r w:rsidRPr="00EB0101">
        <w:rPr>
          <w:szCs w:val="24"/>
        </w:rPr>
        <w:t xml:space="preserve">and to decide on the </w:t>
      </w:r>
      <w:r w:rsidR="00525A1F">
        <w:rPr>
          <w:szCs w:val="24"/>
        </w:rPr>
        <w:t>precise place</w:t>
      </w:r>
      <w:r w:rsidR="00525A1F" w:rsidRPr="00EB0101">
        <w:rPr>
          <w:szCs w:val="24"/>
        </w:rPr>
        <w:t xml:space="preserve"> </w:t>
      </w:r>
      <w:r w:rsidRPr="00EB0101">
        <w:rPr>
          <w:szCs w:val="24"/>
        </w:rPr>
        <w:t xml:space="preserve">and exact dates of WTSA-24 by adopting the draft decision contained in </w:t>
      </w:r>
      <w:hyperlink w:anchor="Annex2" w:history="1">
        <w:r w:rsidRPr="00EB0101">
          <w:rPr>
            <w:rStyle w:val="Hyperlink"/>
            <w:b/>
            <w:bCs/>
            <w:szCs w:val="24"/>
          </w:rPr>
          <w:t>Annex 2</w:t>
        </w:r>
      </w:hyperlink>
      <w:r w:rsidRPr="00EB0101">
        <w:rPr>
          <w:szCs w:val="24"/>
        </w:rPr>
        <w:t>.</w:t>
      </w:r>
    </w:p>
    <w:p w14:paraId="0492009F" w14:textId="3880576A" w:rsidR="00980CB5" w:rsidRPr="00EB0101" w:rsidRDefault="00631091" w:rsidP="00F073FE">
      <w:pPr>
        <w:jc w:val="both"/>
        <w:rPr>
          <w:szCs w:val="24"/>
        </w:rPr>
      </w:pPr>
      <w:r w:rsidRPr="00EB0101">
        <w:rPr>
          <w:szCs w:val="24"/>
        </w:rPr>
        <w:t xml:space="preserve">Following a decision by </w:t>
      </w:r>
      <w:r w:rsidR="000135B5" w:rsidRPr="00EB0101">
        <w:rPr>
          <w:szCs w:val="24"/>
        </w:rPr>
        <w:t xml:space="preserve">the </w:t>
      </w:r>
      <w:r w:rsidRPr="00EB0101">
        <w:rPr>
          <w:szCs w:val="24"/>
        </w:rPr>
        <w:t>Council,</w:t>
      </w:r>
      <w:r w:rsidR="00980CB5" w:rsidRPr="00EB0101">
        <w:rPr>
          <w:szCs w:val="24"/>
        </w:rPr>
        <w:t xml:space="preserve"> </w:t>
      </w:r>
      <w:r w:rsidR="000135B5" w:rsidRPr="00EB0101">
        <w:rPr>
          <w:szCs w:val="24"/>
        </w:rPr>
        <w:t xml:space="preserve">the </w:t>
      </w:r>
      <w:r w:rsidR="00980CB5" w:rsidRPr="00EB0101">
        <w:rPr>
          <w:szCs w:val="24"/>
        </w:rPr>
        <w:t xml:space="preserve">Secretary-General will carry out a consultation with all Member States on the </w:t>
      </w:r>
      <w:r w:rsidR="00CB4689" w:rsidRPr="00EB0101">
        <w:rPr>
          <w:szCs w:val="24"/>
        </w:rPr>
        <w:t xml:space="preserve">precise place </w:t>
      </w:r>
      <w:r w:rsidR="00CB4689">
        <w:rPr>
          <w:szCs w:val="24"/>
        </w:rPr>
        <w:t xml:space="preserve">and </w:t>
      </w:r>
      <w:r w:rsidR="00980CB5" w:rsidRPr="00EB0101">
        <w:rPr>
          <w:szCs w:val="24"/>
        </w:rPr>
        <w:t>exact dates of WTSA-2</w:t>
      </w:r>
      <w:r w:rsidR="000135B5" w:rsidRPr="00EB0101">
        <w:rPr>
          <w:szCs w:val="24"/>
        </w:rPr>
        <w:t>4</w:t>
      </w:r>
      <w:r w:rsidR="00980CB5" w:rsidRPr="00EB0101">
        <w:rPr>
          <w:szCs w:val="24"/>
        </w:rPr>
        <w:t>.</w:t>
      </w:r>
    </w:p>
    <w:p w14:paraId="759E3401" w14:textId="0E1F7B54" w:rsidR="00F073FE" w:rsidRPr="00EB0101" w:rsidRDefault="00F073F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r w:rsidRPr="00EB0101">
        <w:rPr>
          <w:rFonts w:asciiTheme="minorHAnsi" w:hAnsiTheme="minorHAnsi"/>
        </w:rPr>
        <w:br w:type="page"/>
      </w:r>
    </w:p>
    <w:p w14:paraId="45CF72B0" w14:textId="042894DC" w:rsidR="00927588" w:rsidRPr="00EB0101" w:rsidRDefault="00927588" w:rsidP="00927588">
      <w:pPr>
        <w:jc w:val="both"/>
      </w:pPr>
      <w:bookmarkStart w:id="9" w:name="Annex2"/>
      <w:bookmarkEnd w:id="9"/>
      <w:r w:rsidRPr="00EB0101">
        <w:rPr>
          <w:noProof/>
          <w:color w:val="000000"/>
          <w:szCs w:val="26"/>
          <w:lang w:eastAsia="en-IN"/>
        </w:rPr>
        <w:lastRenderedPageBreak/>
        <w:drawing>
          <wp:anchor distT="0" distB="0" distL="114300" distR="114300" simplePos="0" relativeHeight="251658240" behindDoc="0" locked="0" layoutInCell="1" allowOverlap="1" wp14:anchorId="62A2EC1F" wp14:editId="53B1652B">
            <wp:simplePos x="0" y="0"/>
            <wp:positionH relativeFrom="column">
              <wp:posOffset>-517149</wp:posOffset>
            </wp:positionH>
            <wp:positionV relativeFrom="page">
              <wp:posOffset>1002007</wp:posOffset>
            </wp:positionV>
            <wp:extent cx="6860738" cy="9703656"/>
            <wp:effectExtent l="0" t="0" r="0" b="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66724" cy="9712123"/>
                    </a:xfrm>
                    <a:prstGeom prst="rect">
                      <a:avLst/>
                    </a:prstGeom>
                  </pic:spPr>
                </pic:pic>
              </a:graphicData>
            </a:graphic>
            <wp14:sizeRelH relativeFrom="margin">
              <wp14:pctWidth>0</wp14:pctWidth>
            </wp14:sizeRelH>
            <wp14:sizeRelV relativeFrom="margin">
              <wp14:pctHeight>0</wp14:pctHeight>
            </wp14:sizeRelV>
          </wp:anchor>
        </w:drawing>
      </w:r>
      <w:r w:rsidRPr="00EB0101">
        <w:rPr>
          <w:noProof/>
        </w:rPr>
        <mc:AlternateContent>
          <mc:Choice Requires="wps">
            <w:drawing>
              <wp:anchor distT="45720" distB="45720" distL="114300" distR="114300" simplePos="0" relativeHeight="251660288" behindDoc="0" locked="0" layoutInCell="1" allowOverlap="1" wp14:anchorId="40B6977E" wp14:editId="09399881">
                <wp:simplePos x="0" y="0"/>
                <wp:positionH relativeFrom="column">
                  <wp:posOffset>780415</wp:posOffset>
                </wp:positionH>
                <wp:positionV relativeFrom="page">
                  <wp:posOffset>152651</wp:posOffset>
                </wp:positionV>
                <wp:extent cx="4090358" cy="1204598"/>
                <wp:effectExtent l="0" t="0" r="571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0358" cy="1204598"/>
                        </a:xfrm>
                        <a:prstGeom prst="rect">
                          <a:avLst/>
                        </a:prstGeom>
                        <a:solidFill>
                          <a:srgbClr val="FFFFFF"/>
                        </a:solidFill>
                        <a:ln w="9525">
                          <a:noFill/>
                          <a:miter lim="800000"/>
                          <a:headEnd/>
                          <a:tailEnd/>
                        </a:ln>
                      </wps:spPr>
                      <wps:txbx>
                        <w:txbxContent>
                          <w:p w14:paraId="4E89D071" w14:textId="5F101178" w:rsidR="00927588" w:rsidRPr="00927588" w:rsidRDefault="00927588" w:rsidP="00927588">
                            <w:pPr>
                              <w:jc w:val="center"/>
                              <w:rPr>
                                <w:sz w:val="28"/>
                                <w:szCs w:val="28"/>
                              </w:rPr>
                            </w:pPr>
                            <w:r w:rsidRPr="00927588">
                              <w:rPr>
                                <w:sz w:val="28"/>
                                <w:szCs w:val="28"/>
                              </w:rPr>
                              <w:t>ANNEX 1</w:t>
                            </w:r>
                          </w:p>
                          <w:p w14:paraId="12080235" w14:textId="341131C7" w:rsidR="00927588" w:rsidRDefault="00927588" w:rsidP="00927588">
                            <w:pPr>
                              <w:jc w:val="center"/>
                            </w:pPr>
                            <w:r w:rsidRPr="00927588">
                              <w:rPr>
                                <w:b/>
                                <w:bCs/>
                                <w:sz w:val="28"/>
                                <w:szCs w:val="28"/>
                              </w:rPr>
                              <w:t xml:space="preserve">Invitation from the Government of India </w:t>
                            </w:r>
                            <w:r w:rsidRPr="00927588">
                              <w:rPr>
                                <w:b/>
                                <w:bCs/>
                                <w:sz w:val="28"/>
                                <w:szCs w:val="28"/>
                              </w:rPr>
                              <w:br/>
                              <w:t xml:space="preserve">to host </w:t>
                            </w:r>
                            <w:r w:rsidR="00CB4689">
                              <w:rPr>
                                <w:b/>
                                <w:bCs/>
                                <w:sz w:val="28"/>
                                <w:szCs w:val="28"/>
                              </w:rPr>
                              <w:t>the 2024 world telecommunication standardization assembly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6977E" id="_x0000_t202" coordsize="21600,21600" o:spt="202" path="m,l,21600r21600,l21600,xe">
                <v:stroke joinstyle="miter"/>
                <v:path gradientshapeok="t" o:connecttype="rect"/>
              </v:shapetype>
              <v:shape id="Text Box 2" o:spid="_x0000_s1026" type="#_x0000_t202" style="position:absolute;left:0;text-align:left;margin-left:61.45pt;margin-top:12pt;width:322.1pt;height:94.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" stroked="f">
                <v:textbox>
                  <w:txbxContent>
                    <w:p w14:paraId="4E89D071" w14:textId="5F101178" w:rsidR="00927588" w:rsidRPr="00927588" w:rsidRDefault="00927588" w:rsidP="00927588">
                      <w:pPr>
                        <w:jc w:val="center"/>
                        <w:rPr>
                          <w:sz w:val="28"/>
                          <w:szCs w:val="28"/>
                        </w:rPr>
                      </w:pPr>
                      <w:r w:rsidRPr="00927588">
                        <w:rPr>
                          <w:sz w:val="28"/>
                          <w:szCs w:val="28"/>
                        </w:rPr>
                        <w:t>ANNEX 1</w:t>
                      </w:r>
                    </w:p>
                    <w:p w14:paraId="12080235" w14:textId="341131C7" w:rsidR="00927588" w:rsidRDefault="00927588" w:rsidP="00927588">
                      <w:pPr>
                        <w:jc w:val="center"/>
                      </w:pPr>
                      <w:r w:rsidRPr="00927588">
                        <w:rPr>
                          <w:b/>
                          <w:bCs/>
                          <w:sz w:val="28"/>
                          <w:szCs w:val="28"/>
                        </w:rPr>
                        <w:t xml:space="preserve">Invitation from the Government of India </w:t>
                      </w:r>
                      <w:r w:rsidRPr="00927588">
                        <w:rPr>
                          <w:b/>
                          <w:bCs/>
                          <w:sz w:val="28"/>
                          <w:szCs w:val="28"/>
                        </w:rPr>
                        <w:br/>
                        <w:t xml:space="preserve">to host </w:t>
                      </w:r>
                      <w:r w:rsidR="00CB4689">
                        <w:rPr>
                          <w:b/>
                          <w:bCs/>
                          <w:sz w:val="28"/>
                          <w:szCs w:val="28"/>
                        </w:rPr>
                        <w:t>the 2024 world telecommunication standardization assembly</w:t>
                      </w:r>
                    </w:p>
                  </w:txbxContent>
                </v:textbox>
                <w10:wrap anchory="page"/>
              </v:shape>
            </w:pict>
          </mc:Fallback>
        </mc:AlternateContent>
      </w:r>
    </w:p>
    <w:p w14:paraId="33EBCB1D" w14:textId="55C751A4" w:rsidR="00F073FE" w:rsidRPr="00EB0101" w:rsidRDefault="00F073FE" w:rsidP="00C050CE">
      <w:pPr>
        <w:pStyle w:val="ListParagraph"/>
        <w:spacing w:before="0" w:after="120"/>
        <w:ind w:left="0"/>
        <w:contextualSpacing w:val="0"/>
        <w:jc w:val="both"/>
        <w:rPr>
          <w:caps/>
          <w:sz w:val="28"/>
        </w:rPr>
      </w:pPr>
      <w:r w:rsidRPr="00EB0101">
        <w:br w:type="page"/>
      </w:r>
    </w:p>
    <w:p w14:paraId="325DC925" w14:textId="3F1C18AF" w:rsidR="00732A6D" w:rsidRPr="00EB0101" w:rsidRDefault="00732A6D" w:rsidP="00F073FE">
      <w:pPr>
        <w:pStyle w:val="AnnexNo"/>
        <w:rPr>
          <w:b/>
          <w:bCs/>
        </w:rPr>
      </w:pPr>
      <w:r w:rsidRPr="00EB0101">
        <w:lastRenderedPageBreak/>
        <w:t>ANNEX 2</w:t>
      </w:r>
    </w:p>
    <w:p w14:paraId="52FA5839" w14:textId="384DF234" w:rsidR="00732A6D" w:rsidRPr="00EB0101" w:rsidRDefault="00732A6D" w:rsidP="00F073FE">
      <w:pPr>
        <w:pStyle w:val="Annextitle"/>
      </w:pPr>
      <w:r w:rsidRPr="00EB0101">
        <w:t>DRAFT DECISION</w:t>
      </w:r>
      <w:r w:rsidR="00DF36AF">
        <w:t xml:space="preserve"> [...]</w:t>
      </w:r>
    </w:p>
    <w:p w14:paraId="69175CFE" w14:textId="02CCF738" w:rsidR="00732A6D" w:rsidRPr="00EB0101" w:rsidRDefault="00732A6D" w:rsidP="00F073FE">
      <w:pPr>
        <w:pStyle w:val="Annextitle"/>
        <w:rPr>
          <w:sz w:val="24"/>
          <w:szCs w:val="24"/>
        </w:rPr>
      </w:pPr>
      <w:r w:rsidRPr="00EB0101">
        <w:t xml:space="preserve">Convening of the </w:t>
      </w:r>
      <w:r w:rsidR="00942CAC">
        <w:t>2024</w:t>
      </w:r>
      <w:r w:rsidR="00942CAC" w:rsidRPr="00EB0101">
        <w:t xml:space="preserve"> </w:t>
      </w:r>
      <w:r w:rsidR="00942CAC">
        <w:t>w</w:t>
      </w:r>
      <w:r w:rsidRPr="00EB0101">
        <w:t xml:space="preserve">orld </w:t>
      </w:r>
      <w:r w:rsidR="00942CAC">
        <w:t>t</w:t>
      </w:r>
      <w:r w:rsidRPr="00EB0101">
        <w:t xml:space="preserve">elecommunication </w:t>
      </w:r>
      <w:r w:rsidR="00942CAC">
        <w:t>s</w:t>
      </w:r>
      <w:r w:rsidRPr="00EB0101">
        <w:t xml:space="preserve">tandardization </w:t>
      </w:r>
      <w:r w:rsidR="00942CAC">
        <w:t>a</w:t>
      </w:r>
      <w:r w:rsidRPr="00EB0101">
        <w:t>ssembly</w:t>
      </w:r>
    </w:p>
    <w:p w14:paraId="405777C1" w14:textId="70B6BA01" w:rsidR="00732A6D" w:rsidRPr="00EB0101" w:rsidRDefault="00732A6D" w:rsidP="00732A6D">
      <w:pPr>
        <w:pStyle w:val="Normalaftertitle"/>
      </w:pPr>
      <w:r w:rsidRPr="00EB0101">
        <w:t xml:space="preserve">The </w:t>
      </w:r>
      <w:r w:rsidR="00AE1984" w:rsidRPr="00EB0101">
        <w:t xml:space="preserve">ITU </w:t>
      </w:r>
      <w:r w:rsidRPr="00EB0101">
        <w:t>Council,</w:t>
      </w:r>
    </w:p>
    <w:p w14:paraId="769A0E23" w14:textId="77777777" w:rsidR="00732A6D" w:rsidRPr="00EB0101" w:rsidRDefault="00732A6D" w:rsidP="00732A6D">
      <w:pPr>
        <w:pStyle w:val="Call"/>
      </w:pPr>
      <w:r w:rsidRPr="00EB0101">
        <w:t>noting</w:t>
      </w:r>
    </w:p>
    <w:p w14:paraId="0F1D4B8E" w14:textId="7991B273" w:rsidR="00732A6D" w:rsidRPr="00EB0101" w:rsidRDefault="00732A6D" w:rsidP="00732A6D">
      <w:r w:rsidRPr="00EB0101">
        <w:t xml:space="preserve">that </w:t>
      </w:r>
      <w:r w:rsidR="00942CAC">
        <w:t>the 2024 world telecommunication standardization assembly (WTSA-24)</w:t>
      </w:r>
      <w:r w:rsidR="00525A1F">
        <w:t xml:space="preserve"> </w:t>
      </w:r>
      <w:r w:rsidRPr="00EB0101">
        <w:t>is scheduled to be held in</w:t>
      </w:r>
      <w:r w:rsidR="00980CB5" w:rsidRPr="00EB0101">
        <w:t xml:space="preserve"> India </w:t>
      </w:r>
      <w:r w:rsidRPr="00EB0101">
        <w:t xml:space="preserve">the last quarter of 2024 in accordance with Resolution 77 (Rev. Bucharest, 2022) </w:t>
      </w:r>
      <w:r w:rsidR="00942CAC">
        <w:t xml:space="preserve">of the Plenipotentiary Conference, </w:t>
      </w:r>
      <w:r w:rsidR="00EB0101">
        <w:t>on s</w:t>
      </w:r>
      <w:r w:rsidRPr="00EB0101">
        <w:t>cheduling and duration of conferences, forums, assemblies and Council sessions of the Union (2023-2027),</w:t>
      </w:r>
    </w:p>
    <w:p w14:paraId="71E83D5B" w14:textId="77777777" w:rsidR="00732A6D" w:rsidRPr="00EB0101" w:rsidRDefault="00732A6D" w:rsidP="00732A6D">
      <w:pPr>
        <w:pStyle w:val="Call"/>
      </w:pPr>
      <w:r w:rsidRPr="00EB0101">
        <w:t>decides</w:t>
      </w:r>
    </w:p>
    <w:p w14:paraId="7586C3CB" w14:textId="42BFB5AE" w:rsidR="00732A6D" w:rsidRPr="00EB0101" w:rsidRDefault="00732A6D" w:rsidP="00732A6D">
      <w:r w:rsidRPr="00EB0101">
        <w:t xml:space="preserve">that, subject to the concurrence of </w:t>
      </w:r>
      <w:r w:rsidR="00942CAC">
        <w:t>a</w:t>
      </w:r>
      <w:r w:rsidR="00942CAC" w:rsidRPr="00EB0101">
        <w:t xml:space="preserve"> </w:t>
      </w:r>
      <w:r w:rsidRPr="00EB0101">
        <w:t>majority of the Member States of the Union, WTSA</w:t>
      </w:r>
      <w:r w:rsidR="00942CAC">
        <w:t>-24</w:t>
      </w:r>
      <w:r w:rsidRPr="00EB0101">
        <w:t xml:space="preserve"> </w:t>
      </w:r>
      <w:r w:rsidR="00942CAC">
        <w:t>sha</w:t>
      </w:r>
      <w:r w:rsidRPr="00EB0101">
        <w:t xml:space="preserve">ll take place in </w:t>
      </w:r>
      <w:r w:rsidR="006D62CE" w:rsidRPr="00EB0101">
        <w:t xml:space="preserve">the </w:t>
      </w:r>
      <w:r w:rsidR="006D62CE" w:rsidRPr="00BC6D51">
        <w:rPr>
          <w:szCs w:val="24"/>
        </w:rPr>
        <w:t>International</w:t>
      </w:r>
      <w:r w:rsidR="006D62CE" w:rsidRPr="00EB0101">
        <w:rPr>
          <w:szCs w:val="24"/>
        </w:rPr>
        <w:t xml:space="preserve"> Exhibition</w:t>
      </w:r>
      <w:r w:rsidR="00EB0101">
        <w:rPr>
          <w:szCs w:val="24"/>
        </w:rPr>
        <w:t xml:space="preserve"> c</w:t>
      </w:r>
      <w:r w:rsidR="006D62CE" w:rsidRPr="00EB0101">
        <w:rPr>
          <w:szCs w:val="24"/>
        </w:rPr>
        <w:t>um</w:t>
      </w:r>
      <w:r w:rsidR="00EB0101">
        <w:rPr>
          <w:szCs w:val="24"/>
        </w:rPr>
        <w:t xml:space="preserve"> </w:t>
      </w:r>
      <w:r w:rsidR="006D62CE" w:rsidRPr="00EB0101">
        <w:rPr>
          <w:szCs w:val="24"/>
        </w:rPr>
        <w:t>Convention Cent</w:t>
      </w:r>
      <w:r w:rsidR="00BC6D51">
        <w:rPr>
          <w:szCs w:val="24"/>
        </w:rPr>
        <w:t>re</w:t>
      </w:r>
      <w:r w:rsidR="006D62CE" w:rsidRPr="00EB0101">
        <w:rPr>
          <w:szCs w:val="24"/>
        </w:rPr>
        <w:t>, Pragati Maidan</w:t>
      </w:r>
      <w:r w:rsidRPr="00EB0101">
        <w:t>, New Delhi, India, from 15</w:t>
      </w:r>
      <w:r w:rsidR="00527A3C">
        <w:t> </w:t>
      </w:r>
      <w:r w:rsidRPr="00EB0101">
        <w:t>to 24 October 2024</w:t>
      </w:r>
      <w:r w:rsidR="000135B5" w:rsidRPr="00EB0101">
        <w:t>,</w:t>
      </w:r>
    </w:p>
    <w:p w14:paraId="28A5BAA6" w14:textId="77777777" w:rsidR="00631091" w:rsidRPr="00EB0101" w:rsidRDefault="00631091" w:rsidP="00F073FE">
      <w:pPr>
        <w:pStyle w:val="Call"/>
      </w:pPr>
      <w:r w:rsidRPr="00EB0101">
        <w:t>instructs the Secretary-General</w:t>
      </w:r>
    </w:p>
    <w:p w14:paraId="78F644F3" w14:textId="5BDDBA6A" w:rsidR="00631091" w:rsidRPr="00EB0101" w:rsidRDefault="00631091" w:rsidP="00F073FE">
      <w:r w:rsidRPr="00EB0101">
        <w:t xml:space="preserve">to carry out a consultation with all Member States on the </w:t>
      </w:r>
      <w:r w:rsidR="00942CAC" w:rsidRPr="00EB0101">
        <w:t xml:space="preserve">precise place </w:t>
      </w:r>
      <w:r w:rsidR="00942CAC">
        <w:t xml:space="preserve">and </w:t>
      </w:r>
      <w:r w:rsidRPr="00EB0101">
        <w:t>exact dates of WTSA-24.</w:t>
      </w:r>
    </w:p>
    <w:p w14:paraId="16566EB5" w14:textId="09E5C29B" w:rsidR="00A514A4" w:rsidRPr="00EB0101" w:rsidRDefault="00732A6D" w:rsidP="00AF4167">
      <w:pPr>
        <w:tabs>
          <w:tab w:val="clear" w:pos="567"/>
          <w:tab w:val="clear" w:pos="1134"/>
          <w:tab w:val="clear" w:pos="1701"/>
          <w:tab w:val="clear" w:pos="2268"/>
          <w:tab w:val="clear" w:pos="2835"/>
        </w:tabs>
        <w:overflowPunct/>
        <w:autoSpaceDE/>
        <w:autoSpaceDN/>
        <w:adjustRightInd/>
        <w:spacing w:before="840"/>
        <w:jc w:val="center"/>
        <w:textAlignment w:val="auto"/>
      </w:pPr>
      <w:r w:rsidRPr="00EB0101">
        <w:t>___________</w:t>
      </w:r>
      <w:r w:rsidR="00AF4167" w:rsidRPr="00EB0101">
        <w:t>________</w:t>
      </w:r>
    </w:p>
    <w:sectPr w:rsidR="00A514A4" w:rsidRPr="00EB0101" w:rsidSect="00AD3606">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4A6DE" w14:textId="77777777" w:rsidR="00186379" w:rsidRDefault="00186379">
      <w:r>
        <w:separator/>
      </w:r>
    </w:p>
  </w:endnote>
  <w:endnote w:type="continuationSeparator" w:id="0">
    <w:p w14:paraId="3AB1011F" w14:textId="77777777" w:rsidR="00186379" w:rsidRDefault="0018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1218E216" w:rsidR="00EE49E8" w:rsidRDefault="00EE49E8" w:rsidP="00EE49E8">
          <w:pPr>
            <w:pStyle w:val="Header"/>
            <w:jc w:val="left"/>
            <w:rPr>
              <w:noProof/>
            </w:rPr>
          </w:pPr>
          <w:r>
            <w:rPr>
              <w:noProof/>
            </w:rPr>
            <w:t xml:space="preserve">DPS </w:t>
          </w:r>
          <w:r w:rsidR="00AF4167">
            <w:rPr>
              <w:noProof/>
            </w:rPr>
            <w:t>520577</w:t>
          </w:r>
        </w:p>
      </w:tc>
      <w:tc>
        <w:tcPr>
          <w:tcW w:w="8261" w:type="dxa"/>
        </w:tcPr>
        <w:p w14:paraId="35709C74" w14:textId="1A2B0A7B"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AF4167">
            <w:rPr>
              <w:bCs/>
            </w:rPr>
            <w:t>24</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B64A5A"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72C996F4"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AF4167">
            <w:rPr>
              <w:bCs/>
            </w:rPr>
            <w:t>24</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CCB2" w14:textId="77777777" w:rsidR="00186379" w:rsidRDefault="00186379">
      <w:r>
        <w:t>____________________</w:t>
      </w:r>
    </w:p>
  </w:footnote>
  <w:footnote w:type="continuationSeparator" w:id="0">
    <w:p w14:paraId="4B9ED75B" w14:textId="77777777" w:rsidR="00186379" w:rsidRDefault="00186379">
      <w:r>
        <w:continuationSeparator/>
      </w:r>
    </w:p>
  </w:footnote>
  <w:footnote w:id="1">
    <w:p w14:paraId="4E1226C6" w14:textId="7EA13C63" w:rsidR="00732A6D" w:rsidRPr="00537360" w:rsidRDefault="00732A6D" w:rsidP="0093558C">
      <w:pPr>
        <w:pStyle w:val="ListParagraph"/>
        <w:keepLines/>
        <w:ind w:left="255" w:hanging="255"/>
        <w:contextualSpacing w:val="0"/>
        <w:jc w:val="both"/>
        <w:rPr>
          <w:sz w:val="20"/>
        </w:rPr>
      </w:pPr>
      <w:r w:rsidRPr="00682E9B">
        <w:rPr>
          <w:rStyle w:val="FootnoteReference"/>
          <w:szCs w:val="18"/>
        </w:rPr>
        <w:footnoteRef/>
      </w:r>
      <w:r w:rsidRPr="00FF20AE">
        <w:t xml:space="preserve"> </w:t>
      </w:r>
      <w:r>
        <w:tab/>
      </w:r>
      <w:r>
        <w:rPr>
          <w:sz w:val="20"/>
        </w:rPr>
        <w:t xml:space="preserve">Resolution </w:t>
      </w:r>
      <w:r w:rsidRPr="00FF20AE">
        <w:rPr>
          <w:sz w:val="20"/>
        </w:rPr>
        <w:t xml:space="preserve">165 </w:t>
      </w:r>
      <w:r>
        <w:rPr>
          <w:sz w:val="20"/>
        </w:rPr>
        <w:t>(Rev. Dubai</w:t>
      </w:r>
      <w:r w:rsidRPr="00551FC4">
        <w:rPr>
          <w:sz w:val="20"/>
        </w:rPr>
        <w:t>, 201</w:t>
      </w:r>
      <w:r>
        <w:rPr>
          <w:sz w:val="20"/>
        </w:rPr>
        <w:t>8)</w:t>
      </w:r>
      <w:r w:rsidR="00930787">
        <w:rPr>
          <w:sz w:val="20"/>
        </w:rPr>
        <w:t xml:space="preserve"> of the Plenipotentiary Conference,</w:t>
      </w:r>
      <w:r w:rsidRPr="00551FC4">
        <w:rPr>
          <w:sz w:val="20"/>
        </w:rPr>
        <w:t xml:space="preserve"> </w:t>
      </w:r>
      <w:r w:rsidR="00930787">
        <w:rPr>
          <w:sz w:val="20"/>
        </w:rPr>
        <w:t>on d</w:t>
      </w:r>
      <w:r w:rsidRPr="00694330">
        <w:rPr>
          <w:sz w:val="20"/>
        </w:rPr>
        <w:t>eadlines for the submission of proposals and procedures for the registration of participants for conferences and assemblies of the Union</w:t>
      </w:r>
      <w:r w:rsidR="00930787">
        <w:rPr>
          <w:sz w:val="20"/>
        </w:rPr>
        <w:t>,</w:t>
      </w:r>
      <w:r w:rsidRPr="00FF20AE">
        <w:rPr>
          <w:sz w:val="20"/>
        </w:rPr>
        <w:t xml:space="preserve"> resolves to </w:t>
      </w:r>
      <w:r w:rsidRPr="00694330">
        <w:rPr>
          <w:sz w:val="20"/>
          <w:u w:val="single"/>
        </w:rPr>
        <w:t xml:space="preserve">establish a firm submission deadline for all contributions, with the exception of the deadlines outlined in </w:t>
      </w:r>
      <w:r w:rsidRPr="00D13123">
        <w:rPr>
          <w:i/>
          <w:iCs/>
          <w:sz w:val="20"/>
          <w:u w:val="single"/>
        </w:rPr>
        <w:t>recognizing a)</w:t>
      </w:r>
      <w:r w:rsidRPr="00694330">
        <w:rPr>
          <w:sz w:val="20"/>
          <w:u w:val="single"/>
        </w:rPr>
        <w:t xml:space="preserve"> and </w:t>
      </w:r>
      <w:r w:rsidRPr="00D13123">
        <w:rPr>
          <w:i/>
          <w:iCs/>
          <w:sz w:val="20"/>
          <w:u w:val="single"/>
        </w:rPr>
        <w:t>b)</w:t>
      </w:r>
      <w:r w:rsidRPr="00694330">
        <w:rPr>
          <w:sz w:val="20"/>
          <w:u w:val="single"/>
        </w:rPr>
        <w:t xml:space="preserve"> above, of no later than 21 calendar days before the opening of conferences and assemblies </w:t>
      </w:r>
      <w:r w:rsidRPr="00694330">
        <w:rPr>
          <w:sz w:val="20"/>
        </w:rPr>
        <w:t>of the Union, including plenipotentiary conferences, so as to ensure timely translation and their thorough consideration by delegations</w:t>
      </w:r>
      <w:r w:rsidR="00CB4689">
        <w:rPr>
          <w:sz w:val="20"/>
        </w:rPr>
        <w:t>.</w:t>
      </w:r>
      <w:r w:rsidRPr="00FF20AE">
        <w:rPr>
          <w:sz w:val="20"/>
        </w:rPr>
        <w:t xml:space="preserve"> (</w:t>
      </w:r>
      <w:r w:rsidR="00CB4689">
        <w:rPr>
          <w:sz w:val="20"/>
        </w:rPr>
        <w:t>E</w:t>
      </w:r>
      <w:r w:rsidR="00CB4689" w:rsidRPr="00FF20AE">
        <w:rPr>
          <w:sz w:val="20"/>
        </w:rPr>
        <w:t xml:space="preserve">mphasis </w:t>
      </w:r>
      <w:r w:rsidRPr="00FF20AE">
        <w:rPr>
          <w:sz w:val="20"/>
        </w:rPr>
        <w:t>added</w:t>
      </w:r>
      <w:r w:rsidR="00CB4689">
        <w:rPr>
          <w:sz w:val="20"/>
        </w:rPr>
        <w:t>.</w:t>
      </w:r>
      <w:r w:rsidRPr="00FF20AE">
        <w:rPr>
          <w:sz w:val="20"/>
        </w:rPr>
        <w:t>)</w:t>
      </w:r>
    </w:p>
  </w:footnote>
  <w:footnote w:id="2">
    <w:p w14:paraId="296666A7" w14:textId="77E31841" w:rsidR="00732A6D" w:rsidRPr="00447984" w:rsidRDefault="00732A6D" w:rsidP="0093558C">
      <w:pPr>
        <w:pStyle w:val="FootnoteText"/>
        <w:ind w:left="255" w:hanging="255"/>
        <w:jc w:val="both"/>
        <w:rPr>
          <w:lang w:val="en-US"/>
        </w:rPr>
      </w:pPr>
      <w:r w:rsidRPr="006D40AE">
        <w:rPr>
          <w:rStyle w:val="FootnoteReference"/>
          <w:szCs w:val="16"/>
        </w:rPr>
        <w:footnoteRef/>
      </w:r>
      <w:r>
        <w:t xml:space="preserve"> </w:t>
      </w:r>
      <w:r>
        <w:tab/>
      </w:r>
      <w:r w:rsidRPr="00447984">
        <w:rPr>
          <w:sz w:val="20"/>
        </w:rPr>
        <w:t>WTSA-</w:t>
      </w:r>
      <w:r>
        <w:rPr>
          <w:sz w:val="20"/>
        </w:rPr>
        <w:t xml:space="preserve">20 </w:t>
      </w:r>
      <w:r w:rsidRPr="00447984">
        <w:rPr>
          <w:sz w:val="20"/>
        </w:rPr>
        <w:t xml:space="preserve">Resolution 1 </w:t>
      </w:r>
      <w:r>
        <w:rPr>
          <w:sz w:val="20"/>
        </w:rPr>
        <w:t>(Rev. Geneva, 2022)</w:t>
      </w:r>
      <w:r w:rsidRPr="00447984">
        <w:rPr>
          <w:sz w:val="20"/>
        </w:rPr>
        <w:t xml:space="preserve">: </w:t>
      </w:r>
      <w:r w:rsidRPr="00D13123">
        <w:rPr>
          <w:b/>
          <w:bCs/>
          <w:sz w:val="20"/>
        </w:rPr>
        <w:t>6.1</w:t>
      </w:r>
      <w:r w:rsidRPr="00447984">
        <w:rPr>
          <w:sz w:val="20"/>
        </w:rPr>
        <w:t xml:space="preserve"> Contributions </w:t>
      </w:r>
      <w:r w:rsidRPr="00447984">
        <w:rPr>
          <w:sz w:val="20"/>
          <w:u w:val="single"/>
        </w:rPr>
        <w:t>should be submitted not later than one month before the opening of WTSA</w:t>
      </w:r>
      <w:r w:rsidRPr="00447984">
        <w:rPr>
          <w:sz w:val="20"/>
        </w:rPr>
        <w:t>, and at any event the submission deadline for all contributions to WTSA</w:t>
      </w:r>
      <w:r>
        <w:rPr>
          <w:sz w:val="20"/>
        </w:rPr>
        <w:t>, in accordance with Resolution165 (Rev. Dubai, 2018) of the Plenipotentiary Conference,</w:t>
      </w:r>
      <w:r w:rsidRPr="00447984">
        <w:rPr>
          <w:sz w:val="20"/>
        </w:rPr>
        <w:t xml:space="preserve"> </w:t>
      </w:r>
      <w:r w:rsidRPr="00447984">
        <w:rPr>
          <w:sz w:val="20"/>
          <w:u w:val="single"/>
        </w:rPr>
        <w:t>shall be not later than</w:t>
      </w:r>
      <w:r>
        <w:rPr>
          <w:sz w:val="20"/>
          <w:u w:val="single"/>
        </w:rPr>
        <w:t xml:space="preserve"> 21</w:t>
      </w:r>
      <w:r w:rsidRPr="00447984">
        <w:rPr>
          <w:sz w:val="20"/>
          <w:u w:val="single"/>
        </w:rPr>
        <w:t xml:space="preserve"> calendar days before the opening of WTSA</w:t>
      </w:r>
      <w:r w:rsidRPr="00447984">
        <w:rPr>
          <w:sz w:val="20"/>
        </w:rPr>
        <w:t xml:space="preserve"> in order to allow for their timely translation and thorough consideration by delegations. TSB shall immediately publish all contributions submitted to WTSA in their original language(s) on the WTSA website, even before their translation into the other official languages of the Union. (Emphasis added</w:t>
      </w:r>
      <w:r w:rsidR="00CB4689">
        <w:rPr>
          <w:sz w:val="20"/>
        </w:rPr>
        <w:t>.</w:t>
      </w:r>
      <w:r w:rsidRPr="00447984">
        <w:rPr>
          <w:sz w:val="20"/>
        </w:rPr>
        <w:t>)</w:t>
      </w:r>
    </w:p>
  </w:footnote>
  <w:footnote w:id="3">
    <w:p w14:paraId="42DD5208" w14:textId="7D709714" w:rsidR="00EB0101" w:rsidRPr="00BC6D51" w:rsidRDefault="00EB0101">
      <w:pPr>
        <w:pStyle w:val="FootnoteText"/>
        <w:rPr>
          <w:lang w:val="en-US"/>
        </w:rPr>
      </w:pPr>
      <w:r>
        <w:rPr>
          <w:rStyle w:val="FootnoteReference"/>
        </w:rPr>
        <w:footnoteRef/>
      </w:r>
      <w:r>
        <w:t xml:space="preserve"> </w:t>
      </w:r>
      <w:r w:rsidRPr="00BC6D51">
        <w:rPr>
          <w:sz w:val="20"/>
        </w:rPr>
        <w:t>These include least developed countries, small island developing states, landlocked developing countries and countries with economies in transition</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31562C1"/>
    <w:multiLevelType w:val="hybridMultilevel"/>
    <w:tmpl w:val="E6527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816267">
    <w:abstractNumId w:val="0"/>
  </w:num>
  <w:num w:numId="2" w16cid:durableId="1140731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135B5"/>
    <w:rsid w:val="000170A6"/>
    <w:rsid w:val="000210D4"/>
    <w:rsid w:val="0004039D"/>
    <w:rsid w:val="00063016"/>
    <w:rsid w:val="00066795"/>
    <w:rsid w:val="00076AF6"/>
    <w:rsid w:val="00085CF2"/>
    <w:rsid w:val="000A35D6"/>
    <w:rsid w:val="000B1705"/>
    <w:rsid w:val="000D684A"/>
    <w:rsid w:val="000D75B2"/>
    <w:rsid w:val="000F0FB2"/>
    <w:rsid w:val="001121F5"/>
    <w:rsid w:val="001400DC"/>
    <w:rsid w:val="00140CE1"/>
    <w:rsid w:val="0017539C"/>
    <w:rsid w:val="00175A90"/>
    <w:rsid w:val="00175AC2"/>
    <w:rsid w:val="0017609F"/>
    <w:rsid w:val="00186379"/>
    <w:rsid w:val="001A7D1D"/>
    <w:rsid w:val="001B51DD"/>
    <w:rsid w:val="001C628E"/>
    <w:rsid w:val="001E0F7B"/>
    <w:rsid w:val="001F3857"/>
    <w:rsid w:val="00201770"/>
    <w:rsid w:val="002119FD"/>
    <w:rsid w:val="002130E0"/>
    <w:rsid w:val="002170BD"/>
    <w:rsid w:val="00264425"/>
    <w:rsid w:val="00265875"/>
    <w:rsid w:val="0027303B"/>
    <w:rsid w:val="0028109B"/>
    <w:rsid w:val="002A2188"/>
    <w:rsid w:val="002B1F58"/>
    <w:rsid w:val="002C1C7A"/>
    <w:rsid w:val="002C54E2"/>
    <w:rsid w:val="002C7899"/>
    <w:rsid w:val="0030160F"/>
    <w:rsid w:val="00320223"/>
    <w:rsid w:val="00322D0D"/>
    <w:rsid w:val="00361465"/>
    <w:rsid w:val="00383BFA"/>
    <w:rsid w:val="003871D7"/>
    <w:rsid w:val="003877F5"/>
    <w:rsid w:val="003942D4"/>
    <w:rsid w:val="003958A8"/>
    <w:rsid w:val="003C2533"/>
    <w:rsid w:val="003D5A7F"/>
    <w:rsid w:val="0040435A"/>
    <w:rsid w:val="00416A24"/>
    <w:rsid w:val="00431D9E"/>
    <w:rsid w:val="00433CE8"/>
    <w:rsid w:val="00434A5C"/>
    <w:rsid w:val="004544D9"/>
    <w:rsid w:val="00472BAD"/>
    <w:rsid w:val="00484009"/>
    <w:rsid w:val="0048640A"/>
    <w:rsid w:val="00490E72"/>
    <w:rsid w:val="00491157"/>
    <w:rsid w:val="004921C8"/>
    <w:rsid w:val="00495B0B"/>
    <w:rsid w:val="004A1B8B"/>
    <w:rsid w:val="004A1D74"/>
    <w:rsid w:val="004D1851"/>
    <w:rsid w:val="004D599D"/>
    <w:rsid w:val="004E2EA5"/>
    <w:rsid w:val="004E3AEB"/>
    <w:rsid w:val="0050223C"/>
    <w:rsid w:val="005243FF"/>
    <w:rsid w:val="00525A1F"/>
    <w:rsid w:val="00527A3C"/>
    <w:rsid w:val="00564FBC"/>
    <w:rsid w:val="005800BC"/>
    <w:rsid w:val="00582442"/>
    <w:rsid w:val="005859F2"/>
    <w:rsid w:val="005D39DF"/>
    <w:rsid w:val="005F3269"/>
    <w:rsid w:val="00602B48"/>
    <w:rsid w:val="00623AE3"/>
    <w:rsid w:val="00631091"/>
    <w:rsid w:val="0064737F"/>
    <w:rsid w:val="006535F1"/>
    <w:rsid w:val="0065557D"/>
    <w:rsid w:val="00660D50"/>
    <w:rsid w:val="00662984"/>
    <w:rsid w:val="006716BB"/>
    <w:rsid w:val="006A1D97"/>
    <w:rsid w:val="006B1859"/>
    <w:rsid w:val="006B6680"/>
    <w:rsid w:val="006B6DCC"/>
    <w:rsid w:val="006D62CE"/>
    <w:rsid w:val="00702DEF"/>
    <w:rsid w:val="00706861"/>
    <w:rsid w:val="00732A6D"/>
    <w:rsid w:val="0075051B"/>
    <w:rsid w:val="00793188"/>
    <w:rsid w:val="00794D34"/>
    <w:rsid w:val="00813E5E"/>
    <w:rsid w:val="0083581B"/>
    <w:rsid w:val="00863874"/>
    <w:rsid w:val="00864AFF"/>
    <w:rsid w:val="00865925"/>
    <w:rsid w:val="0088067E"/>
    <w:rsid w:val="00883DFE"/>
    <w:rsid w:val="008B4A6A"/>
    <w:rsid w:val="008C7E27"/>
    <w:rsid w:val="008F7448"/>
    <w:rsid w:val="0090147A"/>
    <w:rsid w:val="009125A6"/>
    <w:rsid w:val="009173EF"/>
    <w:rsid w:val="00927588"/>
    <w:rsid w:val="00930787"/>
    <w:rsid w:val="00932906"/>
    <w:rsid w:val="0093558C"/>
    <w:rsid w:val="00942CAC"/>
    <w:rsid w:val="00943C9E"/>
    <w:rsid w:val="00961B0B"/>
    <w:rsid w:val="00966EEB"/>
    <w:rsid w:val="00980CB5"/>
    <w:rsid w:val="009B38C3"/>
    <w:rsid w:val="009D0F4C"/>
    <w:rsid w:val="009E17BD"/>
    <w:rsid w:val="009E485A"/>
    <w:rsid w:val="009E6B40"/>
    <w:rsid w:val="00A04CEC"/>
    <w:rsid w:val="00A27F92"/>
    <w:rsid w:val="00A32257"/>
    <w:rsid w:val="00A36D20"/>
    <w:rsid w:val="00A44716"/>
    <w:rsid w:val="00A514A4"/>
    <w:rsid w:val="00A54171"/>
    <w:rsid w:val="00A55622"/>
    <w:rsid w:val="00A83502"/>
    <w:rsid w:val="00A86A1C"/>
    <w:rsid w:val="00AD15B3"/>
    <w:rsid w:val="00AD3606"/>
    <w:rsid w:val="00AD4A3D"/>
    <w:rsid w:val="00AE1984"/>
    <w:rsid w:val="00AF4167"/>
    <w:rsid w:val="00AF6E49"/>
    <w:rsid w:val="00B04A67"/>
    <w:rsid w:val="00B0583C"/>
    <w:rsid w:val="00B40A81"/>
    <w:rsid w:val="00B44910"/>
    <w:rsid w:val="00B64A5A"/>
    <w:rsid w:val="00B72267"/>
    <w:rsid w:val="00B76EB6"/>
    <w:rsid w:val="00B7737B"/>
    <w:rsid w:val="00B8083D"/>
    <w:rsid w:val="00B824C8"/>
    <w:rsid w:val="00B84B9D"/>
    <w:rsid w:val="00BA534B"/>
    <w:rsid w:val="00BC251A"/>
    <w:rsid w:val="00BC6D51"/>
    <w:rsid w:val="00BD032B"/>
    <w:rsid w:val="00BE2640"/>
    <w:rsid w:val="00C01189"/>
    <w:rsid w:val="00C050CE"/>
    <w:rsid w:val="00C374DE"/>
    <w:rsid w:val="00C47AD4"/>
    <w:rsid w:val="00C513E6"/>
    <w:rsid w:val="00C52D81"/>
    <w:rsid w:val="00C55198"/>
    <w:rsid w:val="00CA6393"/>
    <w:rsid w:val="00CA7D31"/>
    <w:rsid w:val="00CB18FF"/>
    <w:rsid w:val="00CB4689"/>
    <w:rsid w:val="00CD0C08"/>
    <w:rsid w:val="00CE03FB"/>
    <w:rsid w:val="00CE433C"/>
    <w:rsid w:val="00CF0161"/>
    <w:rsid w:val="00CF33F3"/>
    <w:rsid w:val="00D004F4"/>
    <w:rsid w:val="00D06183"/>
    <w:rsid w:val="00D13123"/>
    <w:rsid w:val="00D22C42"/>
    <w:rsid w:val="00D65041"/>
    <w:rsid w:val="00DB1936"/>
    <w:rsid w:val="00DB384B"/>
    <w:rsid w:val="00DE1990"/>
    <w:rsid w:val="00DF0189"/>
    <w:rsid w:val="00DF289F"/>
    <w:rsid w:val="00DF36AF"/>
    <w:rsid w:val="00E06FD5"/>
    <w:rsid w:val="00E10E80"/>
    <w:rsid w:val="00E124F0"/>
    <w:rsid w:val="00E60F04"/>
    <w:rsid w:val="00E65B24"/>
    <w:rsid w:val="00E854E4"/>
    <w:rsid w:val="00E86DBF"/>
    <w:rsid w:val="00EB0101"/>
    <w:rsid w:val="00EB0D6F"/>
    <w:rsid w:val="00EB2232"/>
    <w:rsid w:val="00EC5337"/>
    <w:rsid w:val="00EE49E8"/>
    <w:rsid w:val="00F073FE"/>
    <w:rsid w:val="00F16BAB"/>
    <w:rsid w:val="00F2150A"/>
    <w:rsid w:val="00F231D8"/>
    <w:rsid w:val="00F44C00"/>
    <w:rsid w:val="00F46C5F"/>
    <w:rsid w:val="00F571F9"/>
    <w:rsid w:val="00F632C0"/>
    <w:rsid w:val="00F75312"/>
    <w:rsid w:val="00F94A63"/>
    <w:rsid w:val="00FA1C28"/>
    <w:rsid w:val="00FB1279"/>
    <w:rsid w:val="00FB6B76"/>
    <w:rsid w:val="00FB7596"/>
    <w:rsid w:val="00FE3785"/>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C050CE"/>
    <w:pPr>
      <w:framePr w:hSpace="180" w:wrap="around" w:vAnchor="page" w:hAnchor="page" w:x="1821" w:y="2317"/>
      <w:spacing w:before="60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NoSpacing">
    <w:name w:val="No Spacing"/>
    <w:uiPriority w:val="1"/>
    <w:qFormat/>
    <w:rsid w:val="00F571F9"/>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rsid w:val="00732A6D"/>
    <w:rPr>
      <w:rFonts w:ascii="Calibri" w:hAnsi="Calibri"/>
      <w:sz w:val="24"/>
      <w:lang w:val="en-GB" w:eastAsia="en-US"/>
    </w:rPr>
  </w:style>
  <w:style w:type="paragraph" w:styleId="ListParagraph">
    <w:name w:val="List Paragraph"/>
    <w:basedOn w:val="Normal"/>
    <w:uiPriority w:val="34"/>
    <w:qFormat/>
    <w:rsid w:val="00732A6D"/>
    <w:pPr>
      <w:ind w:left="720"/>
      <w:contextualSpacing/>
    </w:pPr>
  </w:style>
  <w:style w:type="paragraph" w:customStyle="1" w:styleId="CEOMainDocParagraph">
    <w:name w:val="CEO_MainDoc_Paragraph"/>
    <w:basedOn w:val="Normal"/>
    <w:qFormat/>
    <w:rsid w:val="00732A6D"/>
    <w:pPr>
      <w:tabs>
        <w:tab w:val="clear" w:pos="567"/>
        <w:tab w:val="clear" w:pos="1134"/>
        <w:tab w:val="clear" w:pos="1701"/>
        <w:tab w:val="clear" w:pos="2268"/>
        <w:tab w:val="clear" w:pos="2835"/>
      </w:tabs>
      <w:overflowPunct/>
      <w:autoSpaceDE/>
      <w:autoSpaceDN/>
      <w:adjustRightInd/>
      <w:spacing w:after="120" w:line="256" w:lineRule="auto"/>
      <w:textAlignment w:val="auto"/>
    </w:pPr>
    <w:rPr>
      <w:rFonts w:asciiTheme="minorHAnsi" w:hAnsiTheme="minorHAnsi" w:cstheme="minorBidi"/>
      <w:sz w:val="22"/>
      <w:szCs w:val="19"/>
      <w:lang w:eastAsia="zh-CN"/>
    </w:rPr>
  </w:style>
  <w:style w:type="paragraph" w:styleId="Revision">
    <w:name w:val="Revision"/>
    <w:hidden/>
    <w:uiPriority w:val="99"/>
    <w:semiHidden/>
    <w:rsid w:val="009E6B40"/>
    <w:rPr>
      <w:rFonts w:ascii="Calibri" w:hAnsi="Calibri"/>
      <w:sz w:val="24"/>
      <w:lang w:val="en-GB" w:eastAsia="en-US"/>
    </w:rPr>
  </w:style>
  <w:style w:type="paragraph" w:styleId="NormalWeb">
    <w:name w:val="Normal (Web)"/>
    <w:basedOn w:val="Normal"/>
    <w:uiPriority w:val="99"/>
    <w:semiHidden/>
    <w:unhideWhenUsed/>
    <w:rsid w:val="0063109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UnresolvedMention">
    <w:name w:val="Unresolved Mention"/>
    <w:basedOn w:val="DefaultParagraphFont"/>
    <w:uiPriority w:val="99"/>
    <w:semiHidden/>
    <w:unhideWhenUsed/>
    <w:rsid w:val="00AF4167"/>
    <w:rPr>
      <w:color w:val="605E5C"/>
      <w:shd w:val="clear" w:color="auto" w:fill="E1DFDD"/>
    </w:rPr>
  </w:style>
  <w:style w:type="character" w:styleId="CommentReference">
    <w:name w:val="annotation reference"/>
    <w:basedOn w:val="DefaultParagraphFont"/>
    <w:semiHidden/>
    <w:unhideWhenUsed/>
    <w:rsid w:val="00DF289F"/>
    <w:rPr>
      <w:sz w:val="16"/>
      <w:szCs w:val="16"/>
    </w:rPr>
  </w:style>
  <w:style w:type="paragraph" w:styleId="CommentText">
    <w:name w:val="annotation text"/>
    <w:basedOn w:val="Normal"/>
    <w:link w:val="CommentTextChar"/>
    <w:unhideWhenUsed/>
    <w:rsid w:val="00DF289F"/>
    <w:rPr>
      <w:sz w:val="20"/>
    </w:rPr>
  </w:style>
  <w:style w:type="character" w:customStyle="1" w:styleId="CommentTextChar">
    <w:name w:val="Comment Text Char"/>
    <w:basedOn w:val="DefaultParagraphFont"/>
    <w:link w:val="CommentText"/>
    <w:rsid w:val="00DF289F"/>
    <w:rPr>
      <w:rFonts w:ascii="Calibri" w:hAnsi="Calibri"/>
      <w:lang w:val="en-GB" w:eastAsia="en-US"/>
    </w:rPr>
  </w:style>
  <w:style w:type="paragraph" w:styleId="CommentSubject">
    <w:name w:val="annotation subject"/>
    <w:basedOn w:val="CommentText"/>
    <w:next w:val="CommentText"/>
    <w:link w:val="CommentSubjectChar"/>
    <w:semiHidden/>
    <w:unhideWhenUsed/>
    <w:rsid w:val="00DF289F"/>
    <w:rPr>
      <w:b/>
      <w:bCs/>
    </w:rPr>
  </w:style>
  <w:style w:type="character" w:customStyle="1" w:styleId="CommentSubjectChar">
    <w:name w:val="Comment Subject Char"/>
    <w:basedOn w:val="CommentTextChar"/>
    <w:link w:val="CommentSubject"/>
    <w:semiHidden/>
    <w:rsid w:val="00DF289F"/>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142015">
      <w:bodyDiv w:val="1"/>
      <w:marLeft w:val="0"/>
      <w:marRight w:val="0"/>
      <w:marTop w:val="0"/>
      <w:marBottom w:val="0"/>
      <w:divBdr>
        <w:top w:val="none" w:sz="0" w:space="0" w:color="auto"/>
        <w:left w:val="none" w:sz="0" w:space="0" w:color="auto"/>
        <w:bottom w:val="none" w:sz="0" w:space="0" w:color="auto"/>
        <w:right w:val="none" w:sz="0" w:space="0" w:color="auto"/>
      </w:divBdr>
    </w:div>
    <w:div w:id="617375575">
      <w:bodyDiv w:val="1"/>
      <w:marLeft w:val="0"/>
      <w:marRight w:val="0"/>
      <w:marTop w:val="0"/>
      <w:marBottom w:val="0"/>
      <w:divBdr>
        <w:top w:val="none" w:sz="0" w:space="0" w:color="auto"/>
        <w:left w:val="none" w:sz="0" w:space="0" w:color="auto"/>
        <w:bottom w:val="none" w:sz="0" w:space="0" w:color="auto"/>
        <w:right w:val="none" w:sz="0" w:space="0" w:color="auto"/>
      </w:divBdr>
    </w:div>
    <w:div w:id="631600660">
      <w:bodyDiv w:val="1"/>
      <w:marLeft w:val="0"/>
      <w:marRight w:val="0"/>
      <w:marTop w:val="0"/>
      <w:marBottom w:val="0"/>
      <w:divBdr>
        <w:top w:val="none" w:sz="0" w:space="0" w:color="auto"/>
        <w:left w:val="none" w:sz="0" w:space="0" w:color="auto"/>
        <w:bottom w:val="none" w:sz="0" w:space="0" w:color="auto"/>
        <w:right w:val="none" w:sz="0" w:space="0" w:color="auto"/>
      </w:divBdr>
    </w:div>
    <w:div w:id="64135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Constitution-E.pdf" TargetMode="External"/><Relationship Id="rId13" Type="http://schemas.openxmlformats.org/officeDocument/2006/relationships/hyperlink" Target="https://www.itu.int/wtsa/2024/" TargetMode="External"/><Relationship Id="rId18" Type="http://schemas.openxmlformats.org/officeDocument/2006/relationships/hyperlink" Target="https://www.itu.int/wtsa/202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council/Documents/basic-texts-2023/RES-111-E.pdf" TargetMode="External"/><Relationship Id="rId17" Type="http://schemas.openxmlformats.org/officeDocument/2006/relationships/hyperlink" Target="https://www.itu.int/net/ITU-T/lists/rgm.aspx?Group=0" TargetMode="External"/><Relationship Id="rId2" Type="http://schemas.openxmlformats.org/officeDocument/2006/relationships/numbering" Target="numbering.xml"/><Relationship Id="rId16" Type="http://schemas.openxmlformats.org/officeDocument/2006/relationships/hyperlink" Target="https://www.itu.int/en/ITU-T/studygroup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077-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wtsa/2024/prepmeet/" TargetMode="External"/><Relationship Id="rId23" Type="http://schemas.openxmlformats.org/officeDocument/2006/relationships/fontTable" Target="fontTable.xml"/><Relationship Id="rId10" Type="http://schemas.openxmlformats.org/officeDocument/2006/relationships/hyperlink" Target="https://www.itu.int/en/council/Documents/basic-texts-2023/General-Rules-E.pdf" TargetMode="External"/><Relationship Id="rId19"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itu.int/en/council/Documents/basic-texts-2023/Convention-E.pdf" TargetMode="External"/><Relationship Id="rId14" Type="http://schemas.openxmlformats.org/officeDocument/2006/relationships/hyperlink" Target="https://www.itu.int/wtsa/2024/prepmee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1027</Words>
  <Characters>6443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PRECISE PLACE AND EXACT DATES OF THE WORLD TELECOMMUNICATION STANDARDIZATION ASSEMBLY (WTSA-24) AND UPDATE ON PREPARATION</vt:lpstr>
    </vt:vector>
  </TitlesOfParts>
  <Manager>General Secretariat - Pool</Manager>
  <Company>International Telecommunication Union (ITU)</Company>
  <LinksUpToDate>false</LinksUpToDate>
  <CharactersWithSpaces>7456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Precise place and exact dates of the World Telecommunication Standardization Assembly and update on preparations</dc:title>
  <dc:subject>Council 2023</dc:subject>
  <dc:creator>Pluchon, Beatrice</dc:creator>
  <cp:keywords>C2023, C23, Council-23</cp:keywords>
  <dc:description/>
  <cp:lastModifiedBy>Xue, Kun</cp:lastModifiedBy>
  <cp:revision>6</cp:revision>
  <cp:lastPrinted>2000-07-18T13:30:00Z</cp:lastPrinted>
  <dcterms:created xsi:type="dcterms:W3CDTF">2023-05-08T14:49:00Z</dcterms:created>
  <dcterms:modified xsi:type="dcterms:W3CDTF">2023-05-16T09:46:00Z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