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E46C8" w14:paraId="4E03EDEF" w14:textId="77777777" w:rsidTr="00D72F49">
        <w:trPr>
          <w:cantSplit/>
          <w:trHeight w:val="23"/>
        </w:trPr>
        <w:tc>
          <w:tcPr>
            <w:tcW w:w="3969" w:type="dxa"/>
            <w:vMerge w:val="restart"/>
            <w:tcMar>
              <w:left w:w="0" w:type="dxa"/>
            </w:tcMar>
          </w:tcPr>
          <w:p w14:paraId="0139B997" w14:textId="397D7E81" w:rsidR="00D72F49" w:rsidRPr="007E46C8" w:rsidRDefault="006972EF" w:rsidP="00A413C3">
            <w:pPr>
              <w:tabs>
                <w:tab w:val="left" w:pos="851"/>
              </w:tabs>
              <w:spacing w:before="0"/>
              <w:rPr>
                <w:b/>
              </w:rPr>
            </w:pPr>
            <w:r w:rsidRPr="007E46C8">
              <w:rPr>
                <w:b/>
              </w:rPr>
              <w:t xml:space="preserve">Point de l'ordre du </w:t>
            </w:r>
            <w:proofErr w:type="gramStart"/>
            <w:r w:rsidRPr="007E46C8">
              <w:rPr>
                <w:b/>
              </w:rPr>
              <w:t>jour</w:t>
            </w:r>
            <w:r w:rsidR="00A413C3" w:rsidRPr="007E46C8">
              <w:rPr>
                <w:b/>
              </w:rPr>
              <w:t>:</w:t>
            </w:r>
            <w:proofErr w:type="gramEnd"/>
            <w:r w:rsidRPr="007E46C8">
              <w:rPr>
                <w:b/>
              </w:rPr>
              <w:t xml:space="preserve"> ADM 1</w:t>
            </w:r>
          </w:p>
        </w:tc>
        <w:tc>
          <w:tcPr>
            <w:tcW w:w="5245" w:type="dxa"/>
          </w:tcPr>
          <w:p w14:paraId="1E917A0C" w14:textId="26BEF713" w:rsidR="00D72F49" w:rsidRPr="007E46C8" w:rsidRDefault="00D72F49" w:rsidP="00A413C3">
            <w:pPr>
              <w:tabs>
                <w:tab w:val="left" w:pos="851"/>
              </w:tabs>
              <w:spacing w:before="0"/>
              <w:jc w:val="right"/>
              <w:rPr>
                <w:b/>
              </w:rPr>
            </w:pPr>
            <w:r w:rsidRPr="007E46C8">
              <w:rPr>
                <w:b/>
              </w:rPr>
              <w:t>Document C23/</w:t>
            </w:r>
            <w:r w:rsidR="000A2D28" w:rsidRPr="007E46C8">
              <w:rPr>
                <w:b/>
              </w:rPr>
              <w:t>19</w:t>
            </w:r>
            <w:r w:rsidRPr="007E46C8">
              <w:rPr>
                <w:b/>
              </w:rPr>
              <w:t>-F</w:t>
            </w:r>
          </w:p>
        </w:tc>
      </w:tr>
      <w:tr w:rsidR="00D72F49" w:rsidRPr="007E46C8" w14:paraId="4794EEF8" w14:textId="77777777" w:rsidTr="00D72F49">
        <w:trPr>
          <w:cantSplit/>
        </w:trPr>
        <w:tc>
          <w:tcPr>
            <w:tcW w:w="3969" w:type="dxa"/>
            <w:vMerge/>
          </w:tcPr>
          <w:p w14:paraId="07CBCB6C" w14:textId="77777777" w:rsidR="00D72F49" w:rsidRPr="007E46C8" w:rsidRDefault="00D72F49" w:rsidP="00A413C3">
            <w:pPr>
              <w:tabs>
                <w:tab w:val="left" w:pos="851"/>
              </w:tabs>
              <w:rPr>
                <w:b/>
              </w:rPr>
            </w:pPr>
          </w:p>
        </w:tc>
        <w:tc>
          <w:tcPr>
            <w:tcW w:w="5245" w:type="dxa"/>
          </w:tcPr>
          <w:p w14:paraId="3047A515" w14:textId="0579E9CF" w:rsidR="00D72F49" w:rsidRPr="007E46C8" w:rsidRDefault="000A2D28" w:rsidP="00A413C3">
            <w:pPr>
              <w:tabs>
                <w:tab w:val="left" w:pos="851"/>
              </w:tabs>
              <w:spacing w:before="0"/>
              <w:jc w:val="right"/>
              <w:rPr>
                <w:b/>
              </w:rPr>
            </w:pPr>
            <w:r w:rsidRPr="007E46C8">
              <w:rPr>
                <w:b/>
              </w:rPr>
              <w:t>1</w:t>
            </w:r>
            <w:r w:rsidR="009A50CA">
              <w:rPr>
                <w:b/>
              </w:rPr>
              <w:t>6</w:t>
            </w:r>
            <w:r w:rsidRPr="007E46C8">
              <w:rPr>
                <w:b/>
              </w:rPr>
              <w:t xml:space="preserve"> mai</w:t>
            </w:r>
            <w:r w:rsidR="00D72F49" w:rsidRPr="007E46C8">
              <w:rPr>
                <w:b/>
              </w:rPr>
              <w:t xml:space="preserve"> 2023</w:t>
            </w:r>
          </w:p>
        </w:tc>
      </w:tr>
      <w:tr w:rsidR="00D72F49" w:rsidRPr="007E46C8" w14:paraId="28E569E4" w14:textId="77777777" w:rsidTr="00D72F49">
        <w:trPr>
          <w:cantSplit/>
          <w:trHeight w:val="23"/>
        </w:trPr>
        <w:tc>
          <w:tcPr>
            <w:tcW w:w="3969" w:type="dxa"/>
            <w:vMerge/>
          </w:tcPr>
          <w:p w14:paraId="37A07FDA" w14:textId="77777777" w:rsidR="00D72F49" w:rsidRPr="007E46C8" w:rsidRDefault="00D72F49" w:rsidP="00A413C3">
            <w:pPr>
              <w:tabs>
                <w:tab w:val="left" w:pos="851"/>
              </w:tabs>
              <w:rPr>
                <w:b/>
              </w:rPr>
            </w:pPr>
          </w:p>
        </w:tc>
        <w:tc>
          <w:tcPr>
            <w:tcW w:w="5245" w:type="dxa"/>
          </w:tcPr>
          <w:p w14:paraId="2355AD48" w14:textId="77777777" w:rsidR="00D72F49" w:rsidRPr="007E46C8" w:rsidRDefault="00D72F49" w:rsidP="00A413C3">
            <w:pPr>
              <w:tabs>
                <w:tab w:val="left" w:pos="851"/>
              </w:tabs>
              <w:spacing w:before="0"/>
              <w:jc w:val="right"/>
              <w:rPr>
                <w:b/>
              </w:rPr>
            </w:pPr>
            <w:proofErr w:type="gramStart"/>
            <w:r w:rsidRPr="007E46C8">
              <w:rPr>
                <w:b/>
              </w:rPr>
              <w:t>Original:</w:t>
            </w:r>
            <w:proofErr w:type="gramEnd"/>
            <w:r w:rsidRPr="007E46C8">
              <w:rPr>
                <w:b/>
              </w:rPr>
              <w:t xml:space="preserve"> anglais</w:t>
            </w:r>
          </w:p>
        </w:tc>
      </w:tr>
      <w:tr w:rsidR="00D72F49" w:rsidRPr="007E46C8" w14:paraId="1D7900E1" w14:textId="77777777" w:rsidTr="00D72F49">
        <w:trPr>
          <w:cantSplit/>
          <w:trHeight w:val="23"/>
        </w:trPr>
        <w:tc>
          <w:tcPr>
            <w:tcW w:w="3969" w:type="dxa"/>
          </w:tcPr>
          <w:p w14:paraId="041C154A" w14:textId="77777777" w:rsidR="00D72F49" w:rsidRPr="007E46C8" w:rsidRDefault="00D72F49" w:rsidP="00A413C3">
            <w:pPr>
              <w:tabs>
                <w:tab w:val="left" w:pos="851"/>
              </w:tabs>
              <w:rPr>
                <w:b/>
              </w:rPr>
            </w:pPr>
          </w:p>
        </w:tc>
        <w:tc>
          <w:tcPr>
            <w:tcW w:w="5245" w:type="dxa"/>
          </w:tcPr>
          <w:p w14:paraId="446979F8" w14:textId="77777777" w:rsidR="00D72F49" w:rsidRPr="007E46C8" w:rsidRDefault="00D72F49" w:rsidP="00A413C3">
            <w:pPr>
              <w:tabs>
                <w:tab w:val="left" w:pos="851"/>
              </w:tabs>
              <w:spacing w:before="0"/>
              <w:jc w:val="right"/>
              <w:rPr>
                <w:b/>
              </w:rPr>
            </w:pPr>
          </w:p>
        </w:tc>
      </w:tr>
      <w:tr w:rsidR="00D72F49" w:rsidRPr="007E46C8" w14:paraId="58114BEF" w14:textId="77777777" w:rsidTr="00D72F49">
        <w:trPr>
          <w:cantSplit/>
        </w:trPr>
        <w:tc>
          <w:tcPr>
            <w:tcW w:w="9214" w:type="dxa"/>
            <w:gridSpan w:val="2"/>
            <w:tcMar>
              <w:left w:w="0" w:type="dxa"/>
            </w:tcMar>
          </w:tcPr>
          <w:p w14:paraId="46236CCA" w14:textId="74C5FFF9" w:rsidR="00D72F49" w:rsidRPr="007E46C8" w:rsidRDefault="00D72F49" w:rsidP="00A413C3">
            <w:pPr>
              <w:pStyle w:val="Source"/>
              <w:jc w:val="left"/>
              <w:rPr>
                <w:sz w:val="34"/>
                <w:szCs w:val="34"/>
              </w:rPr>
            </w:pPr>
            <w:r w:rsidRPr="007E46C8">
              <w:rPr>
                <w:rFonts w:cstheme="minorHAnsi"/>
                <w:color w:val="000000"/>
                <w:sz w:val="34"/>
                <w:szCs w:val="34"/>
              </w:rPr>
              <w:t>Rapport d</w:t>
            </w:r>
            <w:r w:rsidR="002524BE" w:rsidRPr="007E46C8">
              <w:rPr>
                <w:rFonts w:cstheme="minorHAnsi"/>
                <w:color w:val="000000"/>
                <w:sz w:val="34"/>
                <w:szCs w:val="34"/>
              </w:rPr>
              <w:t>e la</w:t>
            </w:r>
            <w:r w:rsidRPr="007E46C8">
              <w:rPr>
                <w:rFonts w:cstheme="minorHAnsi"/>
                <w:color w:val="000000"/>
                <w:sz w:val="34"/>
                <w:szCs w:val="34"/>
              </w:rPr>
              <w:t xml:space="preserve"> Secrétaire général</w:t>
            </w:r>
            <w:r w:rsidR="002524BE" w:rsidRPr="007E46C8">
              <w:rPr>
                <w:rFonts w:cstheme="minorHAnsi"/>
                <w:color w:val="000000"/>
                <w:sz w:val="34"/>
                <w:szCs w:val="34"/>
              </w:rPr>
              <w:t>e</w:t>
            </w:r>
          </w:p>
        </w:tc>
      </w:tr>
      <w:tr w:rsidR="00D72F49" w:rsidRPr="007E46C8" w14:paraId="1838DFEF" w14:textId="77777777" w:rsidTr="00D72F49">
        <w:trPr>
          <w:cantSplit/>
        </w:trPr>
        <w:tc>
          <w:tcPr>
            <w:tcW w:w="9214" w:type="dxa"/>
            <w:gridSpan w:val="2"/>
            <w:tcMar>
              <w:left w:w="0" w:type="dxa"/>
            </w:tcMar>
          </w:tcPr>
          <w:p w14:paraId="2A9B05C3" w14:textId="4C3F7522" w:rsidR="00D72F49" w:rsidRPr="007E46C8" w:rsidRDefault="00766339" w:rsidP="00A413C3">
            <w:pPr>
              <w:pStyle w:val="Subtitle"/>
              <w:framePr w:hSpace="0" w:wrap="auto" w:hAnchor="text" w:xAlign="left" w:yAlign="inline"/>
              <w:rPr>
                <w:rFonts w:cstheme="minorHAnsi"/>
                <w:lang w:val="fr-FR"/>
              </w:rPr>
            </w:pPr>
            <w:bookmarkStart w:id="0" w:name="_Hlk134702186"/>
            <w:r w:rsidRPr="007E46C8">
              <w:rPr>
                <w:rFonts w:cstheme="minorHAnsi"/>
                <w:lang w:val="fr-FR"/>
              </w:rPr>
              <w:t>ÉTUDE SUR LA PERTINENCE DE LA DÉCISION 482 DU CONSEIL</w:t>
            </w:r>
            <w:r w:rsidR="00A413C3" w:rsidRPr="007E46C8">
              <w:rPr>
                <w:rFonts w:cstheme="minorHAnsi"/>
                <w:lang w:val="fr-FR"/>
              </w:rPr>
              <w:t xml:space="preserve"> </w:t>
            </w:r>
            <w:r w:rsidRPr="007E46C8">
              <w:rPr>
                <w:rFonts w:cstheme="minorHAnsi"/>
                <w:lang w:val="fr-FR"/>
              </w:rPr>
              <w:t xml:space="preserve">POUR </w:t>
            </w:r>
            <w:r w:rsidR="009D61DC" w:rsidRPr="007E46C8">
              <w:rPr>
                <w:rFonts w:cstheme="minorHAnsi"/>
                <w:lang w:val="fr-FR"/>
              </w:rPr>
              <w:t>LE RECOUVREMENT DES</w:t>
            </w:r>
            <w:r w:rsidR="00A413C3" w:rsidRPr="007E46C8">
              <w:rPr>
                <w:rFonts w:cstheme="minorHAnsi"/>
                <w:lang w:val="fr-FR"/>
              </w:rPr>
              <w:t xml:space="preserve"> </w:t>
            </w:r>
            <w:r w:rsidRPr="007E46C8">
              <w:rPr>
                <w:rFonts w:cstheme="minorHAnsi"/>
                <w:lang w:val="fr-FR"/>
              </w:rPr>
              <w:t>COÛTS ASSOCIÉS AU TRAITEMENT DES FICHES DE NOTIFICATION DES RÉSEAUX À SATELLITE</w:t>
            </w:r>
            <w:bookmarkEnd w:id="0"/>
          </w:p>
        </w:tc>
      </w:tr>
      <w:tr w:rsidR="00D72F49" w:rsidRPr="007E46C8" w14:paraId="252923CB" w14:textId="77777777" w:rsidTr="00D72F49">
        <w:trPr>
          <w:cantSplit/>
        </w:trPr>
        <w:tc>
          <w:tcPr>
            <w:tcW w:w="9214" w:type="dxa"/>
            <w:gridSpan w:val="2"/>
            <w:tcBorders>
              <w:top w:val="single" w:sz="4" w:space="0" w:color="auto"/>
              <w:bottom w:val="single" w:sz="4" w:space="0" w:color="auto"/>
            </w:tcBorders>
            <w:tcMar>
              <w:left w:w="0" w:type="dxa"/>
            </w:tcMar>
          </w:tcPr>
          <w:p w14:paraId="58F3A259" w14:textId="4DBFC05C" w:rsidR="00D72F49" w:rsidRPr="007E46C8" w:rsidRDefault="00766339" w:rsidP="00A413C3">
            <w:pPr>
              <w:spacing w:before="160"/>
              <w:rPr>
                <w:b/>
                <w:bCs/>
                <w:sz w:val="26"/>
                <w:szCs w:val="26"/>
              </w:rPr>
            </w:pPr>
            <w:r w:rsidRPr="007E46C8">
              <w:rPr>
                <w:b/>
                <w:bCs/>
                <w:sz w:val="26"/>
                <w:szCs w:val="26"/>
              </w:rPr>
              <w:t>Objet</w:t>
            </w:r>
          </w:p>
          <w:p w14:paraId="15A817F6" w14:textId="0976A0D7" w:rsidR="00D72F49" w:rsidRPr="007E46C8" w:rsidRDefault="00766339" w:rsidP="00A413C3">
            <w:r w:rsidRPr="007E46C8">
              <w:t xml:space="preserve">Le présent document </w:t>
            </w:r>
            <w:r w:rsidR="00D65DF7" w:rsidRPr="007E46C8">
              <w:t xml:space="preserve">est une </w:t>
            </w:r>
            <w:r w:rsidRPr="007E46C8">
              <w:t>étude de la pertinence</w:t>
            </w:r>
            <w:r w:rsidR="00A413C3" w:rsidRPr="007E46C8">
              <w:t xml:space="preserve"> </w:t>
            </w:r>
            <w:r w:rsidRPr="007E46C8">
              <w:t>de la Décision 482 du Conseil de l'UIT (C01, modifiée pour la dernière</w:t>
            </w:r>
            <w:r w:rsidR="00A413C3" w:rsidRPr="007E46C8">
              <w:t xml:space="preserve"> </w:t>
            </w:r>
            <w:r w:rsidRPr="007E46C8">
              <w:t xml:space="preserve">fois en 2020) </w:t>
            </w:r>
            <w:r w:rsidR="006972EF" w:rsidRPr="007E46C8">
              <w:t>pour le</w:t>
            </w:r>
            <w:r w:rsidR="00A413C3" w:rsidRPr="007E46C8">
              <w:t xml:space="preserve"> </w:t>
            </w:r>
            <w:r w:rsidR="009D61DC" w:rsidRPr="007E46C8">
              <w:t>recouvrement des</w:t>
            </w:r>
            <w:r w:rsidRPr="007E46C8">
              <w:t xml:space="preserve"> coûts associés au traitement des fiches de notification des réseaux à satellite.</w:t>
            </w:r>
          </w:p>
          <w:p w14:paraId="6CABF3DC" w14:textId="77777777" w:rsidR="00D72F49" w:rsidRPr="007E46C8" w:rsidRDefault="00D72F49" w:rsidP="00A413C3">
            <w:pPr>
              <w:spacing w:before="160"/>
              <w:rPr>
                <w:b/>
                <w:bCs/>
                <w:sz w:val="26"/>
                <w:szCs w:val="26"/>
              </w:rPr>
            </w:pPr>
            <w:proofErr w:type="gramStart"/>
            <w:r w:rsidRPr="007E46C8">
              <w:rPr>
                <w:b/>
                <w:bCs/>
                <w:sz w:val="26"/>
                <w:szCs w:val="26"/>
              </w:rPr>
              <w:t>Suite à</w:t>
            </w:r>
            <w:proofErr w:type="gramEnd"/>
            <w:r w:rsidRPr="007E46C8">
              <w:rPr>
                <w:b/>
                <w:bCs/>
                <w:sz w:val="26"/>
                <w:szCs w:val="26"/>
              </w:rPr>
              <w:t xml:space="preserve"> donner par le Conseil</w:t>
            </w:r>
          </w:p>
          <w:p w14:paraId="00095560" w14:textId="1CBC1ED3" w:rsidR="000A2D28" w:rsidRPr="007E46C8" w:rsidRDefault="00766339" w:rsidP="00A413C3">
            <w:r w:rsidRPr="007E46C8">
              <w:t xml:space="preserve">Le Conseil est </w:t>
            </w:r>
            <w:proofErr w:type="gramStart"/>
            <w:r w:rsidRPr="007E46C8">
              <w:t>invité</w:t>
            </w:r>
            <w:r w:rsidR="00A413C3" w:rsidRPr="007E46C8">
              <w:t>:</w:t>
            </w:r>
            <w:proofErr w:type="gramEnd"/>
          </w:p>
          <w:p w14:paraId="011CF40F" w14:textId="6BE027A1" w:rsidR="000A2D28" w:rsidRPr="007E46C8" w:rsidRDefault="00A413C3" w:rsidP="00A413C3">
            <w:r w:rsidRPr="007E46C8">
              <w:t>1</w:t>
            </w:r>
            <w:r w:rsidRPr="007E46C8">
              <w:tab/>
            </w:r>
            <w:r w:rsidR="009D61DC" w:rsidRPr="007E46C8">
              <w:rPr>
                <w:b/>
                <w:bCs/>
              </w:rPr>
              <w:t>à</w:t>
            </w:r>
            <w:r w:rsidR="00766339" w:rsidRPr="007E46C8">
              <w:rPr>
                <w:b/>
                <w:bCs/>
              </w:rPr>
              <w:t xml:space="preserve"> examiner l'étude</w:t>
            </w:r>
            <w:r w:rsidR="00766339" w:rsidRPr="007E46C8">
              <w:t xml:space="preserve"> présentée dans l'</w:t>
            </w:r>
            <w:hyperlink w:anchor="Annex1" w:history="1">
              <w:r w:rsidR="00766339" w:rsidRPr="007E46C8">
                <w:rPr>
                  <w:rStyle w:val="Hyperlink"/>
                </w:rPr>
                <w:t>Annexe 1</w:t>
              </w:r>
            </w:hyperlink>
            <w:r w:rsidR="00766339" w:rsidRPr="007E46C8">
              <w:t xml:space="preserve"> du présent rapport, concernant la mesure dans laquelle la mise en </w:t>
            </w:r>
            <w:r w:rsidRPr="007E46C8">
              <w:t>œuvre</w:t>
            </w:r>
            <w:r w:rsidR="00766339" w:rsidRPr="007E46C8">
              <w:t xml:space="preserve"> de la Décision 482 du Conseil (C01,</w:t>
            </w:r>
            <w:r w:rsidRPr="007E46C8">
              <w:t xml:space="preserve"> </w:t>
            </w:r>
            <w:r w:rsidR="00766339" w:rsidRPr="007E46C8">
              <w:t>modifiée pour la dernière</w:t>
            </w:r>
            <w:r w:rsidRPr="007E46C8">
              <w:t xml:space="preserve"> </w:t>
            </w:r>
            <w:r w:rsidR="00766339" w:rsidRPr="007E46C8">
              <w:t>fois en 2020)</w:t>
            </w:r>
            <w:r w:rsidRPr="007E46C8">
              <w:t xml:space="preserve"> </w:t>
            </w:r>
            <w:r w:rsidR="00766339" w:rsidRPr="007E46C8">
              <w:t xml:space="preserve">permet de couvrir les coûts associés au traitement des fiches de notification des réseaux à </w:t>
            </w:r>
            <w:proofErr w:type="gramStart"/>
            <w:r w:rsidR="00766339" w:rsidRPr="007E46C8">
              <w:t>satellite;</w:t>
            </w:r>
            <w:proofErr w:type="gramEnd"/>
          </w:p>
          <w:p w14:paraId="1BB7214E" w14:textId="54F7B60F" w:rsidR="00D72F49" w:rsidRPr="007E46C8" w:rsidRDefault="000A2D28" w:rsidP="00A413C3">
            <w:r w:rsidRPr="007E46C8">
              <w:t>2</w:t>
            </w:r>
            <w:r w:rsidRPr="007E46C8">
              <w:tab/>
            </w:r>
            <w:r w:rsidR="00766339" w:rsidRPr="007E46C8">
              <w:rPr>
                <w:b/>
                <w:bCs/>
              </w:rPr>
              <w:t>à</w:t>
            </w:r>
            <w:r w:rsidR="00A413C3" w:rsidRPr="007E46C8">
              <w:rPr>
                <w:b/>
                <w:bCs/>
              </w:rPr>
              <w:t xml:space="preserve"> </w:t>
            </w:r>
            <w:r w:rsidR="00766339" w:rsidRPr="007E46C8">
              <w:rPr>
                <w:b/>
                <w:bCs/>
              </w:rPr>
              <w:t>créer un Groupe d'experts du Conseil sur la Décision 482</w:t>
            </w:r>
            <w:r w:rsidR="00766339" w:rsidRPr="007E46C8">
              <w:t xml:space="preserve"> (</w:t>
            </w:r>
            <w:r w:rsidR="006972EF" w:rsidRPr="007E46C8">
              <w:t>un</w:t>
            </w:r>
            <w:r w:rsidR="00A413C3" w:rsidRPr="007E46C8">
              <w:t xml:space="preserve"> </w:t>
            </w:r>
            <w:r w:rsidR="00766339" w:rsidRPr="007E46C8">
              <w:t>projet de mandat figure dans l'</w:t>
            </w:r>
            <w:hyperlink w:anchor="Annexe2" w:history="1">
              <w:r w:rsidR="00766339" w:rsidRPr="007E46C8">
                <w:rPr>
                  <w:rStyle w:val="Hyperlink"/>
                </w:rPr>
                <w:t>Annexe 2</w:t>
              </w:r>
            </w:hyperlink>
            <w:r w:rsidR="00766339" w:rsidRPr="007E46C8">
              <w:t>).</w:t>
            </w:r>
          </w:p>
          <w:p w14:paraId="5B8573D8" w14:textId="099BDA90" w:rsidR="00D72F49" w:rsidRPr="007E46C8" w:rsidRDefault="00D72F49" w:rsidP="00A413C3">
            <w:pPr>
              <w:spacing w:before="160"/>
              <w:rPr>
                <w:b/>
                <w:bCs/>
                <w:sz w:val="26"/>
                <w:szCs w:val="26"/>
              </w:rPr>
            </w:pPr>
            <w:r w:rsidRPr="007E46C8">
              <w:rPr>
                <w:b/>
                <w:bCs/>
                <w:sz w:val="26"/>
                <w:szCs w:val="26"/>
              </w:rPr>
              <w:t xml:space="preserve">Lien(s) pertinent(s) avec le </w:t>
            </w:r>
            <w:r w:rsidR="006972EF" w:rsidRPr="007E46C8">
              <w:rPr>
                <w:b/>
                <w:bCs/>
                <w:sz w:val="26"/>
                <w:szCs w:val="26"/>
              </w:rPr>
              <w:t>p</w:t>
            </w:r>
            <w:r w:rsidRPr="007E46C8">
              <w:rPr>
                <w:b/>
                <w:bCs/>
                <w:sz w:val="26"/>
                <w:szCs w:val="26"/>
              </w:rPr>
              <w:t>lan stratégique</w:t>
            </w:r>
          </w:p>
          <w:p w14:paraId="6C8147AF" w14:textId="2D09A5A4" w:rsidR="000A2D28" w:rsidRPr="007E46C8" w:rsidRDefault="00A413C3" w:rsidP="00A413C3">
            <w:r w:rsidRPr="007E46C8">
              <w:t>P</w:t>
            </w:r>
            <w:r w:rsidR="009D61DC" w:rsidRPr="007E46C8">
              <w:t xml:space="preserve">riorité </w:t>
            </w:r>
            <w:proofErr w:type="gramStart"/>
            <w:r w:rsidR="009D61DC" w:rsidRPr="007E46C8">
              <w:t>thématique</w:t>
            </w:r>
            <w:r w:rsidRPr="007E46C8">
              <w:t>:</w:t>
            </w:r>
            <w:proofErr w:type="gramEnd"/>
            <w:r w:rsidRPr="007E46C8">
              <w:t xml:space="preserve"> </w:t>
            </w:r>
            <w:r w:rsidR="009D61DC" w:rsidRPr="007E46C8">
              <w:t>Utilisation du spectre pour les services spatiaux et les services de Terre</w:t>
            </w:r>
            <w:r w:rsidRPr="007E46C8">
              <w:t>.</w:t>
            </w:r>
          </w:p>
          <w:p w14:paraId="29B9FC63" w14:textId="1B97A86F" w:rsidR="00D72F49" w:rsidRPr="007E46C8" w:rsidRDefault="00A413C3" w:rsidP="00A413C3">
            <w:r w:rsidRPr="007E46C8">
              <w:t>O</w:t>
            </w:r>
            <w:r w:rsidR="009D61DC" w:rsidRPr="007E46C8">
              <w:t xml:space="preserve">ffres de produits et de </w:t>
            </w:r>
            <w:proofErr w:type="gramStart"/>
            <w:r w:rsidR="009D61DC" w:rsidRPr="007E46C8">
              <w:t>services</w:t>
            </w:r>
            <w:r w:rsidR="000A2D28" w:rsidRPr="007E46C8">
              <w:t>:</w:t>
            </w:r>
            <w:proofErr w:type="gramEnd"/>
            <w:r w:rsidRPr="007E46C8">
              <w:t xml:space="preserve"> </w:t>
            </w:r>
            <w:r w:rsidR="009D61DC" w:rsidRPr="007E46C8">
              <w:t>Attribution et gestion des ressources</w:t>
            </w:r>
            <w:r w:rsidRPr="007E46C8">
              <w:t>.</w:t>
            </w:r>
          </w:p>
          <w:p w14:paraId="62024A93" w14:textId="60CA56FA" w:rsidR="009D61DC" w:rsidRPr="007E46C8" w:rsidRDefault="00D72F49" w:rsidP="00A413C3">
            <w:pPr>
              <w:spacing w:before="160"/>
              <w:rPr>
                <w:b/>
                <w:bCs/>
                <w:sz w:val="26"/>
                <w:szCs w:val="26"/>
              </w:rPr>
            </w:pPr>
            <w:r w:rsidRPr="007E46C8">
              <w:rPr>
                <w:b/>
                <w:bCs/>
                <w:sz w:val="26"/>
                <w:szCs w:val="26"/>
              </w:rPr>
              <w:t>Incidences financières</w:t>
            </w:r>
          </w:p>
          <w:p w14:paraId="5F14306A" w14:textId="4674B059" w:rsidR="00D72F49" w:rsidRPr="007E46C8" w:rsidRDefault="00A413C3" w:rsidP="007E46C8">
            <w:pPr>
              <w:rPr>
                <w:szCs w:val="24"/>
              </w:rPr>
            </w:pPr>
            <w:r w:rsidRPr="007E46C8">
              <w:rPr>
                <w:szCs w:val="24"/>
              </w:rPr>
              <w:t>À</w:t>
            </w:r>
            <w:r w:rsidR="009D61DC" w:rsidRPr="007E46C8">
              <w:rPr>
                <w:szCs w:val="24"/>
              </w:rPr>
              <w:t xml:space="preserve"> concurrence de</w:t>
            </w:r>
            <w:r w:rsidRPr="007E46C8">
              <w:rPr>
                <w:szCs w:val="24"/>
              </w:rPr>
              <w:t xml:space="preserve"> </w:t>
            </w:r>
            <w:r w:rsidR="009D61DC" w:rsidRPr="007E46C8">
              <w:rPr>
                <w:szCs w:val="24"/>
              </w:rPr>
              <w:t>22 778 000 CHF</w:t>
            </w:r>
            <w:r w:rsidRPr="007E46C8">
              <w:rPr>
                <w:szCs w:val="24"/>
              </w:rPr>
              <w:t>.</w:t>
            </w:r>
          </w:p>
          <w:p w14:paraId="2492332B" w14:textId="77777777" w:rsidR="00D72F49" w:rsidRPr="007E46C8" w:rsidRDefault="00D72F49" w:rsidP="00A413C3">
            <w:pPr>
              <w:spacing w:before="160"/>
              <w:rPr>
                <w:caps/>
                <w:sz w:val="22"/>
              </w:rPr>
            </w:pPr>
            <w:r w:rsidRPr="007E46C8">
              <w:rPr>
                <w:sz w:val="22"/>
              </w:rPr>
              <w:t>__________________</w:t>
            </w:r>
          </w:p>
          <w:p w14:paraId="17C1B83D" w14:textId="77777777" w:rsidR="00D72F49" w:rsidRPr="007E46C8" w:rsidRDefault="00D72F49" w:rsidP="00A413C3">
            <w:pPr>
              <w:spacing w:before="160"/>
              <w:rPr>
                <w:b/>
                <w:bCs/>
                <w:sz w:val="26"/>
                <w:szCs w:val="26"/>
              </w:rPr>
            </w:pPr>
            <w:r w:rsidRPr="007E46C8">
              <w:rPr>
                <w:b/>
                <w:bCs/>
                <w:sz w:val="26"/>
                <w:szCs w:val="26"/>
              </w:rPr>
              <w:t>Références</w:t>
            </w:r>
          </w:p>
          <w:p w14:paraId="7DC5B7CD" w14:textId="6E472BAA" w:rsidR="00D72F49" w:rsidRPr="007E46C8" w:rsidRDefault="009A50CA" w:rsidP="00A413C3">
            <w:hyperlink r:id="rId8" w:history="1">
              <w:r w:rsidR="009D61DC" w:rsidRPr="007E46C8">
                <w:rPr>
                  <w:rStyle w:val="Hyperlink"/>
                  <w:i/>
                  <w:iCs/>
                </w:rPr>
                <w:t>Résolution 91 (Rév. Guadalajara, 2010) de la Conférence de plénipotentiaires</w:t>
              </w:r>
            </w:hyperlink>
            <w:r w:rsidR="00A413C3" w:rsidRPr="007E46C8">
              <w:rPr>
                <w:i/>
                <w:iCs/>
              </w:rPr>
              <w:t>;</w:t>
            </w:r>
            <w:r w:rsidR="009D61DC" w:rsidRPr="007E46C8">
              <w:rPr>
                <w:i/>
                <w:iCs/>
              </w:rPr>
              <w:t xml:space="preserve"> </w:t>
            </w:r>
            <w:hyperlink r:id="rId9" w:history="1">
              <w:r w:rsidR="009D61DC" w:rsidRPr="007E46C8">
                <w:rPr>
                  <w:rStyle w:val="Hyperlink"/>
                  <w:i/>
                  <w:iCs/>
                </w:rPr>
                <w:t>Décision 482 du Conseil (C01,</w:t>
              </w:r>
              <w:r w:rsidR="00A413C3" w:rsidRPr="007E46C8">
                <w:rPr>
                  <w:rStyle w:val="Hyperlink"/>
                  <w:i/>
                  <w:iCs/>
                </w:rPr>
                <w:t xml:space="preserve"> </w:t>
              </w:r>
              <w:r w:rsidR="009D61DC" w:rsidRPr="007E46C8">
                <w:rPr>
                  <w:rStyle w:val="Hyperlink"/>
                  <w:i/>
                  <w:iCs/>
                </w:rPr>
                <w:t>modifiée pour la dernière fois en 2020)</w:t>
              </w:r>
            </w:hyperlink>
            <w:r w:rsidR="00A413C3" w:rsidRPr="007E46C8">
              <w:rPr>
                <w:i/>
                <w:iCs/>
              </w:rPr>
              <w:t>;</w:t>
            </w:r>
            <w:r w:rsidR="009D61DC" w:rsidRPr="007E46C8">
              <w:rPr>
                <w:i/>
                <w:iCs/>
              </w:rPr>
              <w:t xml:space="preserve"> </w:t>
            </w:r>
            <w:r w:rsidR="009D61DC" w:rsidRPr="007E46C8">
              <w:rPr>
                <w:rStyle w:val="Hyperlink"/>
                <w:i/>
                <w:iCs/>
              </w:rPr>
              <w:t>Documents</w:t>
            </w:r>
            <w:r w:rsidR="00A413C3" w:rsidRPr="007E46C8">
              <w:rPr>
                <w:rStyle w:val="Hyperlink"/>
                <w:i/>
                <w:iCs/>
              </w:rPr>
              <w:t xml:space="preserve"> </w:t>
            </w:r>
            <w:hyperlink r:id="rId10" w:history="1">
              <w:r w:rsidR="000A2D28" w:rsidRPr="007E46C8">
                <w:rPr>
                  <w:rStyle w:val="Hyperlink"/>
                  <w:i/>
                  <w:iCs/>
                  <w:szCs w:val="24"/>
                </w:rPr>
                <w:t>C22/16</w:t>
              </w:r>
            </w:hyperlink>
            <w:r w:rsidR="00A413C3" w:rsidRPr="007E46C8">
              <w:rPr>
                <w:i/>
                <w:iCs/>
              </w:rPr>
              <w:t>;</w:t>
            </w:r>
            <w:r w:rsidR="000A2D28" w:rsidRPr="007E46C8">
              <w:rPr>
                <w:i/>
                <w:iCs/>
              </w:rPr>
              <w:t xml:space="preserve"> </w:t>
            </w:r>
            <w:hyperlink r:id="rId11" w:history="1">
              <w:r w:rsidR="000A2D28" w:rsidRPr="007E46C8">
                <w:rPr>
                  <w:rStyle w:val="Hyperlink"/>
                  <w:i/>
                  <w:iCs/>
                  <w:szCs w:val="24"/>
                </w:rPr>
                <w:t>C23/16</w:t>
              </w:r>
            </w:hyperlink>
          </w:p>
        </w:tc>
      </w:tr>
    </w:tbl>
    <w:p w14:paraId="0B1B07C2" w14:textId="77777777" w:rsidR="00A51849" w:rsidRPr="007E46C8" w:rsidRDefault="00A51849" w:rsidP="00A413C3">
      <w:pPr>
        <w:tabs>
          <w:tab w:val="clear" w:pos="567"/>
          <w:tab w:val="clear" w:pos="1134"/>
          <w:tab w:val="clear" w:pos="1701"/>
          <w:tab w:val="clear" w:pos="2268"/>
          <w:tab w:val="clear" w:pos="2835"/>
        </w:tabs>
        <w:overflowPunct/>
        <w:autoSpaceDE/>
        <w:autoSpaceDN/>
        <w:adjustRightInd/>
        <w:spacing w:before="0"/>
        <w:textAlignment w:val="auto"/>
      </w:pPr>
      <w:r w:rsidRPr="007E46C8">
        <w:br w:type="page"/>
      </w:r>
    </w:p>
    <w:p w14:paraId="7DD639D8" w14:textId="0BC3A10F" w:rsidR="00B40A73" w:rsidRPr="007E46C8" w:rsidRDefault="00B40A73" w:rsidP="00A413C3">
      <w:pPr>
        <w:pStyle w:val="Heading1"/>
      </w:pPr>
      <w:r w:rsidRPr="007E46C8">
        <w:lastRenderedPageBreak/>
        <w:t>1</w:t>
      </w:r>
      <w:r w:rsidRPr="007E46C8">
        <w:tab/>
      </w:r>
      <w:r w:rsidR="009D61DC" w:rsidRPr="007E46C8">
        <w:t>Considérations générales</w:t>
      </w:r>
    </w:p>
    <w:p w14:paraId="1E761F36" w14:textId="01F6753E" w:rsidR="00B40A73" w:rsidRPr="007E46C8" w:rsidRDefault="00B40A73" w:rsidP="00A413C3">
      <w:pPr>
        <w:tabs>
          <w:tab w:val="clear" w:pos="567"/>
          <w:tab w:val="clear" w:pos="1134"/>
          <w:tab w:val="clear" w:pos="1701"/>
          <w:tab w:val="clear" w:pos="2268"/>
          <w:tab w:val="clear" w:pos="2835"/>
        </w:tabs>
        <w:snapToGrid w:val="0"/>
        <w:spacing w:after="120"/>
        <w:rPr>
          <w:rFonts w:asciiTheme="minorHAnsi" w:hAnsiTheme="minorHAnsi" w:cstheme="majorBidi"/>
        </w:rPr>
      </w:pPr>
      <w:r w:rsidRPr="007E46C8">
        <w:rPr>
          <w:rFonts w:asciiTheme="minorHAnsi" w:hAnsiTheme="minorHAnsi" w:cstheme="majorBidi"/>
        </w:rPr>
        <w:t>1.1</w:t>
      </w:r>
      <w:r w:rsidRPr="007E46C8">
        <w:rPr>
          <w:rFonts w:asciiTheme="minorHAnsi" w:hAnsiTheme="minorHAnsi" w:cstheme="majorBidi"/>
        </w:rPr>
        <w:tab/>
      </w:r>
      <w:bookmarkStart w:id="1" w:name="lt_pId142"/>
      <w:r w:rsidRPr="007E46C8">
        <w:rPr>
          <w:rFonts w:asciiTheme="minorHAnsi" w:hAnsiTheme="minorHAnsi" w:cstheme="majorBidi"/>
        </w:rPr>
        <w:t>La structure actuelle de la Décision 482</w:t>
      </w:r>
      <w:r w:rsidR="00A413C3" w:rsidRPr="007E46C8">
        <w:rPr>
          <w:rFonts w:asciiTheme="minorHAnsi" w:hAnsiTheme="minorHAnsi" w:cstheme="majorBidi"/>
        </w:rPr>
        <w:t xml:space="preserve"> </w:t>
      </w:r>
      <w:r w:rsidR="003C5505" w:rsidRPr="007E46C8">
        <w:rPr>
          <w:rFonts w:asciiTheme="minorHAnsi" w:hAnsiTheme="minorHAnsi" w:cstheme="majorBidi"/>
        </w:rPr>
        <w:t>(C01,</w:t>
      </w:r>
      <w:r w:rsidR="00A413C3" w:rsidRPr="007E46C8">
        <w:rPr>
          <w:rFonts w:asciiTheme="minorHAnsi" w:hAnsiTheme="minorHAnsi" w:cstheme="majorBidi"/>
        </w:rPr>
        <w:t xml:space="preserve"> </w:t>
      </w:r>
      <w:r w:rsidR="003C5505" w:rsidRPr="007E46C8">
        <w:rPr>
          <w:rFonts w:asciiTheme="minorHAnsi" w:hAnsiTheme="minorHAnsi" w:cstheme="majorBidi"/>
        </w:rPr>
        <w:t xml:space="preserve">modifiée pour la dernière fois en 2020) </w:t>
      </w:r>
      <w:r w:rsidRPr="007E46C8">
        <w:rPr>
          <w:rFonts w:asciiTheme="minorHAnsi" w:hAnsiTheme="minorHAnsi" w:cstheme="majorBidi"/>
        </w:rPr>
        <w:t xml:space="preserve">a pour l'essentiel été arrêtée par le Conseil </w:t>
      </w:r>
      <w:r w:rsidR="003C5505" w:rsidRPr="007E46C8">
        <w:rPr>
          <w:rFonts w:asciiTheme="minorHAnsi" w:hAnsiTheme="minorHAnsi" w:cstheme="majorBidi"/>
        </w:rPr>
        <w:t>de l</w:t>
      </w:r>
      <w:r w:rsidR="00F42238" w:rsidRPr="007E46C8">
        <w:rPr>
          <w:rFonts w:asciiTheme="minorHAnsi" w:hAnsiTheme="minorHAnsi" w:cstheme="majorBidi"/>
        </w:rPr>
        <w:t>'</w:t>
      </w:r>
      <w:r w:rsidR="003C5505" w:rsidRPr="007E46C8">
        <w:rPr>
          <w:rFonts w:asciiTheme="minorHAnsi" w:hAnsiTheme="minorHAnsi" w:cstheme="majorBidi"/>
        </w:rPr>
        <w:t xml:space="preserve">UIT </w:t>
      </w:r>
      <w:r w:rsidRPr="007E46C8">
        <w:rPr>
          <w:rFonts w:asciiTheme="minorHAnsi" w:hAnsiTheme="minorHAnsi" w:cstheme="majorBidi"/>
        </w:rPr>
        <w:t xml:space="preserve">à sa session de 2005, sur la base du </w:t>
      </w:r>
      <w:hyperlink r:id="rId12" w:history="1">
        <w:r w:rsidRPr="007E46C8">
          <w:rPr>
            <w:rStyle w:val="Hyperlink"/>
            <w:rFonts w:asciiTheme="minorHAnsi" w:hAnsiTheme="minorHAnsi" w:cstheme="majorBidi"/>
          </w:rPr>
          <w:t>Document C05/29</w:t>
        </w:r>
      </w:hyperlink>
      <w:r w:rsidRPr="007E46C8">
        <w:rPr>
          <w:rFonts w:asciiTheme="minorHAnsi" w:hAnsiTheme="minorHAnsi" w:cstheme="majorBidi"/>
        </w:rPr>
        <w:t xml:space="preserve"> relatif au recouvrement des coûts appliqué au traitement des fiches de notification</w:t>
      </w:r>
      <w:r w:rsidR="003C5505" w:rsidRPr="007E46C8">
        <w:t xml:space="preserve"> des réseaux à </w:t>
      </w:r>
      <w:r w:rsidRPr="007E46C8">
        <w:rPr>
          <w:rFonts w:asciiTheme="minorHAnsi" w:hAnsiTheme="minorHAnsi" w:cstheme="majorBidi"/>
        </w:rPr>
        <w:t>satellite</w:t>
      </w:r>
      <w:r w:rsidR="00A413C3" w:rsidRPr="007E46C8">
        <w:rPr>
          <w:rFonts w:asciiTheme="minorHAnsi" w:hAnsiTheme="minorHAnsi" w:cstheme="majorBidi"/>
        </w:rPr>
        <w:t>,</w:t>
      </w:r>
      <w:r w:rsidRPr="007E46C8">
        <w:rPr>
          <w:rFonts w:asciiTheme="minorHAnsi" w:hAnsiTheme="minorHAnsi" w:cstheme="majorBidi"/>
        </w:rPr>
        <w:t xml:space="preserve"> dont il est fait mention </w:t>
      </w:r>
      <w:r w:rsidR="003C5505" w:rsidRPr="007E46C8">
        <w:rPr>
          <w:rFonts w:asciiTheme="minorHAnsi" w:hAnsiTheme="minorHAnsi" w:cstheme="majorBidi"/>
        </w:rPr>
        <w:t xml:space="preserve">au point </w:t>
      </w:r>
      <w:proofErr w:type="spellStart"/>
      <w:r w:rsidR="003C5505" w:rsidRPr="007E46C8">
        <w:rPr>
          <w:rFonts w:asciiTheme="minorHAnsi" w:hAnsiTheme="minorHAnsi" w:cstheme="majorBidi"/>
          <w:i/>
          <w:iCs/>
        </w:rPr>
        <w:t>ebis</w:t>
      </w:r>
      <w:proofErr w:type="spellEnd"/>
      <w:r w:rsidR="003C5505" w:rsidRPr="007E46C8">
        <w:rPr>
          <w:rFonts w:asciiTheme="minorHAnsi" w:hAnsiTheme="minorHAnsi" w:cstheme="majorBidi"/>
          <w:i/>
          <w:iCs/>
        </w:rPr>
        <w:t>)</w:t>
      </w:r>
      <w:r w:rsidR="00A413C3" w:rsidRPr="007E46C8">
        <w:rPr>
          <w:rFonts w:asciiTheme="minorHAnsi" w:hAnsiTheme="minorHAnsi" w:cstheme="majorBidi"/>
        </w:rPr>
        <w:t xml:space="preserve"> </w:t>
      </w:r>
      <w:r w:rsidR="003C5505" w:rsidRPr="007E46C8">
        <w:rPr>
          <w:rFonts w:asciiTheme="minorHAnsi" w:hAnsiTheme="minorHAnsi" w:cstheme="majorBidi"/>
        </w:rPr>
        <w:t>du</w:t>
      </w:r>
      <w:r w:rsidR="003C5505" w:rsidRPr="007E46C8">
        <w:rPr>
          <w:rFonts w:asciiTheme="minorHAnsi" w:hAnsiTheme="minorHAnsi" w:cstheme="majorBidi"/>
          <w:i/>
          <w:iCs/>
        </w:rPr>
        <w:t xml:space="preserve"> considérant</w:t>
      </w:r>
      <w:r w:rsidR="003C5505" w:rsidRPr="007E46C8">
        <w:rPr>
          <w:rFonts w:asciiTheme="minorHAnsi" w:eastAsiaTheme="minorEastAsia" w:hAnsiTheme="minorHAnsi" w:cs="Calibri"/>
        </w:rPr>
        <w:t xml:space="preserve"> </w:t>
      </w:r>
      <w:r w:rsidR="003C5505" w:rsidRPr="007E46C8">
        <w:rPr>
          <w:rFonts w:asciiTheme="minorHAnsi" w:hAnsiTheme="minorHAnsi" w:cstheme="majorBidi"/>
        </w:rPr>
        <w:t>de</w:t>
      </w:r>
      <w:r w:rsidR="00A413C3" w:rsidRPr="007E46C8">
        <w:rPr>
          <w:rFonts w:asciiTheme="minorHAnsi" w:hAnsiTheme="minorHAnsi" w:cstheme="majorBidi"/>
        </w:rPr>
        <w:t xml:space="preserve"> </w:t>
      </w:r>
      <w:r w:rsidR="006972EF" w:rsidRPr="007E46C8">
        <w:rPr>
          <w:rFonts w:asciiTheme="minorHAnsi" w:hAnsiTheme="minorHAnsi" w:cstheme="majorBidi"/>
        </w:rPr>
        <w:t xml:space="preserve">ladite </w:t>
      </w:r>
      <w:r w:rsidRPr="007E46C8">
        <w:rPr>
          <w:rFonts w:asciiTheme="minorHAnsi" w:hAnsiTheme="minorHAnsi" w:cstheme="majorBidi"/>
        </w:rPr>
        <w:t>Décision</w:t>
      </w:r>
      <w:bookmarkEnd w:id="1"/>
      <w:r w:rsidR="00F42238" w:rsidRPr="007E46C8">
        <w:rPr>
          <w:rFonts w:asciiTheme="minorHAnsi" w:hAnsiTheme="minorHAnsi" w:cstheme="majorBidi"/>
        </w:rPr>
        <w:t>.</w:t>
      </w:r>
    </w:p>
    <w:p w14:paraId="34982B51" w14:textId="45FEBB0D" w:rsidR="00B40A73" w:rsidRPr="007E46C8" w:rsidRDefault="00B40A73" w:rsidP="00A413C3">
      <w:pPr>
        <w:tabs>
          <w:tab w:val="clear" w:pos="567"/>
          <w:tab w:val="clear" w:pos="1134"/>
          <w:tab w:val="clear" w:pos="1701"/>
          <w:tab w:val="clear" w:pos="2268"/>
          <w:tab w:val="clear" w:pos="2835"/>
        </w:tabs>
        <w:snapToGrid w:val="0"/>
        <w:spacing w:after="120"/>
      </w:pPr>
      <w:r w:rsidRPr="007E46C8">
        <w:rPr>
          <w:rFonts w:asciiTheme="minorHAnsi" w:hAnsiTheme="minorHAnsi" w:cstheme="majorBidi"/>
        </w:rPr>
        <w:t>1.2</w:t>
      </w:r>
      <w:r w:rsidRPr="007E46C8">
        <w:rPr>
          <w:rFonts w:asciiTheme="minorHAnsi" w:hAnsiTheme="minorHAnsi" w:cstheme="majorBidi"/>
        </w:rPr>
        <w:tab/>
        <w:t xml:space="preserve">À sa session de 2017, le Conseil a chargé le Bureau des radiocommunications de soumettre une étude relative aux questions techniques découlant du traitement des systèmes à satellites non géostationnaires (non OSG) complexes. </w:t>
      </w:r>
      <w:r w:rsidR="008376FB" w:rsidRPr="007E46C8">
        <w:rPr>
          <w:rFonts w:asciiTheme="minorHAnsi" w:hAnsiTheme="minorHAnsi" w:cstheme="majorBidi"/>
        </w:rPr>
        <w:t xml:space="preserve">En conséquence, </w:t>
      </w:r>
      <w:r w:rsidR="008376FB" w:rsidRPr="007E46C8">
        <w:t>le Conseil</w:t>
      </w:r>
      <w:r w:rsidR="00A413C3" w:rsidRPr="007E46C8">
        <w:t xml:space="preserve">, </w:t>
      </w:r>
      <w:r w:rsidR="008376FB" w:rsidRPr="007E46C8">
        <w:t xml:space="preserve">à </w:t>
      </w:r>
      <w:r w:rsidRPr="007E46C8">
        <w:t>ses sessions de 2018 et 2019, a révisé la Décision 482, afin de traiter</w:t>
      </w:r>
      <w:r w:rsidR="008376FB" w:rsidRPr="007E46C8">
        <w:t xml:space="preserve"> les</w:t>
      </w:r>
      <w:r w:rsidR="00A413C3" w:rsidRPr="007E46C8">
        <w:t xml:space="preserve"> </w:t>
      </w:r>
      <w:r w:rsidRPr="007E46C8">
        <w:t xml:space="preserve">questions relatives aux systèmes à satellites non </w:t>
      </w:r>
      <w:r w:rsidR="008376FB" w:rsidRPr="007E46C8">
        <w:t>OSG qui</w:t>
      </w:r>
      <w:r w:rsidR="00A413C3" w:rsidRPr="007E46C8">
        <w:t xml:space="preserve"> </w:t>
      </w:r>
      <w:r w:rsidR="008376FB" w:rsidRPr="007E46C8">
        <w:t>étaient</w:t>
      </w:r>
      <w:r w:rsidR="00A413C3" w:rsidRPr="007E46C8">
        <w:t xml:space="preserve"> </w:t>
      </w:r>
      <w:r w:rsidR="008376FB" w:rsidRPr="007E46C8">
        <w:t>décrites dans l</w:t>
      </w:r>
      <w:r w:rsidR="00F42238" w:rsidRPr="007E46C8">
        <w:t>'</w:t>
      </w:r>
      <w:r w:rsidR="008376FB" w:rsidRPr="007E46C8">
        <w:t>étude</w:t>
      </w:r>
      <w:r w:rsidR="006972EF" w:rsidRPr="007E46C8">
        <w:t xml:space="preserve"> </w:t>
      </w:r>
      <w:r w:rsidR="008376FB" w:rsidRPr="007E46C8">
        <w:t>du Bureau.</w:t>
      </w:r>
    </w:p>
    <w:p w14:paraId="4CC28DF4" w14:textId="16F7D9E7" w:rsidR="00B40A73" w:rsidRPr="007E46C8" w:rsidRDefault="00B40A73" w:rsidP="00A413C3">
      <w:pPr>
        <w:tabs>
          <w:tab w:val="clear" w:pos="567"/>
          <w:tab w:val="clear" w:pos="1134"/>
          <w:tab w:val="clear" w:pos="1701"/>
          <w:tab w:val="clear" w:pos="2268"/>
          <w:tab w:val="clear" w:pos="2835"/>
        </w:tabs>
        <w:snapToGrid w:val="0"/>
        <w:spacing w:after="120"/>
      </w:pPr>
      <w:r w:rsidRPr="007E46C8">
        <w:t>1.3</w:t>
      </w:r>
      <w:r w:rsidRPr="007E46C8">
        <w:tab/>
      </w:r>
      <w:r w:rsidR="006972EF" w:rsidRPr="007E46C8">
        <w:t>L</w:t>
      </w:r>
      <w:r w:rsidRPr="007E46C8">
        <w:t>ors de la consultation virtuelle des Conseillers</w:t>
      </w:r>
      <w:r w:rsidR="006972EF" w:rsidRPr="007E46C8">
        <w:t xml:space="preserve"> tenue en juin 2020,</w:t>
      </w:r>
      <w:r w:rsidR="008376FB" w:rsidRPr="007E46C8">
        <w:t xml:space="preserve"> </w:t>
      </w:r>
      <w:r w:rsidR="006972EF" w:rsidRPr="007E46C8">
        <w:t>les participants ont</w:t>
      </w:r>
      <w:r w:rsidR="00A413C3" w:rsidRPr="007E46C8">
        <w:t xml:space="preserve"> </w:t>
      </w:r>
      <w:r w:rsidR="008376FB" w:rsidRPr="007E46C8">
        <w:t>conclu</w:t>
      </w:r>
      <w:r w:rsidRPr="007E46C8">
        <w:t xml:space="preserve"> qu'il convenait d'organiser une consultation par correspondance des États</w:t>
      </w:r>
      <w:r w:rsidR="00F42238" w:rsidRPr="007E46C8">
        <w:t> </w:t>
      </w:r>
      <w:r w:rsidRPr="007E46C8">
        <w:t>Membres du Conseil concernant l'approbation du projet de Décision 482</w:t>
      </w:r>
      <w:r w:rsidR="00A413C3" w:rsidRPr="007E46C8">
        <w:t xml:space="preserve"> </w:t>
      </w:r>
      <w:r w:rsidR="008376FB" w:rsidRPr="007E46C8">
        <w:t>modifiée</w:t>
      </w:r>
      <w:r w:rsidRPr="007E46C8">
        <w:t>, qui</w:t>
      </w:r>
      <w:r w:rsidR="00A413C3" w:rsidRPr="007E46C8">
        <w:t xml:space="preserve"> </w:t>
      </w:r>
      <w:r w:rsidR="008376FB" w:rsidRPr="007E46C8">
        <w:t>cont</w:t>
      </w:r>
      <w:r w:rsidR="006972EF" w:rsidRPr="007E46C8">
        <w:t>enait</w:t>
      </w:r>
      <w:r w:rsidR="008376FB" w:rsidRPr="007E46C8">
        <w:t xml:space="preserve"> </w:t>
      </w:r>
      <w:r w:rsidRPr="007E46C8">
        <w:t xml:space="preserve">des modifications découlant des décisions prises par la </w:t>
      </w:r>
      <w:r w:rsidR="008376FB" w:rsidRPr="007E46C8">
        <w:t>Conférence mondiale des radiocommunications (</w:t>
      </w:r>
      <w:proofErr w:type="spellStart"/>
      <w:r w:rsidR="008376FB" w:rsidRPr="007E46C8">
        <w:t>Charm</w:t>
      </w:r>
      <w:proofErr w:type="spellEnd"/>
      <w:r w:rsidR="008376FB" w:rsidRPr="007E46C8">
        <w:t xml:space="preserve"> el-Cheikh, 2019)</w:t>
      </w:r>
      <w:r w:rsidR="00A413C3" w:rsidRPr="007E46C8">
        <w:t xml:space="preserve"> </w:t>
      </w:r>
      <w:r w:rsidRPr="007E46C8">
        <w:t xml:space="preserve">ou </w:t>
      </w:r>
      <w:r w:rsidR="008A2271" w:rsidRPr="007E46C8">
        <w:t>qu'il était</w:t>
      </w:r>
      <w:r w:rsidR="00A413C3" w:rsidRPr="007E46C8">
        <w:t xml:space="preserve"> </w:t>
      </w:r>
      <w:r w:rsidR="008A2271" w:rsidRPr="007E46C8">
        <w:t>nécessaire d</w:t>
      </w:r>
      <w:r w:rsidR="00F42238" w:rsidRPr="007E46C8">
        <w:t>'</w:t>
      </w:r>
      <w:r w:rsidRPr="007E46C8">
        <w:t>apporter pour traiter un cas particulier concernant des fiches de notification de réseaux à satellite qui n'</w:t>
      </w:r>
      <w:r w:rsidR="008376FB" w:rsidRPr="007E46C8">
        <w:t>était</w:t>
      </w:r>
      <w:r w:rsidR="00A413C3" w:rsidRPr="007E46C8">
        <w:t xml:space="preserve"> </w:t>
      </w:r>
      <w:r w:rsidRPr="007E46C8">
        <w:t>pas pris en compte dans la Décision en question.</w:t>
      </w:r>
      <w:r w:rsidR="00A413C3" w:rsidRPr="007E46C8">
        <w:t xml:space="preserve"> </w:t>
      </w:r>
      <w:r w:rsidRPr="007E46C8">
        <w:t>À l'issue de cette consultation, les États Membres du Conseil ont approuvé la Décision 482 modifiée, telle qu'elle figure dans l'Annexe 4 de la Circulaire </w:t>
      </w:r>
      <w:hyperlink r:id="rId13" w:history="1">
        <w:r w:rsidRPr="007E46C8">
          <w:rPr>
            <w:rStyle w:val="Hyperlink"/>
          </w:rPr>
          <w:t>DM</w:t>
        </w:r>
        <w:r w:rsidRPr="007E46C8">
          <w:rPr>
            <w:rStyle w:val="Hyperlink"/>
          </w:rPr>
          <w:noBreakHyphen/>
          <w:t>20/1011</w:t>
        </w:r>
      </w:hyperlink>
      <w:r w:rsidR="00A413C3" w:rsidRPr="007E46C8">
        <w:t xml:space="preserve"> </w:t>
      </w:r>
      <w:r w:rsidRPr="007E46C8">
        <w:t>du 3 août 2020</w:t>
      </w:r>
      <w:r w:rsidR="008376FB" w:rsidRPr="007E46C8">
        <w:t>,</w:t>
      </w:r>
      <w:r w:rsidR="00A413C3" w:rsidRPr="007E46C8">
        <w:t xml:space="preserve"> </w:t>
      </w:r>
      <w:r w:rsidR="008A2271" w:rsidRPr="007E46C8">
        <w:t xml:space="preserve">qui est </w:t>
      </w:r>
      <w:r w:rsidRPr="007E46C8">
        <w:t>entrée en vigueur le 1er septembre 2020.</w:t>
      </w:r>
    </w:p>
    <w:p w14:paraId="5ECCA713" w14:textId="2FD2B161" w:rsidR="00B40A73" w:rsidRPr="007E46C8" w:rsidRDefault="00B40A73" w:rsidP="00A413C3">
      <w:pPr>
        <w:tabs>
          <w:tab w:val="clear" w:pos="567"/>
          <w:tab w:val="clear" w:pos="1134"/>
          <w:tab w:val="clear" w:pos="1701"/>
          <w:tab w:val="clear" w:pos="2268"/>
          <w:tab w:val="clear" w:pos="2835"/>
        </w:tabs>
        <w:snapToGrid w:val="0"/>
        <w:spacing w:after="120"/>
      </w:pPr>
      <w:r w:rsidRPr="007E46C8">
        <w:t>1.4</w:t>
      </w:r>
      <w:r w:rsidRPr="007E46C8">
        <w:tab/>
      </w:r>
      <w:r w:rsidR="004B6BCB" w:rsidRPr="007E46C8">
        <w:t>À</w:t>
      </w:r>
      <w:r w:rsidR="008376FB" w:rsidRPr="007E46C8">
        <w:t xml:space="preserve"> la session de</w:t>
      </w:r>
      <w:r w:rsidR="00A413C3" w:rsidRPr="007E46C8">
        <w:t xml:space="preserve"> </w:t>
      </w:r>
      <w:r w:rsidRPr="007E46C8">
        <w:t xml:space="preserve">2022 </w:t>
      </w:r>
      <w:r w:rsidR="008376FB" w:rsidRPr="007E46C8">
        <w:t>du Conseil</w:t>
      </w:r>
      <w:r w:rsidRPr="007E46C8">
        <w:t>,</w:t>
      </w:r>
      <w:r w:rsidR="008376FB" w:rsidRPr="007E46C8">
        <w:t xml:space="preserve"> il a</w:t>
      </w:r>
      <w:r w:rsidR="00A413C3" w:rsidRPr="007E46C8">
        <w:t xml:space="preserve"> </w:t>
      </w:r>
      <w:r w:rsidR="008376FB" w:rsidRPr="007E46C8">
        <w:t>été indiqué</w:t>
      </w:r>
      <w:r w:rsidR="00A413C3" w:rsidRPr="007E46C8">
        <w:t xml:space="preserve"> </w:t>
      </w:r>
      <w:r w:rsidR="008376FB" w:rsidRPr="007E46C8">
        <w:t>que le Bureau des radiocommunications,</w:t>
      </w:r>
      <w:r w:rsidR="00A413C3" w:rsidRPr="007E46C8">
        <w:t xml:space="preserve"> </w:t>
      </w:r>
      <w:r w:rsidR="008376FB" w:rsidRPr="007E46C8">
        <w:t xml:space="preserve">conjointement avec le </w:t>
      </w:r>
      <w:r w:rsidR="004B6BCB" w:rsidRPr="007E46C8">
        <w:t>s</w:t>
      </w:r>
      <w:r w:rsidR="008376FB" w:rsidRPr="007E46C8">
        <w:t>ecrétariat général</w:t>
      </w:r>
      <w:r w:rsidR="00A413C3" w:rsidRPr="007E46C8">
        <w:t xml:space="preserve">, </w:t>
      </w:r>
      <w:r w:rsidR="008376FB" w:rsidRPr="007E46C8">
        <w:t>déterminerait s'il conv</w:t>
      </w:r>
      <w:r w:rsidR="000478CB" w:rsidRPr="007E46C8">
        <w:t xml:space="preserve">ient </w:t>
      </w:r>
      <w:r w:rsidR="008376FB" w:rsidRPr="007E46C8">
        <w:t>d'envisager de nouvelles révisions de la Décision 482</w:t>
      </w:r>
      <w:r w:rsidR="004B6551" w:rsidRPr="007E46C8">
        <w:t>, afin de veiller à ce que</w:t>
      </w:r>
      <w:r w:rsidR="00A413C3" w:rsidRPr="007E46C8">
        <w:t xml:space="preserve"> </w:t>
      </w:r>
      <w:r w:rsidR="004B6551" w:rsidRPr="007E46C8">
        <w:t>les coûts associés au traitement</w:t>
      </w:r>
      <w:r w:rsidR="00A413C3" w:rsidRPr="007E46C8">
        <w:t xml:space="preserve"> </w:t>
      </w:r>
      <w:r w:rsidR="004B6551" w:rsidRPr="007E46C8">
        <w:t>des fiches de notification des réseaux à satellite fassent</w:t>
      </w:r>
      <w:r w:rsidR="00A413C3" w:rsidRPr="007E46C8">
        <w:t xml:space="preserve"> </w:t>
      </w:r>
      <w:r w:rsidR="004B6551" w:rsidRPr="007E46C8">
        <w:t>l'objet d'un recouvrement</w:t>
      </w:r>
      <w:r w:rsidR="00A413C3" w:rsidRPr="007E46C8">
        <w:t xml:space="preserve"> </w:t>
      </w:r>
      <w:r w:rsidR="004B6551" w:rsidRPr="007E46C8">
        <w:t>approprié</w:t>
      </w:r>
      <w:r w:rsidR="000478CB" w:rsidRPr="007E46C8">
        <w:t>. Cette évaluation</w:t>
      </w:r>
      <w:r w:rsidR="00A413C3" w:rsidRPr="007E46C8">
        <w:t xml:space="preserve"> </w:t>
      </w:r>
      <w:r w:rsidR="000478CB" w:rsidRPr="007E46C8">
        <w:t>figure dans l'</w:t>
      </w:r>
      <w:hyperlink w:anchor="Annex1" w:history="1">
        <w:r w:rsidR="000478CB" w:rsidRPr="007E46C8">
          <w:rPr>
            <w:rStyle w:val="Hyperlink"/>
          </w:rPr>
          <w:t>Annexe 1</w:t>
        </w:r>
      </w:hyperlink>
      <w:r w:rsidR="00A413C3" w:rsidRPr="007E46C8">
        <w:t xml:space="preserve"> </w:t>
      </w:r>
      <w:r w:rsidR="000478CB" w:rsidRPr="007E46C8">
        <w:t>du présent document.</w:t>
      </w:r>
    </w:p>
    <w:p w14:paraId="6C327125" w14:textId="40EB951A" w:rsidR="00B40A73" w:rsidRPr="007E46C8" w:rsidRDefault="00B40A73" w:rsidP="00A413C3">
      <w:pPr>
        <w:pStyle w:val="Heading1"/>
      </w:pPr>
      <w:r w:rsidRPr="007E46C8">
        <w:t>2</w:t>
      </w:r>
      <w:r w:rsidRPr="007E46C8">
        <w:tab/>
        <w:t>Conclusions</w:t>
      </w:r>
      <w:r w:rsidR="000478CB" w:rsidRPr="007E46C8">
        <w:t xml:space="preserve"> de la réunion de 2023 du Groupe consultatif des radiocommunications</w:t>
      </w:r>
    </w:p>
    <w:p w14:paraId="662B9233" w14:textId="28C3EF7F" w:rsidR="00B40A73" w:rsidRPr="007E46C8" w:rsidRDefault="00B40A73" w:rsidP="00A413C3">
      <w:pPr>
        <w:tabs>
          <w:tab w:val="clear" w:pos="567"/>
          <w:tab w:val="clear" w:pos="1134"/>
          <w:tab w:val="clear" w:pos="1701"/>
          <w:tab w:val="clear" w:pos="2268"/>
          <w:tab w:val="clear" w:pos="2835"/>
        </w:tabs>
        <w:snapToGrid w:val="0"/>
        <w:spacing w:after="120"/>
      </w:pPr>
      <w:r w:rsidRPr="007E46C8">
        <w:t>2.1</w:t>
      </w:r>
      <w:r w:rsidRPr="007E46C8">
        <w:tab/>
      </w:r>
      <w:r w:rsidR="000478CB" w:rsidRPr="007E46C8">
        <w:t>Le Groupe consultatif des radiocommunications (GCR)</w:t>
      </w:r>
      <w:r w:rsidR="00A413C3" w:rsidRPr="007E46C8">
        <w:t xml:space="preserve"> </w:t>
      </w:r>
      <w:r w:rsidR="000478CB" w:rsidRPr="007E46C8">
        <w:t>a également étudié la question</w:t>
      </w:r>
      <w:r w:rsidR="00A413C3" w:rsidRPr="007E46C8">
        <w:t xml:space="preserve"> </w:t>
      </w:r>
      <w:r w:rsidR="000478CB" w:rsidRPr="007E46C8">
        <w:t>de la pertinence</w:t>
      </w:r>
      <w:r w:rsidR="00A413C3" w:rsidRPr="007E46C8">
        <w:t xml:space="preserve"> </w:t>
      </w:r>
      <w:r w:rsidR="000478CB" w:rsidRPr="007E46C8">
        <w:t xml:space="preserve">de la version </w:t>
      </w:r>
      <w:r w:rsidR="008A2271" w:rsidRPr="007E46C8">
        <w:t xml:space="preserve">actuellement </w:t>
      </w:r>
      <w:r w:rsidR="000478CB" w:rsidRPr="007E46C8">
        <w:t>en vigueur</w:t>
      </w:r>
      <w:r w:rsidR="00A413C3" w:rsidRPr="007E46C8">
        <w:t xml:space="preserve"> </w:t>
      </w:r>
      <w:r w:rsidR="000478CB" w:rsidRPr="007E46C8">
        <w:t>de la Décision 482</w:t>
      </w:r>
      <w:r w:rsidR="00A413C3" w:rsidRPr="007E46C8">
        <w:t xml:space="preserve"> </w:t>
      </w:r>
      <w:r w:rsidR="000478CB" w:rsidRPr="007E46C8">
        <w:t>pour</w:t>
      </w:r>
      <w:r w:rsidR="00A413C3" w:rsidRPr="007E46C8">
        <w:t xml:space="preserve"> </w:t>
      </w:r>
      <w:r w:rsidR="000478CB" w:rsidRPr="007E46C8">
        <w:t>le recouvrement des coûts associés au traitement des fiches de notification des réseaux à satellite. Il est indiqué ce qui suit au</w:t>
      </w:r>
      <w:r w:rsidR="00A413C3" w:rsidRPr="007E46C8">
        <w:t xml:space="preserve"> </w:t>
      </w:r>
      <w:r w:rsidR="000478CB" w:rsidRPr="007E46C8">
        <w:t xml:space="preserve">point 5 du résumé des conclusions de la 30ème réunion du </w:t>
      </w:r>
      <w:proofErr w:type="gramStart"/>
      <w:r w:rsidR="000478CB" w:rsidRPr="007E46C8">
        <w:t>GCR</w:t>
      </w:r>
      <w:r w:rsidR="00A413C3" w:rsidRPr="007E46C8">
        <w:t>:</w:t>
      </w:r>
      <w:proofErr w:type="gramEnd"/>
    </w:p>
    <w:p w14:paraId="142D7A65" w14:textId="77777777" w:rsidR="004B6BCB" w:rsidRPr="007E46C8" w:rsidRDefault="004B6BCB" w:rsidP="00A413C3">
      <w:pPr>
        <w:tabs>
          <w:tab w:val="clear" w:pos="567"/>
          <w:tab w:val="clear" w:pos="1134"/>
          <w:tab w:val="clear" w:pos="1701"/>
          <w:tab w:val="clear" w:pos="2268"/>
          <w:tab w:val="clear" w:pos="2835"/>
        </w:tabs>
        <w:snapToGrid w:val="0"/>
        <w:spacing w:after="120"/>
        <w:ind w:left="720"/>
        <w:rPr>
          <w:i/>
          <w:iCs/>
        </w:rPr>
      </w:pPr>
      <w:r w:rsidRPr="007E46C8">
        <w:rPr>
          <w:i/>
          <w:iCs/>
        </w:rPr>
        <w:t>"</w:t>
      </w:r>
      <w:r w:rsidR="000478CB" w:rsidRPr="007E46C8">
        <w:rPr>
          <w:i/>
          <w:iCs/>
        </w:rPr>
        <w:t xml:space="preserve">Le GCR a pris note des renseignements fournis par le Directeur du BR au sujet des questions relatives au traitement des fiches de notification des réseaux à satellite, et notamment du fait qu'il est difficile de traiter les fiches de notification comportant des milliers de satellites sans disposer du temps nécessaire pour perfectionner les outils logiciels du BR. Le GCR est convenu que le BR ne disposait pas de suffisamment de ressources spécifiques pour mettre à jour et moderniser en permanence les applications logicielles du BR utilisées pour les fiches de notification des systèmes à </w:t>
      </w:r>
      <w:r w:rsidRPr="007E46C8">
        <w:rPr>
          <w:i/>
          <w:iCs/>
        </w:rPr>
        <w:br w:type="page"/>
      </w:r>
    </w:p>
    <w:p w14:paraId="39779D16" w14:textId="24C77DAF" w:rsidR="008A2271" w:rsidRPr="007E46C8" w:rsidRDefault="000478CB" w:rsidP="00A413C3">
      <w:pPr>
        <w:tabs>
          <w:tab w:val="clear" w:pos="567"/>
          <w:tab w:val="clear" w:pos="1134"/>
          <w:tab w:val="clear" w:pos="1701"/>
          <w:tab w:val="clear" w:pos="2268"/>
          <w:tab w:val="clear" w:pos="2835"/>
        </w:tabs>
        <w:snapToGrid w:val="0"/>
        <w:spacing w:after="120"/>
        <w:ind w:left="720"/>
        <w:rPr>
          <w:i/>
          <w:iCs/>
        </w:rPr>
      </w:pPr>
      <w:proofErr w:type="gramStart"/>
      <w:r w:rsidRPr="007E46C8">
        <w:rPr>
          <w:i/>
          <w:iCs/>
        </w:rPr>
        <w:lastRenderedPageBreak/>
        <w:t>satellites</w:t>
      </w:r>
      <w:proofErr w:type="gramEnd"/>
      <w:r w:rsidRPr="007E46C8">
        <w:rPr>
          <w:i/>
          <w:iCs/>
        </w:rPr>
        <w:t xml:space="preserve"> et des systèmes de Terre. Le GCR a également examiné les résultats de la session de 2022 du Conseil concernant l'examen de la méthode de recouvrement des coûts et la création éventuelle d'un Fonds pour l'élaboration de logiciels par le Bureau.</w:t>
      </w:r>
    </w:p>
    <w:p w14:paraId="4E3784B3" w14:textId="4F68DB2D" w:rsidR="00B40A73" w:rsidRPr="007E46C8" w:rsidRDefault="000478CB" w:rsidP="00A413C3">
      <w:pPr>
        <w:tabs>
          <w:tab w:val="clear" w:pos="567"/>
          <w:tab w:val="clear" w:pos="1134"/>
          <w:tab w:val="clear" w:pos="1701"/>
          <w:tab w:val="clear" w:pos="2268"/>
          <w:tab w:val="clear" w:pos="2835"/>
        </w:tabs>
        <w:snapToGrid w:val="0"/>
        <w:spacing w:after="120"/>
        <w:ind w:left="720"/>
        <w:rPr>
          <w:i/>
          <w:iCs/>
        </w:rPr>
      </w:pPr>
      <w:r w:rsidRPr="007E46C8">
        <w:rPr>
          <w:i/>
          <w:iCs/>
        </w:rPr>
        <w:t>Le GCR a recommandé au Directeur de demander au Conseil, à sa session de 2023, de réactiver le Groupe d'experts chargé d'examiner la Décision 482 du Conseil (modifiée en 202</w:t>
      </w:r>
      <w:r w:rsidR="008A2271" w:rsidRPr="007E46C8">
        <w:rPr>
          <w:i/>
          <w:iCs/>
        </w:rPr>
        <w:t>0</w:t>
      </w:r>
      <w:r w:rsidRPr="007E46C8">
        <w:rPr>
          <w:i/>
          <w:iCs/>
        </w:rPr>
        <w:t xml:space="preserve">), afin qu'il puisse commencer ses travaux en vue de soumettre au Conseil à sa session de 2024 une recommandation sur l'augmentation des coûts à la charge du BR pour traiter les fiches de notification dont la taille ou la complexité, ainsi que la soumission à nouveau du même système, sont telles que la méthode actuelle ne permet pas de </w:t>
      </w:r>
      <w:r w:rsidR="008A2271" w:rsidRPr="007E46C8">
        <w:rPr>
          <w:i/>
          <w:iCs/>
        </w:rPr>
        <w:t>rendre compte</w:t>
      </w:r>
      <w:r w:rsidR="00A413C3" w:rsidRPr="007E46C8">
        <w:rPr>
          <w:i/>
          <w:iCs/>
        </w:rPr>
        <w:t xml:space="preserve"> </w:t>
      </w:r>
      <w:r w:rsidRPr="007E46C8">
        <w:rPr>
          <w:i/>
          <w:iCs/>
        </w:rPr>
        <w:t xml:space="preserve">avec précision </w:t>
      </w:r>
      <w:r w:rsidR="008A2271" w:rsidRPr="007E46C8">
        <w:rPr>
          <w:i/>
          <w:iCs/>
        </w:rPr>
        <w:t>d</w:t>
      </w:r>
      <w:r w:rsidRPr="007E46C8">
        <w:rPr>
          <w:i/>
          <w:iCs/>
        </w:rPr>
        <w:t>es coûts de ces fiches</w:t>
      </w:r>
      <w:r w:rsidR="004B6BCB" w:rsidRPr="007E46C8">
        <w:rPr>
          <w:i/>
          <w:iCs/>
        </w:rPr>
        <w:t>."</w:t>
      </w:r>
    </w:p>
    <w:p w14:paraId="42EA9747" w14:textId="77777777" w:rsidR="00B40A73" w:rsidRPr="007E46C8" w:rsidRDefault="00B40A73" w:rsidP="00A413C3">
      <w:pPr>
        <w:pStyle w:val="Heading1"/>
      </w:pPr>
      <w:r w:rsidRPr="007E46C8">
        <w:t>3</w:t>
      </w:r>
      <w:r w:rsidRPr="007E46C8">
        <w:tab/>
        <w:t>Conclusion</w:t>
      </w:r>
    </w:p>
    <w:p w14:paraId="5483E1BC" w14:textId="0412739A" w:rsidR="000478CB" w:rsidRPr="007E46C8" w:rsidRDefault="000478CB" w:rsidP="00A413C3">
      <w:r w:rsidRPr="007E46C8">
        <w:t xml:space="preserve">Le Conseil est </w:t>
      </w:r>
      <w:proofErr w:type="gramStart"/>
      <w:r w:rsidRPr="007E46C8">
        <w:t>invité</w:t>
      </w:r>
      <w:r w:rsidR="00A413C3" w:rsidRPr="007E46C8">
        <w:t>:</w:t>
      </w:r>
      <w:proofErr w:type="gramEnd"/>
    </w:p>
    <w:p w14:paraId="6277C4EF" w14:textId="33A5635D" w:rsidR="000478CB" w:rsidRPr="007E46C8" w:rsidRDefault="004B6BCB" w:rsidP="004B6BCB">
      <w:r w:rsidRPr="007E46C8">
        <w:t>1</w:t>
      </w:r>
      <w:r w:rsidRPr="007E46C8">
        <w:tab/>
      </w:r>
      <w:r w:rsidR="000478CB" w:rsidRPr="007E46C8">
        <w:rPr>
          <w:b/>
          <w:bCs/>
        </w:rPr>
        <w:t>à examiner l'étude</w:t>
      </w:r>
      <w:r w:rsidR="000478CB" w:rsidRPr="007E46C8">
        <w:t xml:space="preserve"> présentée dans l'</w:t>
      </w:r>
      <w:hyperlink w:anchor="Annex1" w:history="1">
        <w:r w:rsidR="000478CB" w:rsidRPr="007E46C8">
          <w:rPr>
            <w:rStyle w:val="Hyperlink"/>
          </w:rPr>
          <w:t>Annexe 1</w:t>
        </w:r>
      </w:hyperlink>
      <w:r w:rsidR="00A413C3" w:rsidRPr="007E46C8">
        <w:t xml:space="preserve"> </w:t>
      </w:r>
      <w:r w:rsidR="000478CB" w:rsidRPr="007E46C8">
        <w:t xml:space="preserve">du présent rapport, concernant la mesure dans laquelle la mise en </w:t>
      </w:r>
      <w:r w:rsidRPr="007E46C8">
        <w:t>œuvre</w:t>
      </w:r>
      <w:r w:rsidR="000478CB" w:rsidRPr="007E46C8">
        <w:t xml:space="preserve"> de la Décision 482 du Conseil (C01,</w:t>
      </w:r>
      <w:r w:rsidR="00A413C3" w:rsidRPr="007E46C8">
        <w:t xml:space="preserve"> </w:t>
      </w:r>
      <w:r w:rsidR="000478CB" w:rsidRPr="007E46C8">
        <w:t>modifiée pour la dernière</w:t>
      </w:r>
      <w:r w:rsidR="00A413C3" w:rsidRPr="007E46C8">
        <w:t xml:space="preserve"> </w:t>
      </w:r>
      <w:r w:rsidR="000478CB" w:rsidRPr="007E46C8">
        <w:t>fois en 2020</w:t>
      </w:r>
      <w:r w:rsidR="00A413C3" w:rsidRPr="007E46C8">
        <w:t xml:space="preserve">) </w:t>
      </w:r>
      <w:r w:rsidR="000478CB" w:rsidRPr="007E46C8">
        <w:t xml:space="preserve">permet de couvrir les coûts associés au traitement des fiches de notification des réseaux à </w:t>
      </w:r>
      <w:proofErr w:type="gramStart"/>
      <w:r w:rsidR="000478CB" w:rsidRPr="007E46C8">
        <w:t>satellite;</w:t>
      </w:r>
      <w:proofErr w:type="gramEnd"/>
    </w:p>
    <w:p w14:paraId="4B41B5FB" w14:textId="0183EADB" w:rsidR="00B40A73" w:rsidRPr="007E46C8" w:rsidRDefault="000478CB" w:rsidP="004B6BCB">
      <w:r w:rsidRPr="007E46C8">
        <w:t>2</w:t>
      </w:r>
      <w:r w:rsidRPr="007E46C8">
        <w:tab/>
      </w:r>
      <w:r w:rsidRPr="007E46C8">
        <w:rPr>
          <w:b/>
          <w:bCs/>
        </w:rPr>
        <w:t>à</w:t>
      </w:r>
      <w:r w:rsidR="00A413C3" w:rsidRPr="007E46C8">
        <w:rPr>
          <w:b/>
          <w:bCs/>
        </w:rPr>
        <w:t xml:space="preserve"> </w:t>
      </w:r>
      <w:r w:rsidRPr="007E46C8">
        <w:rPr>
          <w:b/>
          <w:bCs/>
        </w:rPr>
        <w:t>créer un Groupe d'experts du Conseil sur la Décision 482</w:t>
      </w:r>
      <w:r w:rsidRPr="007E46C8">
        <w:t xml:space="preserve"> </w:t>
      </w:r>
      <w:r w:rsidR="00A413C3" w:rsidRPr="007E46C8">
        <w:t>(</w:t>
      </w:r>
      <w:r w:rsidR="008A2271" w:rsidRPr="007E46C8">
        <w:t>un</w:t>
      </w:r>
      <w:r w:rsidR="00A413C3" w:rsidRPr="007E46C8">
        <w:t xml:space="preserve"> </w:t>
      </w:r>
      <w:r w:rsidRPr="007E46C8">
        <w:t>projet de mandat figure dans l'</w:t>
      </w:r>
      <w:hyperlink w:anchor="Annexe2" w:history="1">
        <w:r w:rsidRPr="007E46C8">
          <w:rPr>
            <w:rStyle w:val="Hyperlink"/>
          </w:rPr>
          <w:t>Annexe 2</w:t>
        </w:r>
      </w:hyperlink>
      <w:r w:rsidR="00A413C3" w:rsidRPr="007E46C8">
        <w:t>)</w:t>
      </w:r>
      <w:r w:rsidRPr="007E46C8">
        <w:t>.</w:t>
      </w:r>
    </w:p>
    <w:p w14:paraId="32EF46B6" w14:textId="77777777" w:rsidR="00B40A73" w:rsidRPr="007E46C8" w:rsidRDefault="00B40A73" w:rsidP="00A413C3">
      <w:pPr>
        <w:tabs>
          <w:tab w:val="clear" w:pos="567"/>
          <w:tab w:val="clear" w:pos="1134"/>
          <w:tab w:val="clear" w:pos="1701"/>
          <w:tab w:val="clear" w:pos="2268"/>
          <w:tab w:val="clear" w:pos="2835"/>
        </w:tabs>
        <w:overflowPunct/>
        <w:autoSpaceDE/>
        <w:autoSpaceDN/>
        <w:adjustRightInd/>
        <w:spacing w:before="0"/>
        <w:textAlignment w:val="auto"/>
      </w:pPr>
      <w:r w:rsidRPr="007E46C8">
        <w:br w:type="page"/>
      </w:r>
    </w:p>
    <w:p w14:paraId="61B03BF3" w14:textId="4A7CAC65" w:rsidR="00FC1AF9" w:rsidRPr="007E46C8" w:rsidRDefault="00FC1AF9" w:rsidP="00A413C3">
      <w:pPr>
        <w:pStyle w:val="AnnexNo"/>
      </w:pPr>
      <w:bookmarkStart w:id="2" w:name="Annex1"/>
      <w:r w:rsidRPr="007E46C8">
        <w:lastRenderedPageBreak/>
        <w:t>Annexe 1</w:t>
      </w:r>
      <w:bookmarkEnd w:id="2"/>
    </w:p>
    <w:p w14:paraId="40F8B271" w14:textId="65845710" w:rsidR="00FC1AF9" w:rsidRPr="007E46C8" w:rsidRDefault="00966A66" w:rsidP="00A413C3">
      <w:pPr>
        <w:pStyle w:val="Annextitle"/>
      </w:pPr>
      <w:bookmarkStart w:id="3" w:name="_Hlk134634550"/>
      <w:r w:rsidRPr="007E46C8">
        <w:t>Étude</w:t>
      </w:r>
      <w:r w:rsidR="000478CB" w:rsidRPr="007E46C8">
        <w:t xml:space="preserve"> sur la mesure dans laquelle la mise en </w:t>
      </w:r>
      <w:r w:rsidRPr="007E46C8">
        <w:t>œuvre</w:t>
      </w:r>
      <w:r w:rsidR="000478CB" w:rsidRPr="007E46C8">
        <w:t xml:space="preserve"> de la Décision 482 du Conseil (C01,</w:t>
      </w:r>
      <w:r w:rsidR="00A413C3" w:rsidRPr="007E46C8">
        <w:t xml:space="preserve"> </w:t>
      </w:r>
      <w:r w:rsidR="000478CB" w:rsidRPr="007E46C8">
        <w:t>modifiée pour la dernière</w:t>
      </w:r>
      <w:r w:rsidR="00A413C3" w:rsidRPr="007E46C8">
        <w:t xml:space="preserve"> </w:t>
      </w:r>
      <w:r w:rsidR="000478CB" w:rsidRPr="007E46C8">
        <w:t>fois en 2020</w:t>
      </w:r>
      <w:r w:rsidR="00A413C3" w:rsidRPr="007E46C8">
        <w:t xml:space="preserve">) </w:t>
      </w:r>
      <w:r w:rsidR="000478CB" w:rsidRPr="007E46C8">
        <w:t>permet de</w:t>
      </w:r>
      <w:r w:rsidRPr="007E46C8">
        <w:br/>
      </w:r>
      <w:r w:rsidR="000478CB" w:rsidRPr="007E46C8">
        <w:t>couvrir</w:t>
      </w:r>
      <w:r w:rsidRPr="007E46C8">
        <w:t xml:space="preserve"> </w:t>
      </w:r>
      <w:r w:rsidR="000478CB" w:rsidRPr="007E46C8">
        <w:t>les coûts associés au traitement des fiches de</w:t>
      </w:r>
      <w:r w:rsidRPr="007E46C8">
        <w:br/>
      </w:r>
      <w:r w:rsidR="000478CB" w:rsidRPr="007E46C8">
        <w:t>notification</w:t>
      </w:r>
      <w:r w:rsidRPr="007E46C8">
        <w:t xml:space="preserve"> </w:t>
      </w:r>
      <w:r w:rsidR="000478CB" w:rsidRPr="007E46C8">
        <w:t>des réseaux à satellite</w:t>
      </w:r>
      <w:bookmarkEnd w:id="3"/>
    </w:p>
    <w:p w14:paraId="1FE278BD" w14:textId="210CE388" w:rsidR="00FC1AF9" w:rsidRPr="007E46C8" w:rsidRDefault="00FC1AF9" w:rsidP="00A413C3">
      <w:pPr>
        <w:pStyle w:val="Heading1"/>
      </w:pPr>
      <w:r w:rsidRPr="007E46C8">
        <w:t>1</w:t>
      </w:r>
      <w:r w:rsidRPr="007E46C8">
        <w:tab/>
      </w:r>
      <w:r w:rsidR="000A6B51" w:rsidRPr="007E46C8">
        <w:t>Coûts complets afférents au</w:t>
      </w:r>
      <w:r w:rsidR="00A413C3" w:rsidRPr="007E46C8">
        <w:t xml:space="preserve"> </w:t>
      </w:r>
      <w:r w:rsidR="000A6B51" w:rsidRPr="007E46C8">
        <w:t>traitement des fiches de notification des réseaux à satellite</w:t>
      </w:r>
    </w:p>
    <w:p w14:paraId="4E3E9C69" w14:textId="67F98B29" w:rsidR="00FC1AF9" w:rsidRPr="007E46C8" w:rsidRDefault="00966A66" w:rsidP="00A413C3">
      <w:r w:rsidRPr="007E46C8">
        <w:t>À</w:t>
      </w:r>
      <w:r w:rsidR="00EF6CF6" w:rsidRPr="007E46C8">
        <w:t xml:space="preserve"> la session de</w:t>
      </w:r>
      <w:r w:rsidR="00A413C3" w:rsidRPr="007E46C8">
        <w:t xml:space="preserve"> </w:t>
      </w:r>
      <w:r w:rsidR="00EF6CF6" w:rsidRPr="007E46C8">
        <w:t>2022 du Conseil</w:t>
      </w:r>
      <w:r w:rsidR="000A6B51" w:rsidRPr="007E46C8">
        <w:t xml:space="preserve"> de l</w:t>
      </w:r>
      <w:r w:rsidR="00F42238" w:rsidRPr="007E46C8">
        <w:t>'</w:t>
      </w:r>
      <w:r w:rsidR="000A6B51" w:rsidRPr="007E46C8">
        <w:t>UIT</w:t>
      </w:r>
      <w:r w:rsidR="00EF6CF6" w:rsidRPr="007E46C8">
        <w:t>, il a</w:t>
      </w:r>
      <w:r w:rsidR="00A413C3" w:rsidRPr="007E46C8">
        <w:t xml:space="preserve"> </w:t>
      </w:r>
      <w:r w:rsidR="00EF6CF6" w:rsidRPr="007E46C8">
        <w:t>été indiqué</w:t>
      </w:r>
      <w:r w:rsidR="00A413C3" w:rsidRPr="007E46C8">
        <w:t xml:space="preserve"> </w:t>
      </w:r>
      <w:r w:rsidR="00EF6CF6" w:rsidRPr="007E46C8">
        <w:t>qu</w:t>
      </w:r>
      <w:r w:rsidR="00F42238" w:rsidRPr="007E46C8">
        <w:t>'</w:t>
      </w:r>
      <w:r w:rsidR="00EF6CF6" w:rsidRPr="007E46C8">
        <w:t>une étude serait menée pour</w:t>
      </w:r>
      <w:r w:rsidR="00A413C3" w:rsidRPr="007E46C8">
        <w:t xml:space="preserve"> </w:t>
      </w:r>
      <w:r w:rsidR="00EF6CF6" w:rsidRPr="007E46C8">
        <w:t>déterminer s'il conv</w:t>
      </w:r>
      <w:r w:rsidR="000A6B51" w:rsidRPr="007E46C8">
        <w:t xml:space="preserve">enait </w:t>
      </w:r>
      <w:r w:rsidR="00EF6CF6" w:rsidRPr="007E46C8">
        <w:t>d'envisager de nouvelles révisions de la Décision 482, afin de veiller à ce que</w:t>
      </w:r>
      <w:r w:rsidR="00A413C3" w:rsidRPr="007E46C8">
        <w:t xml:space="preserve"> </w:t>
      </w:r>
      <w:r w:rsidR="00EF6CF6" w:rsidRPr="007E46C8">
        <w:t>les coûts associés au traitement</w:t>
      </w:r>
      <w:r w:rsidR="00A413C3" w:rsidRPr="007E46C8">
        <w:t xml:space="preserve"> </w:t>
      </w:r>
      <w:r w:rsidR="00EF6CF6" w:rsidRPr="007E46C8">
        <w:t>des fiches de notification des réseaux à satellite fassent</w:t>
      </w:r>
      <w:r w:rsidR="00A413C3" w:rsidRPr="007E46C8">
        <w:t xml:space="preserve"> </w:t>
      </w:r>
      <w:r w:rsidR="00EF6CF6" w:rsidRPr="007E46C8">
        <w:t>l'objet d'un recouvrement</w:t>
      </w:r>
      <w:r w:rsidR="00A413C3" w:rsidRPr="007E46C8">
        <w:t xml:space="preserve"> </w:t>
      </w:r>
      <w:r w:rsidR="00EF6CF6" w:rsidRPr="007E46C8">
        <w:t xml:space="preserve">approprié. </w:t>
      </w:r>
      <w:r w:rsidR="000A6B51" w:rsidRPr="007E46C8">
        <w:t>Lorsqu</w:t>
      </w:r>
      <w:r w:rsidR="00F42238" w:rsidRPr="007E46C8">
        <w:t>'</w:t>
      </w:r>
      <w:r w:rsidR="000A6B51" w:rsidRPr="007E46C8">
        <w:t>il a procédé à</w:t>
      </w:r>
      <w:r w:rsidR="00A413C3" w:rsidRPr="007E46C8">
        <w:t xml:space="preserve"> </w:t>
      </w:r>
      <w:r w:rsidR="000A6B51" w:rsidRPr="007E46C8">
        <w:t>cette étude, le Bureau des radiocommunications a recensé les activités qu'il mène dans le cadre du traitement de chaque fiche de notification de réseau à satellite qui ne sont pas prises en compte</w:t>
      </w:r>
      <w:r w:rsidR="00A413C3" w:rsidRPr="007E46C8">
        <w:t xml:space="preserve"> </w:t>
      </w:r>
      <w:r w:rsidR="000A6B51" w:rsidRPr="007E46C8">
        <w:t>dans la Décision 482</w:t>
      </w:r>
      <w:r w:rsidR="00A413C3" w:rsidRPr="007E46C8">
        <w:t xml:space="preserve"> </w:t>
      </w:r>
      <w:r w:rsidR="000A6B51" w:rsidRPr="007E46C8">
        <w:t>du Conseil (C01, modifiée pour la dernière fois en 2020)</w:t>
      </w:r>
      <w:r w:rsidR="00A413C3" w:rsidRPr="007E46C8">
        <w:t>,</w:t>
      </w:r>
      <w:r w:rsidR="000A6B51" w:rsidRPr="007E46C8">
        <w:t xml:space="preserve"> et pour lesquelles le recouvrement des coûts n'est donc pas appliqué. Ces activités sont présentées dans les </w:t>
      </w:r>
      <w:r w:rsidR="008A2271" w:rsidRPr="007E46C8">
        <w:t xml:space="preserve">paragraphes </w:t>
      </w:r>
      <w:r w:rsidR="000A6B51" w:rsidRPr="007E46C8">
        <w:t>2 et 3 du présent rapport.</w:t>
      </w:r>
    </w:p>
    <w:p w14:paraId="5303595C" w14:textId="30A0C352" w:rsidR="00FC1AF9" w:rsidRPr="007E46C8" w:rsidRDefault="00966A66" w:rsidP="00966A66">
      <w:pPr>
        <w:pStyle w:val="Heading1"/>
      </w:pPr>
      <w:r w:rsidRPr="007E46C8">
        <w:t>2</w:t>
      </w:r>
      <w:r w:rsidRPr="007E46C8">
        <w:tab/>
      </w:r>
      <w:r w:rsidR="000A6B51" w:rsidRPr="007E46C8">
        <w:t>Activités relatives au traitement des fiches de notification des réseaux à satellite</w:t>
      </w:r>
      <w:r w:rsidR="008A2271" w:rsidRPr="007E46C8">
        <w:t xml:space="preserve"> qui ne sont</w:t>
      </w:r>
      <w:r w:rsidR="00A413C3" w:rsidRPr="007E46C8">
        <w:t xml:space="preserve"> </w:t>
      </w:r>
      <w:r w:rsidR="008A2271" w:rsidRPr="007E46C8">
        <w:t>actuellement pas</w:t>
      </w:r>
      <w:r w:rsidR="00A413C3" w:rsidRPr="007E46C8">
        <w:t xml:space="preserve"> </w:t>
      </w:r>
      <w:r w:rsidR="000A6B51" w:rsidRPr="007E46C8">
        <w:t>prises en compte</w:t>
      </w:r>
      <w:r w:rsidR="00A413C3" w:rsidRPr="007E46C8">
        <w:t xml:space="preserve"> </w:t>
      </w:r>
      <w:r w:rsidR="000A6B51" w:rsidRPr="007E46C8">
        <w:t>dans la Décision</w:t>
      </w:r>
      <w:r w:rsidRPr="007E46C8">
        <w:t> </w:t>
      </w:r>
      <w:r w:rsidR="000A6B51" w:rsidRPr="007E46C8">
        <w:t>482</w:t>
      </w:r>
    </w:p>
    <w:p w14:paraId="428809DF" w14:textId="12E91591" w:rsidR="00FC1AF9" w:rsidRPr="007E46C8" w:rsidRDefault="00FC1AF9" w:rsidP="00A413C3">
      <w:r w:rsidRPr="007E46C8">
        <w:t>2.1</w:t>
      </w:r>
      <w:r w:rsidRPr="007E46C8">
        <w:tab/>
      </w:r>
      <w:r w:rsidR="00E73877" w:rsidRPr="007E46C8">
        <w:rPr>
          <w:u w:val="single"/>
        </w:rPr>
        <w:t>Soumissions ne donnant pas lieu à des publications</w:t>
      </w:r>
    </w:p>
    <w:p w14:paraId="77EF759E" w14:textId="4BB4EB03" w:rsidR="00FC1AF9" w:rsidRPr="007E46C8" w:rsidRDefault="000A6B51" w:rsidP="00A413C3">
      <w:r w:rsidRPr="007E46C8">
        <w:t>Aux points 2</w:t>
      </w:r>
      <w:r w:rsidRPr="007E46C8">
        <w:rPr>
          <w:i/>
          <w:iCs/>
        </w:rPr>
        <w:t>f)</w:t>
      </w:r>
      <w:r w:rsidRPr="007E46C8">
        <w:t xml:space="preserve"> à 2</w:t>
      </w:r>
      <w:r w:rsidRPr="007E46C8">
        <w:rPr>
          <w:i/>
          <w:iCs/>
        </w:rPr>
        <w:t>m)</w:t>
      </w:r>
      <w:r w:rsidRPr="007E46C8">
        <w:t xml:space="preserve"> et au point 9 du </w:t>
      </w:r>
      <w:r w:rsidRPr="007E46C8">
        <w:rPr>
          <w:i/>
          <w:iCs/>
        </w:rPr>
        <w:t>décide</w:t>
      </w:r>
      <w:r w:rsidRPr="007E46C8">
        <w:t xml:space="preserve"> de la Décision 482</w:t>
      </w:r>
      <w:r w:rsidR="00A413C3" w:rsidRPr="007E46C8">
        <w:t xml:space="preserve"> </w:t>
      </w:r>
      <w:r w:rsidR="00FC1AF9" w:rsidRPr="007E46C8">
        <w:t xml:space="preserve">(C01, </w:t>
      </w:r>
      <w:r w:rsidRPr="007E46C8">
        <w:t>modifiée pour la dernière fois en 2020</w:t>
      </w:r>
      <w:r w:rsidR="00FC1AF9" w:rsidRPr="007E46C8">
        <w:t xml:space="preserve">), </w:t>
      </w:r>
      <w:r w:rsidR="00C52396" w:rsidRPr="007E46C8">
        <w:t>il est indiqué</w:t>
      </w:r>
      <w:r w:rsidR="00A413C3" w:rsidRPr="007E46C8">
        <w:t xml:space="preserve"> </w:t>
      </w:r>
      <w:r w:rsidR="00C52396" w:rsidRPr="007E46C8">
        <w:t>que le droit à acquitter pour le traitement de la fiche de notification</w:t>
      </w:r>
      <w:r w:rsidR="00A413C3" w:rsidRPr="007E46C8">
        <w:t xml:space="preserve"> </w:t>
      </w:r>
      <w:r w:rsidR="004B6BCB" w:rsidRPr="007E46C8">
        <w:t>"</w:t>
      </w:r>
      <w:r w:rsidRPr="007E46C8">
        <w:t>est exigible après la réception de la fiche de notification</w:t>
      </w:r>
      <w:r w:rsidR="00C37298" w:rsidRPr="007E46C8">
        <w:t>"</w:t>
      </w:r>
      <w:r w:rsidR="00FC1AF9" w:rsidRPr="007E46C8">
        <w:t xml:space="preserve"> </w:t>
      </w:r>
      <w:r w:rsidR="00C52396" w:rsidRPr="007E46C8">
        <w:t>ou que la</w:t>
      </w:r>
      <w:r w:rsidR="00A413C3" w:rsidRPr="007E46C8">
        <w:t xml:space="preserve"> </w:t>
      </w:r>
      <w:r w:rsidR="00C52396" w:rsidRPr="007E46C8">
        <w:t xml:space="preserve">facture est établie </w:t>
      </w:r>
      <w:r w:rsidR="00C37298" w:rsidRPr="007E46C8">
        <w:t>"</w:t>
      </w:r>
      <w:r w:rsidR="00C52396" w:rsidRPr="007E46C8">
        <w:t>dès réception de la fiche de notification</w:t>
      </w:r>
      <w:r w:rsidR="004B6BCB" w:rsidRPr="007E46C8">
        <w:t>"</w:t>
      </w:r>
      <w:r w:rsidR="00A413C3" w:rsidRPr="007E46C8">
        <w:t>.</w:t>
      </w:r>
      <w:r w:rsidR="00C52396" w:rsidRPr="007E46C8">
        <w:t xml:space="preserve"> Sachant qu'aux points 2</w:t>
      </w:r>
      <w:r w:rsidR="00C52396" w:rsidRPr="007E46C8">
        <w:rPr>
          <w:i/>
          <w:iCs/>
        </w:rPr>
        <w:t>a)</w:t>
      </w:r>
      <w:r w:rsidR="00C52396" w:rsidRPr="007E46C8">
        <w:t xml:space="preserve"> à 2</w:t>
      </w:r>
      <w:r w:rsidR="00C52396" w:rsidRPr="007E46C8">
        <w:rPr>
          <w:i/>
          <w:iCs/>
        </w:rPr>
        <w:t>e)</w:t>
      </w:r>
      <w:r w:rsidR="00C52396" w:rsidRPr="007E46C8">
        <w:t xml:space="preserve"> du </w:t>
      </w:r>
      <w:r w:rsidR="00C52396" w:rsidRPr="007E46C8">
        <w:rPr>
          <w:i/>
          <w:iCs/>
        </w:rPr>
        <w:t>décide</w:t>
      </w:r>
      <w:r w:rsidR="00C52396" w:rsidRPr="007E46C8">
        <w:t xml:space="preserve">, il est fait mention de la </w:t>
      </w:r>
      <w:r w:rsidR="00C37298" w:rsidRPr="007E46C8">
        <w:t>"</w:t>
      </w:r>
      <w:r w:rsidR="00C52396" w:rsidRPr="007E46C8">
        <w:t>date de réception</w:t>
      </w:r>
      <w:r w:rsidR="00C37298" w:rsidRPr="007E46C8">
        <w:t>"</w:t>
      </w:r>
      <w:r w:rsidR="00C52396" w:rsidRPr="007E46C8">
        <w:t xml:space="preserve"> et de la </w:t>
      </w:r>
      <w:r w:rsidR="00C37298" w:rsidRPr="007E46C8">
        <w:t>"</w:t>
      </w:r>
      <w:r w:rsidR="00C52396" w:rsidRPr="007E46C8">
        <w:t>publication de la fiche de notification</w:t>
      </w:r>
      <w:r w:rsidR="00C37298" w:rsidRPr="007E46C8">
        <w:t>"</w:t>
      </w:r>
      <w:r w:rsidR="00C52396" w:rsidRPr="007E46C8">
        <w:t xml:space="preserve">, la pratique suivie pour la mise en </w:t>
      </w:r>
      <w:r w:rsidR="00C37298" w:rsidRPr="007E46C8">
        <w:t>œuvre</w:t>
      </w:r>
      <w:r w:rsidR="00C52396" w:rsidRPr="007E46C8">
        <w:t xml:space="preserve"> des points 2</w:t>
      </w:r>
      <w:r w:rsidR="00C52396" w:rsidRPr="007E46C8">
        <w:rPr>
          <w:i/>
          <w:iCs/>
        </w:rPr>
        <w:t>f)</w:t>
      </w:r>
      <w:r w:rsidR="00C52396" w:rsidRPr="007E46C8">
        <w:t xml:space="preserve"> à 2</w:t>
      </w:r>
      <w:r w:rsidR="00C52396" w:rsidRPr="007E46C8">
        <w:rPr>
          <w:i/>
          <w:iCs/>
        </w:rPr>
        <w:t>m</w:t>
      </w:r>
      <w:r w:rsidR="00C37298" w:rsidRPr="007E46C8">
        <w:rPr>
          <w:i/>
          <w:iCs/>
        </w:rPr>
        <w:t>)</w:t>
      </w:r>
      <w:r w:rsidR="00C52396" w:rsidRPr="007E46C8">
        <w:t xml:space="preserve"> du </w:t>
      </w:r>
      <w:r w:rsidR="00C52396" w:rsidRPr="007E46C8">
        <w:rPr>
          <w:i/>
          <w:iCs/>
        </w:rPr>
        <w:t>décide</w:t>
      </w:r>
      <w:r w:rsidR="00C52396" w:rsidRPr="007E46C8">
        <w:t xml:space="preserve"> a consisté à</w:t>
      </w:r>
      <w:r w:rsidR="00A413C3" w:rsidRPr="007E46C8">
        <w:t xml:space="preserve"> </w:t>
      </w:r>
      <w:r w:rsidR="00C52396" w:rsidRPr="007E46C8">
        <w:t>ne facturer aucun droit pour le traitement des</w:t>
      </w:r>
      <w:r w:rsidR="00A413C3" w:rsidRPr="007E46C8">
        <w:t xml:space="preserve"> </w:t>
      </w:r>
      <w:r w:rsidR="00C52396" w:rsidRPr="007E46C8">
        <w:t>fiches de notification de réseaux à satellite qui ne sont pas recevables par le Bureau des radiocommunications,</w:t>
      </w:r>
      <w:r w:rsidR="00A413C3" w:rsidRPr="007E46C8">
        <w:t xml:space="preserve"> </w:t>
      </w:r>
      <w:r w:rsidR="00C52396" w:rsidRPr="007E46C8">
        <w:t>la réception effective de la fiche de notification étant dès lors identifiée</w:t>
      </w:r>
      <w:r w:rsidR="00A413C3" w:rsidRPr="007E46C8">
        <w:t xml:space="preserve"> </w:t>
      </w:r>
      <w:r w:rsidR="00C52396" w:rsidRPr="007E46C8">
        <w:t>en fonction de sa recevabilité sur le plan</w:t>
      </w:r>
      <w:r w:rsidR="00A413C3" w:rsidRPr="007E46C8">
        <w:t xml:space="preserve"> </w:t>
      </w:r>
      <w:r w:rsidR="000073E3" w:rsidRPr="007E46C8">
        <w:t>réglementaire. Conformément à la Règle de procédure relative à la recevabilité des fiches de notification, il existe</w:t>
      </w:r>
      <w:r w:rsidR="00A413C3" w:rsidRPr="007E46C8">
        <w:t xml:space="preserve"> </w:t>
      </w:r>
      <w:r w:rsidR="000073E3" w:rsidRPr="007E46C8">
        <w:t>cinq cas</w:t>
      </w:r>
      <w:r w:rsidR="00A413C3" w:rsidRPr="007E46C8">
        <w:t xml:space="preserve"> </w:t>
      </w:r>
      <w:r w:rsidR="000073E3" w:rsidRPr="007E46C8">
        <w:t>dans</w:t>
      </w:r>
      <w:r w:rsidR="00A413C3" w:rsidRPr="007E46C8">
        <w:t xml:space="preserve"> </w:t>
      </w:r>
      <w:r w:rsidR="000073E3" w:rsidRPr="007E46C8">
        <w:t>lesquels</w:t>
      </w:r>
      <w:r w:rsidR="00A413C3" w:rsidRPr="007E46C8">
        <w:t xml:space="preserve"> </w:t>
      </w:r>
      <w:r w:rsidR="00E73877" w:rsidRPr="007E46C8">
        <w:t>une fiche de notification</w:t>
      </w:r>
      <w:r w:rsidR="00A413C3" w:rsidRPr="007E46C8">
        <w:t xml:space="preserve"> </w:t>
      </w:r>
      <w:r w:rsidR="00732F33" w:rsidRPr="007E46C8">
        <w:t xml:space="preserve">devrait être considérée </w:t>
      </w:r>
      <w:r w:rsidR="000073E3" w:rsidRPr="007E46C8">
        <w:t xml:space="preserve">comme </w:t>
      </w:r>
      <w:r w:rsidR="00C37298" w:rsidRPr="007E46C8">
        <w:t>"</w:t>
      </w:r>
      <w:r w:rsidR="000073E3" w:rsidRPr="007E46C8">
        <w:t>non recevable</w:t>
      </w:r>
      <w:proofErr w:type="gramStart"/>
      <w:r w:rsidR="00C37298" w:rsidRPr="007E46C8">
        <w:t>"</w:t>
      </w:r>
      <w:r w:rsidR="000073E3" w:rsidRPr="007E46C8">
        <w:t>:</w:t>
      </w:r>
      <w:proofErr w:type="gramEnd"/>
    </w:p>
    <w:p w14:paraId="388024C9" w14:textId="76A89E24" w:rsidR="00FC1AF9" w:rsidRPr="007E46C8" w:rsidRDefault="00FC1AF9" w:rsidP="00A413C3">
      <w:pPr>
        <w:pStyle w:val="enumlev1"/>
      </w:pPr>
      <w:r w:rsidRPr="007E46C8">
        <w:t>1)</w:t>
      </w:r>
      <w:r w:rsidRPr="007E46C8">
        <w:tab/>
      </w:r>
      <w:r w:rsidR="000073E3" w:rsidRPr="007E46C8">
        <w:t>Conformément au § 3.2 de la Règle, si l'administration notificatrice soumet des renseignements incorrects.</w:t>
      </w:r>
    </w:p>
    <w:p w14:paraId="27100C90" w14:textId="31282503" w:rsidR="00FC1AF9" w:rsidRPr="007E46C8" w:rsidRDefault="00FC1AF9" w:rsidP="00A413C3">
      <w:pPr>
        <w:pStyle w:val="enumlev1"/>
      </w:pPr>
      <w:r w:rsidRPr="007E46C8">
        <w:t>2)</w:t>
      </w:r>
      <w:r w:rsidRPr="007E46C8">
        <w:tab/>
      </w:r>
      <w:r w:rsidR="000073E3" w:rsidRPr="007E46C8">
        <w:t>Conformément au § 3.3 de la Règle,</w:t>
      </w:r>
      <w:r w:rsidR="00A413C3" w:rsidRPr="007E46C8">
        <w:t xml:space="preserve"> </w:t>
      </w:r>
      <w:r w:rsidR="000073E3" w:rsidRPr="007E46C8">
        <w:t xml:space="preserve">si les renseignements obligatoires requis au titre de l'Appendice </w:t>
      </w:r>
      <w:r w:rsidR="000073E3" w:rsidRPr="007E46C8">
        <w:rPr>
          <w:b/>
          <w:bCs/>
        </w:rPr>
        <w:t>4</w:t>
      </w:r>
      <w:r w:rsidR="000073E3" w:rsidRPr="007E46C8">
        <w:t xml:space="preserve"> du Règlement des radiocommunications n</w:t>
      </w:r>
      <w:r w:rsidR="00F42238" w:rsidRPr="007E46C8">
        <w:t>'</w:t>
      </w:r>
      <w:r w:rsidR="000073E3" w:rsidRPr="007E46C8">
        <w:t>ont pas été fournis dans la soumission</w:t>
      </w:r>
      <w:r w:rsidR="00C37298" w:rsidRPr="007E46C8">
        <w:t>.</w:t>
      </w:r>
    </w:p>
    <w:p w14:paraId="2DBEA61D" w14:textId="6EA1E9EF" w:rsidR="00FC1AF9" w:rsidRPr="007E46C8" w:rsidRDefault="00FC1AF9" w:rsidP="00A413C3">
      <w:pPr>
        <w:pStyle w:val="enumlev1"/>
      </w:pPr>
      <w:r w:rsidRPr="007E46C8">
        <w:t>3)</w:t>
      </w:r>
      <w:r w:rsidRPr="007E46C8">
        <w:tab/>
      </w:r>
      <w:r w:rsidR="000073E3" w:rsidRPr="007E46C8">
        <w:t>Conformément au § 3.8 de la Règle, si aucune réponse n'est reçue dans un délai de 30</w:t>
      </w:r>
      <w:r w:rsidR="00C37298" w:rsidRPr="007E46C8">
        <w:t> </w:t>
      </w:r>
      <w:r w:rsidR="000073E3" w:rsidRPr="007E46C8">
        <w:t>jours à compter de la date à laquelle le Bureau demande des précisions.</w:t>
      </w:r>
    </w:p>
    <w:p w14:paraId="05F76A0D" w14:textId="0795D6F6" w:rsidR="00FC1AF9" w:rsidRPr="007E46C8" w:rsidRDefault="00FC1AF9" w:rsidP="00A413C3">
      <w:pPr>
        <w:pStyle w:val="enumlev1"/>
      </w:pPr>
      <w:r w:rsidRPr="007E46C8">
        <w:lastRenderedPageBreak/>
        <w:t>4)</w:t>
      </w:r>
      <w:r w:rsidRPr="007E46C8">
        <w:tab/>
      </w:r>
      <w:r w:rsidR="000073E3" w:rsidRPr="007E46C8">
        <w:t xml:space="preserve">Conformément à la note de bas de page (*) relative au titre de la Règle, si les conditions applicables à l'ensemble de caractéristiques orbitales </w:t>
      </w:r>
      <w:r w:rsidR="00732F33" w:rsidRPr="007E46C8">
        <w:t>figurant dans</w:t>
      </w:r>
      <w:r w:rsidR="00A413C3" w:rsidRPr="007E46C8">
        <w:t xml:space="preserve"> </w:t>
      </w:r>
      <w:r w:rsidR="000073E3" w:rsidRPr="007E46C8">
        <w:t>la demande de coordination concernant un réseau à satellite non géostationnaire (non</w:t>
      </w:r>
      <w:r w:rsidR="00C37298" w:rsidRPr="007E46C8">
        <w:t> </w:t>
      </w:r>
      <w:r w:rsidR="000073E3" w:rsidRPr="007E46C8">
        <w:t>OSG) ou un système à satellites non géostationnaires ne sont pas remplies.</w:t>
      </w:r>
    </w:p>
    <w:p w14:paraId="7FAC1B15" w14:textId="02EB46D5" w:rsidR="00FC1AF9" w:rsidRPr="007E46C8" w:rsidRDefault="00FC1AF9" w:rsidP="00A413C3">
      <w:pPr>
        <w:pStyle w:val="enumlev1"/>
      </w:pPr>
      <w:r w:rsidRPr="007E46C8">
        <w:t>5)</w:t>
      </w:r>
      <w:r w:rsidRPr="007E46C8">
        <w:tab/>
      </w:r>
      <w:r w:rsidR="008B78B1" w:rsidRPr="007E46C8">
        <w:t>Conformément au § 4 de la Règle de procédure, si plusieurs autres conditions ne sont pas remplies.</w:t>
      </w:r>
    </w:p>
    <w:p w14:paraId="0897F4D6" w14:textId="18D0DD97" w:rsidR="00FC1AF9" w:rsidRPr="007E46C8" w:rsidRDefault="008B78B1" w:rsidP="00A413C3">
      <w:r w:rsidRPr="007E46C8">
        <w:t xml:space="preserve">Dans le deuxième cas, l'examen effectué par le Bureau pourrait se limiter à une validation initiale, mais dans tous les autres cas, </w:t>
      </w:r>
      <w:r w:rsidR="00732F33" w:rsidRPr="007E46C8">
        <w:t>le</w:t>
      </w:r>
      <w:r w:rsidR="00A413C3" w:rsidRPr="007E46C8">
        <w:t xml:space="preserve"> </w:t>
      </w:r>
      <w:r w:rsidRPr="007E46C8">
        <w:t>Bureau</w:t>
      </w:r>
      <w:r w:rsidR="00732F33" w:rsidRPr="007E46C8">
        <w:t xml:space="preserve"> doit</w:t>
      </w:r>
      <w:r w:rsidR="00A413C3" w:rsidRPr="007E46C8">
        <w:t xml:space="preserve"> </w:t>
      </w:r>
      <w:r w:rsidRPr="007E46C8">
        <w:t>procéder à un examen</w:t>
      </w:r>
      <w:r w:rsidR="00A413C3" w:rsidRPr="007E46C8">
        <w:t xml:space="preserve"> </w:t>
      </w:r>
      <w:r w:rsidRPr="007E46C8">
        <w:t>visant à vérifier que l'ensemble du réseau à satellite</w:t>
      </w:r>
      <w:r w:rsidR="00A413C3" w:rsidRPr="007E46C8">
        <w:t xml:space="preserve"> </w:t>
      </w:r>
      <w:r w:rsidRPr="007E46C8">
        <w:t>est complet</w:t>
      </w:r>
      <w:r w:rsidR="00A413C3" w:rsidRPr="007E46C8">
        <w:t>,</w:t>
      </w:r>
      <w:r w:rsidR="00732F33" w:rsidRPr="007E46C8">
        <w:t xml:space="preserve"> y compris</w:t>
      </w:r>
      <w:r w:rsidRPr="007E46C8">
        <w:t xml:space="preserve"> parfois</w:t>
      </w:r>
      <w:r w:rsidR="00A413C3" w:rsidRPr="007E46C8">
        <w:t xml:space="preserve"> </w:t>
      </w:r>
      <w:r w:rsidR="00732F33" w:rsidRPr="007E46C8">
        <w:t>de</w:t>
      </w:r>
      <w:r w:rsidRPr="007E46C8">
        <w:t xml:space="preserve"> la ou </w:t>
      </w:r>
      <w:r w:rsidR="00732F33" w:rsidRPr="007E46C8">
        <w:t>d</w:t>
      </w:r>
      <w:r w:rsidRPr="007E46C8">
        <w:t>es fiches de notification reçues et publiées</w:t>
      </w:r>
      <w:r w:rsidR="00732F33" w:rsidRPr="007E46C8">
        <w:t xml:space="preserve"> antérieurement,</w:t>
      </w:r>
      <w:r w:rsidR="00A413C3" w:rsidRPr="007E46C8">
        <w:t xml:space="preserve"> </w:t>
      </w:r>
      <w:r w:rsidRPr="007E46C8">
        <w:t>dans</w:t>
      </w:r>
      <w:r w:rsidR="00A413C3" w:rsidRPr="007E46C8">
        <w:t xml:space="preserve"> </w:t>
      </w:r>
      <w:r w:rsidR="00732F33" w:rsidRPr="007E46C8">
        <w:t xml:space="preserve">son </w:t>
      </w:r>
      <w:r w:rsidRPr="007E46C8">
        <w:t xml:space="preserve">intégralité. En outre, les administrations pourraient éventuellement utiliser ces cas pour </w:t>
      </w:r>
      <w:r w:rsidR="00C37298" w:rsidRPr="007E46C8">
        <w:t>"</w:t>
      </w:r>
      <w:r w:rsidRPr="007E46C8">
        <w:t>retirer</w:t>
      </w:r>
      <w:r w:rsidR="00C37298" w:rsidRPr="007E46C8">
        <w:t>"</w:t>
      </w:r>
      <w:r w:rsidRPr="007E46C8">
        <w:t xml:space="preserve"> leur soumission après le délai de 15 jours autorisé en vertu du point 10 du </w:t>
      </w:r>
      <w:r w:rsidRPr="007E46C8">
        <w:rPr>
          <w:i/>
          <w:iCs/>
        </w:rPr>
        <w:t>décide</w:t>
      </w:r>
      <w:r w:rsidRPr="007E46C8">
        <w:t xml:space="preserve"> de la Décision 482.</w:t>
      </w:r>
      <w:r w:rsidR="00C37298" w:rsidRPr="007E46C8">
        <w:t xml:space="preserve"> </w:t>
      </w:r>
      <w:r w:rsidRPr="007E46C8">
        <w:t>Afin de recouvrer les coûts encourus</w:t>
      </w:r>
      <w:r w:rsidR="00CF0B18" w:rsidRPr="007E46C8">
        <w:t xml:space="preserve"> lorsqu</w:t>
      </w:r>
      <w:r w:rsidR="00F42238" w:rsidRPr="007E46C8">
        <w:t>'</w:t>
      </w:r>
      <w:r w:rsidR="00CF0B18" w:rsidRPr="007E46C8">
        <w:t>il s</w:t>
      </w:r>
      <w:r w:rsidR="00F42238" w:rsidRPr="007E46C8">
        <w:t>'</w:t>
      </w:r>
      <w:r w:rsidR="00CF0B18" w:rsidRPr="007E46C8">
        <w:t>agit de</w:t>
      </w:r>
      <w:r w:rsidR="00A413C3" w:rsidRPr="007E46C8">
        <w:t xml:space="preserve"> </w:t>
      </w:r>
      <w:r w:rsidR="00CF0B18" w:rsidRPr="007E46C8">
        <w:t>vérifier que</w:t>
      </w:r>
      <w:r w:rsidR="00A413C3" w:rsidRPr="007E46C8">
        <w:t xml:space="preserve"> </w:t>
      </w:r>
      <w:r w:rsidRPr="007E46C8">
        <w:t>les</w:t>
      </w:r>
      <w:r w:rsidR="00A413C3" w:rsidRPr="007E46C8">
        <w:t xml:space="preserve"> </w:t>
      </w:r>
      <w:r w:rsidRPr="007E46C8">
        <w:t>fiches de notification sont compl</w:t>
      </w:r>
      <w:r w:rsidR="00CF0B18" w:rsidRPr="007E46C8">
        <w:t>è</w:t>
      </w:r>
      <w:r w:rsidRPr="007E46C8">
        <w:t>tes et exactes</w:t>
      </w:r>
      <w:r w:rsidR="00CF0B18" w:rsidRPr="007E46C8">
        <w:t>,</w:t>
      </w:r>
      <w:r w:rsidRPr="007E46C8">
        <w:t xml:space="preserve"> de demander des renseignements complets et d'assurer un traitement équitable de toutes les fiches de notification</w:t>
      </w:r>
      <w:r w:rsidR="00A413C3" w:rsidRPr="007E46C8">
        <w:t xml:space="preserve"> </w:t>
      </w:r>
      <w:r w:rsidR="00732F33" w:rsidRPr="007E46C8">
        <w:t>au terme</w:t>
      </w:r>
      <w:r w:rsidR="00A413C3" w:rsidRPr="007E46C8">
        <w:t xml:space="preserve"> </w:t>
      </w:r>
      <w:r w:rsidR="00CF0B18" w:rsidRPr="007E46C8">
        <w:t>de</w:t>
      </w:r>
      <w:r w:rsidRPr="007E46C8">
        <w:t xml:space="preserve"> </w:t>
      </w:r>
      <w:r w:rsidR="00732F33" w:rsidRPr="007E46C8">
        <w:t>ce délai</w:t>
      </w:r>
      <w:r w:rsidRPr="007E46C8">
        <w:t xml:space="preserve"> initial</w:t>
      </w:r>
      <w:r w:rsidR="00A413C3" w:rsidRPr="007E46C8">
        <w:t xml:space="preserve"> </w:t>
      </w:r>
      <w:r w:rsidRPr="007E46C8">
        <w:t>de 15 jours</w:t>
      </w:r>
      <w:r w:rsidR="00CF0B18" w:rsidRPr="007E46C8">
        <w:t>, des études devraient être entreprises afin que les fiches de notification de réseaux à satellite considérées comme</w:t>
      </w:r>
      <w:r w:rsidR="00A413C3" w:rsidRPr="007E46C8">
        <w:t xml:space="preserve"> </w:t>
      </w:r>
      <w:r w:rsidR="00C37298" w:rsidRPr="007E46C8">
        <w:t>"</w:t>
      </w:r>
      <w:r w:rsidR="00CF0B18" w:rsidRPr="007E46C8">
        <w:t>non recevables</w:t>
      </w:r>
      <w:r w:rsidR="00C37298" w:rsidRPr="007E46C8">
        <w:t>"</w:t>
      </w:r>
      <w:r w:rsidR="00CF0B18" w:rsidRPr="007E46C8">
        <w:t>, en raison de</w:t>
      </w:r>
      <w:r w:rsidR="00A413C3" w:rsidRPr="007E46C8">
        <w:t xml:space="preserve"> </w:t>
      </w:r>
      <w:r w:rsidR="00CF0B18" w:rsidRPr="007E46C8">
        <w:t>l'absence</w:t>
      </w:r>
      <w:r w:rsidR="00A413C3" w:rsidRPr="007E46C8">
        <w:t xml:space="preserve"> </w:t>
      </w:r>
      <w:r w:rsidR="00CF0B18" w:rsidRPr="007E46C8">
        <w:t>de réponse à la demande de précisions du Bureau,</w:t>
      </w:r>
      <w:r w:rsidR="00A413C3" w:rsidRPr="007E46C8">
        <w:t xml:space="preserve"> </w:t>
      </w:r>
      <w:r w:rsidR="00CF0B18" w:rsidRPr="007E46C8">
        <w:t>soient également</w:t>
      </w:r>
      <w:r w:rsidR="00A413C3" w:rsidRPr="007E46C8">
        <w:t xml:space="preserve"> </w:t>
      </w:r>
      <w:r w:rsidR="00CF0B18" w:rsidRPr="007E46C8">
        <w:t>assujetties</w:t>
      </w:r>
      <w:r w:rsidR="00A413C3" w:rsidRPr="007E46C8">
        <w:t xml:space="preserve"> </w:t>
      </w:r>
      <w:r w:rsidR="00CF0B18" w:rsidRPr="007E46C8">
        <w:t>aux droits à acquitter au titre du recouvrement des coûts,</w:t>
      </w:r>
      <w:r w:rsidR="00A413C3" w:rsidRPr="007E46C8">
        <w:t xml:space="preserve"> </w:t>
      </w:r>
      <w:r w:rsidR="00CF0B18" w:rsidRPr="007E46C8">
        <w:t>calculés conformément au barème des droits</w:t>
      </w:r>
      <w:r w:rsidR="00A413C3" w:rsidRPr="007E46C8">
        <w:t xml:space="preserve"> </w:t>
      </w:r>
      <w:r w:rsidR="00CF0B18" w:rsidRPr="007E46C8">
        <w:t>sur</w:t>
      </w:r>
      <w:r w:rsidR="00A413C3" w:rsidRPr="007E46C8">
        <w:t xml:space="preserve"> </w:t>
      </w:r>
      <w:r w:rsidR="00CF0B18" w:rsidRPr="007E46C8">
        <w:t>la base des unités et de la catégorie de fiche de notification soumise.</w:t>
      </w:r>
    </w:p>
    <w:p w14:paraId="48986120" w14:textId="27F68A60" w:rsidR="00FC1AF9" w:rsidRPr="007E46C8" w:rsidRDefault="00C37298" w:rsidP="00C37298">
      <w:pPr>
        <w:pStyle w:val="Heading1"/>
      </w:pPr>
      <w:r w:rsidRPr="007E46C8">
        <w:t>3</w:t>
      </w:r>
      <w:r w:rsidRPr="007E46C8">
        <w:tab/>
      </w:r>
      <w:r w:rsidR="00CF0B18" w:rsidRPr="007E46C8">
        <w:t>Activités relatives au traitement</w:t>
      </w:r>
      <w:r w:rsidR="00A413C3" w:rsidRPr="007E46C8">
        <w:t xml:space="preserve"> </w:t>
      </w:r>
      <w:r w:rsidR="00CF0B18" w:rsidRPr="007E46C8">
        <w:t>des fiches de notification de</w:t>
      </w:r>
      <w:r w:rsidR="00732F33" w:rsidRPr="007E46C8">
        <w:t>s</w:t>
      </w:r>
      <w:r w:rsidR="00CF0B18" w:rsidRPr="007E46C8">
        <w:t xml:space="preserve"> réseaux à satellite qui</w:t>
      </w:r>
      <w:r w:rsidR="00607141" w:rsidRPr="007E46C8">
        <w:t xml:space="preserve"> bénéficient</w:t>
      </w:r>
      <w:r w:rsidR="00CF0B18" w:rsidRPr="007E46C8">
        <w:t xml:space="preserve"> actuellement </w:t>
      </w:r>
      <w:r w:rsidR="00607141" w:rsidRPr="007E46C8">
        <w:t>de la franchise de droits</w:t>
      </w:r>
      <w:r w:rsidR="00A413C3" w:rsidRPr="007E46C8">
        <w:t xml:space="preserve"> </w:t>
      </w:r>
      <w:r w:rsidR="00607141" w:rsidRPr="007E46C8">
        <w:t>en vertu de</w:t>
      </w:r>
      <w:r w:rsidR="00CF0B18" w:rsidRPr="007E46C8">
        <w:t xml:space="preserve"> la Décision 482</w:t>
      </w:r>
    </w:p>
    <w:p w14:paraId="18D2E8FC" w14:textId="4D97CDDA" w:rsidR="00FC1AF9" w:rsidRPr="007E46C8" w:rsidRDefault="00FC1AF9" w:rsidP="00A413C3">
      <w:r w:rsidRPr="007E46C8">
        <w:t>3.1</w:t>
      </w:r>
      <w:r w:rsidRPr="007E46C8">
        <w:tab/>
      </w:r>
      <w:r w:rsidR="00607141" w:rsidRPr="007E46C8">
        <w:rPr>
          <w:u w:val="single"/>
        </w:rPr>
        <w:t xml:space="preserve">Modifications qui n'appellent aucun nouvel examen technique ou </w:t>
      </w:r>
      <w:proofErr w:type="gramStart"/>
      <w:r w:rsidR="00607141" w:rsidRPr="007E46C8">
        <w:rPr>
          <w:u w:val="single"/>
        </w:rPr>
        <w:t>réglementaire</w:t>
      </w:r>
      <w:r w:rsidR="00607141" w:rsidRPr="007E46C8">
        <w:t>:</w:t>
      </w:r>
      <w:proofErr w:type="gramEnd"/>
      <w:r w:rsidR="00607141" w:rsidRPr="007E46C8">
        <w:t xml:space="preserve"> comme indiqué au point 3 du </w:t>
      </w:r>
      <w:r w:rsidR="00607141" w:rsidRPr="007E46C8">
        <w:rPr>
          <w:i/>
          <w:iCs/>
        </w:rPr>
        <w:t>décide</w:t>
      </w:r>
      <w:r w:rsidR="00607141" w:rsidRPr="007E46C8">
        <w:t xml:space="preserve"> de la Décision 482 (C01, modifiée pour la dernière fois en 2020</w:t>
      </w:r>
      <w:r w:rsidR="00A413C3" w:rsidRPr="007E46C8">
        <w:t>)</w:t>
      </w:r>
      <w:r w:rsidR="00607141" w:rsidRPr="007E46C8">
        <w:t>,</w:t>
      </w:r>
      <w:r w:rsidR="00A413C3" w:rsidRPr="007E46C8">
        <w:t xml:space="preserve"> </w:t>
      </w:r>
      <w:r w:rsidR="004B6BCB" w:rsidRPr="007E46C8">
        <w:t>"</w:t>
      </w:r>
      <w:r w:rsidR="00732F33" w:rsidRPr="007E46C8">
        <w:t>l</w:t>
      </w:r>
      <w:r w:rsidR="0002420D" w:rsidRPr="007E46C8">
        <w:t>es modifications qui n'appellent aucun nouvel examen technique ou réglementaire de la part du Bureau des radiocommunications seront exonérées de droits</w:t>
      </w:r>
      <w:r w:rsidR="00C37298" w:rsidRPr="007E46C8">
        <w:t>"</w:t>
      </w:r>
      <w:r w:rsidRPr="007E46C8">
        <w:t xml:space="preserve">. </w:t>
      </w:r>
      <w:r w:rsidR="00607141" w:rsidRPr="007E46C8">
        <w:t>La nature et l'étendue des travaux que doit effectuer</w:t>
      </w:r>
      <w:r w:rsidR="00A413C3" w:rsidRPr="007E46C8">
        <w:t xml:space="preserve"> </w:t>
      </w:r>
      <w:r w:rsidR="00607141" w:rsidRPr="007E46C8">
        <w:t>le Bureau n'ont pas sensiblement, évolué</w:t>
      </w:r>
      <w:r w:rsidR="00A413C3" w:rsidRPr="007E46C8">
        <w:t xml:space="preserve"> </w:t>
      </w:r>
      <w:r w:rsidR="00607141" w:rsidRPr="007E46C8">
        <w:t>depuis 2005</w:t>
      </w:r>
      <w:r w:rsidR="00A413C3" w:rsidRPr="007E46C8">
        <w:t>.</w:t>
      </w:r>
      <w:r w:rsidR="00607141" w:rsidRPr="007E46C8">
        <w:t xml:space="preserve"> Par conséquent, l'exonération du paiement</w:t>
      </w:r>
      <w:r w:rsidR="00A413C3" w:rsidRPr="007E46C8">
        <w:t xml:space="preserve"> </w:t>
      </w:r>
      <w:r w:rsidR="00607141" w:rsidRPr="007E46C8">
        <w:t>de droits devrait continuer de</w:t>
      </w:r>
      <w:r w:rsidR="00A413C3" w:rsidRPr="007E46C8">
        <w:t xml:space="preserve"> </w:t>
      </w:r>
      <w:r w:rsidR="00607141" w:rsidRPr="007E46C8">
        <w:t>s'applique</w:t>
      </w:r>
      <w:r w:rsidR="00D65DF7" w:rsidRPr="007E46C8">
        <w:t>r</w:t>
      </w:r>
      <w:r w:rsidR="00A413C3" w:rsidRPr="007E46C8">
        <w:t>.</w:t>
      </w:r>
      <w:r w:rsidR="00607141" w:rsidRPr="007E46C8">
        <w:t xml:space="preserve"> Toutefois, le Conseil doit être conscient du fait que ces activités sont financées au titre du</w:t>
      </w:r>
      <w:r w:rsidR="00A413C3" w:rsidRPr="007E46C8">
        <w:t xml:space="preserve"> </w:t>
      </w:r>
      <w:r w:rsidR="00607141" w:rsidRPr="007E46C8">
        <w:t>budget ordinaire du Bureau et</w:t>
      </w:r>
      <w:r w:rsidR="00A413C3" w:rsidRPr="007E46C8">
        <w:t xml:space="preserve"> </w:t>
      </w:r>
      <w:r w:rsidR="00607141" w:rsidRPr="007E46C8">
        <w:t>ne sont pas assujetties au recouvrement des coûts.</w:t>
      </w:r>
    </w:p>
    <w:p w14:paraId="6E40D5A6" w14:textId="2C6FC8AC" w:rsidR="00FC1AF9" w:rsidRPr="007E46C8" w:rsidRDefault="00FC1AF9" w:rsidP="00A413C3">
      <w:r w:rsidRPr="007E46C8">
        <w:t>3.2</w:t>
      </w:r>
      <w:r w:rsidRPr="007E46C8">
        <w:tab/>
      </w:r>
      <w:r w:rsidR="00C37298" w:rsidRPr="007E46C8">
        <w:rPr>
          <w:u w:val="single"/>
        </w:rPr>
        <w:t>F</w:t>
      </w:r>
      <w:r w:rsidR="00D65DF7" w:rsidRPr="007E46C8">
        <w:rPr>
          <w:u w:val="single"/>
        </w:rPr>
        <w:t xml:space="preserve">iche de notification en franchise de </w:t>
      </w:r>
      <w:proofErr w:type="gramStart"/>
      <w:r w:rsidR="00D65DF7" w:rsidRPr="007E46C8">
        <w:rPr>
          <w:u w:val="single"/>
        </w:rPr>
        <w:t>droits</w:t>
      </w:r>
      <w:r w:rsidRPr="007E46C8">
        <w:t>:</w:t>
      </w:r>
      <w:proofErr w:type="gramEnd"/>
      <w:r w:rsidRPr="007E46C8">
        <w:t xml:space="preserve"> </w:t>
      </w:r>
      <w:r w:rsidR="00D65DF7" w:rsidRPr="007E46C8">
        <w:t xml:space="preserve">conformément au point 4 du </w:t>
      </w:r>
      <w:r w:rsidR="00D65DF7" w:rsidRPr="007E46C8">
        <w:rPr>
          <w:i/>
          <w:iCs/>
        </w:rPr>
        <w:t>décide</w:t>
      </w:r>
      <w:r w:rsidR="00D65DF7" w:rsidRPr="007E46C8">
        <w:t xml:space="preserve"> de la Décision 482,</w:t>
      </w:r>
      <w:r w:rsidR="00A413C3" w:rsidRPr="007E46C8">
        <w:t xml:space="preserve"> </w:t>
      </w:r>
      <w:r w:rsidR="004B6BCB" w:rsidRPr="007E46C8">
        <w:t>"</w:t>
      </w:r>
      <w:r w:rsidR="0002420D" w:rsidRPr="007E46C8">
        <w:t>chaque État Membre aura droit à la publication, en franchise des droits et taxes susmentionnés, de Sections spéciales ou de parties de la BR IFIC (services spatiaux) pour une fiche de notification de réseau à satellite par an</w:t>
      </w:r>
      <w:r w:rsidR="00C37298" w:rsidRPr="007E46C8">
        <w:t>"</w:t>
      </w:r>
      <w:r w:rsidRPr="007E46C8">
        <w:t xml:space="preserve">. </w:t>
      </w:r>
      <w:r w:rsidR="00D65DF7" w:rsidRPr="007E46C8">
        <w:t xml:space="preserve">Le Document C23/16 indique la valeur financière des fiches de notification </w:t>
      </w:r>
      <w:r w:rsidR="00F86160" w:rsidRPr="007E46C8">
        <w:t>en</w:t>
      </w:r>
      <w:r w:rsidR="00D65DF7" w:rsidRPr="007E46C8">
        <w:t xml:space="preserve"> franchise</w:t>
      </w:r>
      <w:r w:rsidR="00F86160" w:rsidRPr="007E46C8">
        <w:t xml:space="preserve"> de droits</w:t>
      </w:r>
      <w:r w:rsidR="00D65DF7" w:rsidRPr="007E46C8">
        <w:t xml:space="preserve"> pour les</w:t>
      </w:r>
      <w:r w:rsidR="00A413C3" w:rsidRPr="007E46C8">
        <w:t xml:space="preserve"> </w:t>
      </w:r>
      <w:r w:rsidR="00F86160" w:rsidRPr="007E46C8">
        <w:t>exercices</w:t>
      </w:r>
      <w:r w:rsidR="00D65DF7" w:rsidRPr="007E46C8">
        <w:t xml:space="preserve"> 2021 et</w:t>
      </w:r>
      <w:r w:rsidR="00752662" w:rsidRPr="007E46C8">
        <w:t> </w:t>
      </w:r>
      <w:r w:rsidR="00D65DF7" w:rsidRPr="007E46C8">
        <w:t xml:space="preserve">2022. </w:t>
      </w:r>
      <w:r w:rsidR="00F86160" w:rsidRPr="007E46C8">
        <w:t>Il conviendrait de procéder à un examen pour déterminer si certaines limites ne devraient pas être imposées aux fiches de notification admises au</w:t>
      </w:r>
      <w:r w:rsidR="00A413C3" w:rsidRPr="007E46C8">
        <w:t xml:space="preserve"> </w:t>
      </w:r>
      <w:r w:rsidR="00F86160" w:rsidRPr="007E46C8">
        <w:t>bénéfice</w:t>
      </w:r>
      <w:r w:rsidR="00A413C3" w:rsidRPr="007E46C8">
        <w:t xml:space="preserve"> </w:t>
      </w:r>
      <w:r w:rsidR="00F86160" w:rsidRPr="007E46C8">
        <w:t>de la</w:t>
      </w:r>
      <w:r w:rsidR="00A413C3" w:rsidRPr="007E46C8">
        <w:t xml:space="preserve"> </w:t>
      </w:r>
      <w:r w:rsidR="00F86160" w:rsidRPr="007E46C8">
        <w:t>franchise de</w:t>
      </w:r>
      <w:r w:rsidR="00A413C3" w:rsidRPr="007E46C8">
        <w:t xml:space="preserve"> </w:t>
      </w:r>
      <w:r w:rsidR="00F86160" w:rsidRPr="007E46C8">
        <w:t>droits, par exemple en limitant la possibilité</w:t>
      </w:r>
      <w:r w:rsidR="00A413C3" w:rsidRPr="007E46C8">
        <w:t xml:space="preserve"> </w:t>
      </w:r>
      <w:r w:rsidR="00F86160" w:rsidRPr="007E46C8">
        <w:t>de bénéficier</w:t>
      </w:r>
      <w:r w:rsidR="00BF6BB1" w:rsidRPr="007E46C8">
        <w:t xml:space="preserve"> de</w:t>
      </w:r>
      <w:r w:rsidR="00A413C3" w:rsidRPr="007E46C8">
        <w:t xml:space="preserve"> </w:t>
      </w:r>
      <w:r w:rsidR="00BF6BB1" w:rsidRPr="007E46C8">
        <w:t>cette franchise</w:t>
      </w:r>
      <w:r w:rsidR="00F86160" w:rsidRPr="007E46C8">
        <w:t>, dans les services planifiés, aux fiches de notification ayant une zone de service nationale</w:t>
      </w:r>
      <w:r w:rsidR="00BF6BB1" w:rsidRPr="007E46C8">
        <w:t>,</w:t>
      </w:r>
      <w:r w:rsidR="00A413C3" w:rsidRPr="007E46C8">
        <w:t xml:space="preserve"> </w:t>
      </w:r>
      <w:r w:rsidR="00F86160" w:rsidRPr="007E46C8">
        <w:t xml:space="preserve">ou en excluant les fiches de notification de systèmes non OSG </w:t>
      </w:r>
      <w:r w:rsidR="00BF6BB1" w:rsidRPr="007E46C8">
        <w:t xml:space="preserve">avec </w:t>
      </w:r>
      <w:r w:rsidR="00F86160" w:rsidRPr="007E46C8">
        <w:t>plusieurs configurations</w:t>
      </w:r>
      <w:r w:rsidR="00A413C3" w:rsidRPr="007E46C8">
        <w:t xml:space="preserve"> </w:t>
      </w:r>
      <w:r w:rsidR="00F86160" w:rsidRPr="007E46C8">
        <w:t xml:space="preserve">ou </w:t>
      </w:r>
      <w:r w:rsidR="00BF6BB1" w:rsidRPr="007E46C8">
        <w:t xml:space="preserve">celles </w:t>
      </w:r>
      <w:r w:rsidR="00F86160" w:rsidRPr="007E46C8">
        <w:t>qui sont assujetties à des limites d'</w:t>
      </w:r>
      <w:proofErr w:type="spellStart"/>
      <w:r w:rsidR="00F86160" w:rsidRPr="007E46C8">
        <w:t>epfd</w:t>
      </w:r>
      <w:proofErr w:type="spellEnd"/>
      <w:r w:rsidR="00F86160" w:rsidRPr="007E46C8">
        <w:t>,</w:t>
      </w:r>
      <w:r w:rsidR="00A413C3" w:rsidRPr="007E46C8">
        <w:t xml:space="preserve"> </w:t>
      </w:r>
      <w:r w:rsidR="00F86160" w:rsidRPr="007E46C8">
        <w:t xml:space="preserve">qui </w:t>
      </w:r>
      <w:r w:rsidR="00BF6BB1" w:rsidRPr="007E46C8">
        <w:t>mobilisent</w:t>
      </w:r>
      <w:r w:rsidR="00F86160" w:rsidRPr="007E46C8">
        <w:t xml:space="preserve"> un</w:t>
      </w:r>
      <w:r w:rsidR="00BF6BB1" w:rsidRPr="007E46C8">
        <w:t>e</w:t>
      </w:r>
      <w:r w:rsidR="00F86160" w:rsidRPr="007E46C8">
        <w:t xml:space="preserve"> </w:t>
      </w:r>
      <w:r w:rsidR="00BF6BB1" w:rsidRPr="007E46C8">
        <w:t>quantité</w:t>
      </w:r>
      <w:r w:rsidR="00A413C3" w:rsidRPr="007E46C8">
        <w:t xml:space="preserve"> </w:t>
      </w:r>
      <w:r w:rsidR="00F86160" w:rsidRPr="007E46C8">
        <w:t>important</w:t>
      </w:r>
      <w:r w:rsidR="00BF6BB1" w:rsidRPr="007E46C8">
        <w:t>e</w:t>
      </w:r>
      <w:r w:rsidR="00F86160" w:rsidRPr="007E46C8">
        <w:t xml:space="preserve"> de ressources du Bureau des radiocommunications.</w:t>
      </w:r>
    </w:p>
    <w:p w14:paraId="485133CC" w14:textId="3EACEAFC" w:rsidR="00FC1AF9" w:rsidRPr="007E46C8" w:rsidRDefault="00FC1AF9" w:rsidP="00A413C3">
      <w:r w:rsidRPr="007E46C8">
        <w:lastRenderedPageBreak/>
        <w:t>3.3</w:t>
      </w:r>
      <w:r w:rsidRPr="007E46C8">
        <w:tab/>
      </w:r>
      <w:r w:rsidR="00BF6BB1" w:rsidRPr="007E46C8">
        <w:rPr>
          <w:u w:val="single"/>
        </w:rPr>
        <w:t xml:space="preserve">Soumissions exonérées du paiement de tout </w:t>
      </w:r>
      <w:proofErr w:type="gramStart"/>
      <w:r w:rsidR="00BF6BB1" w:rsidRPr="007E46C8">
        <w:rPr>
          <w:u w:val="single"/>
        </w:rPr>
        <w:t>droit</w:t>
      </w:r>
      <w:r w:rsidR="00A413C3" w:rsidRPr="007E46C8">
        <w:t>:</w:t>
      </w:r>
      <w:proofErr w:type="gramEnd"/>
      <w:r w:rsidRPr="007E46C8">
        <w:t xml:space="preserve"> </w:t>
      </w:r>
      <w:r w:rsidR="00BF6BB1" w:rsidRPr="007E46C8">
        <w:t xml:space="preserve">conformément au point 11 du </w:t>
      </w:r>
      <w:r w:rsidR="00BF6BB1" w:rsidRPr="007E46C8">
        <w:rPr>
          <w:i/>
          <w:iCs/>
        </w:rPr>
        <w:t>décide</w:t>
      </w:r>
      <w:r w:rsidR="00A413C3" w:rsidRPr="007E46C8">
        <w:t xml:space="preserve"> </w:t>
      </w:r>
      <w:r w:rsidR="00BF6BB1" w:rsidRPr="007E46C8">
        <w:t>de la Décision 482, les soumissions suivantes sont exonérées du paiement de tout droit</w:t>
      </w:r>
      <w:r w:rsidR="007E46C8" w:rsidRPr="007E46C8">
        <w:t>.</w:t>
      </w:r>
    </w:p>
    <w:p w14:paraId="6E3CE190" w14:textId="1A88A583" w:rsidR="00FC1AF9" w:rsidRPr="007E46C8" w:rsidRDefault="00FC1AF9" w:rsidP="00A413C3">
      <w:r w:rsidRPr="007E46C8">
        <w:t>3.3.1</w:t>
      </w:r>
      <w:r w:rsidR="000209B7" w:rsidRPr="007E46C8">
        <w:tab/>
      </w:r>
      <w:r w:rsidR="00BF6BB1" w:rsidRPr="007E46C8">
        <w:t>P</w:t>
      </w:r>
      <w:r w:rsidR="0002420D" w:rsidRPr="007E46C8">
        <w:t>ublication de Sections spéciales ou de parties de la BR IFIC (services spatiaux) pour le service d'amateur par satellite</w:t>
      </w:r>
    </w:p>
    <w:p w14:paraId="30A643F4" w14:textId="1E794E2F" w:rsidR="00FC1AF9" w:rsidRPr="007E46C8" w:rsidRDefault="00FE0ED6" w:rsidP="00A413C3">
      <w:pPr>
        <w:rPr>
          <w:iCs/>
        </w:rPr>
      </w:pPr>
      <w:r w:rsidRPr="007E46C8">
        <w:t>Cet aspect est lié à la nature du service d'amateur par satellite, qui est</w:t>
      </w:r>
      <w:r w:rsidR="00A413C3" w:rsidRPr="007E46C8">
        <w:t xml:space="preserve"> </w:t>
      </w:r>
      <w:r w:rsidR="00C37298" w:rsidRPr="007E46C8">
        <w:rPr>
          <w:iCs/>
        </w:rPr>
        <w:t>"</w:t>
      </w:r>
      <w:r w:rsidR="0002420D" w:rsidRPr="007E46C8">
        <w:rPr>
          <w:iCs/>
        </w:rPr>
        <w:t>effectué par des amateurs, c'est-à-dire par des personnes dûment autorisées, s'intéressant à la technique de la radioélectricité à titre uniquement personnel et sans intérêt pécuniaire</w:t>
      </w:r>
      <w:r w:rsidR="004B6BCB" w:rsidRPr="007E46C8">
        <w:rPr>
          <w:iCs/>
        </w:rPr>
        <w:t>"</w:t>
      </w:r>
      <w:r w:rsidRPr="007E46C8">
        <w:t xml:space="preserve"> </w:t>
      </w:r>
      <w:r w:rsidRPr="007E46C8">
        <w:rPr>
          <w:iCs/>
        </w:rPr>
        <w:t>(voir les numéros</w:t>
      </w:r>
      <w:r w:rsidR="000209B7" w:rsidRPr="007E46C8">
        <w:rPr>
          <w:iCs/>
        </w:rPr>
        <w:t> </w:t>
      </w:r>
      <w:r w:rsidRPr="007E46C8">
        <w:rPr>
          <w:b/>
          <w:bCs/>
          <w:iCs/>
        </w:rPr>
        <w:t>1.56</w:t>
      </w:r>
      <w:r w:rsidRPr="007E46C8">
        <w:rPr>
          <w:iCs/>
        </w:rPr>
        <w:t xml:space="preserve"> et </w:t>
      </w:r>
      <w:r w:rsidRPr="007E46C8">
        <w:rPr>
          <w:b/>
          <w:bCs/>
          <w:iCs/>
        </w:rPr>
        <w:t>1.57</w:t>
      </w:r>
      <w:r w:rsidRPr="007E46C8">
        <w:rPr>
          <w:iCs/>
        </w:rPr>
        <w:t xml:space="preserve"> du Règlement des radiocommunications).</w:t>
      </w:r>
      <w:r w:rsidRPr="007E46C8">
        <w:t xml:space="preserve"> </w:t>
      </w:r>
      <w:r w:rsidRPr="007E46C8">
        <w:rPr>
          <w:iCs/>
        </w:rPr>
        <w:t xml:space="preserve">Le Bureau des radiocommunications a néanmoins reçu certains réseaux à satellite exploités dans ce </w:t>
      </w:r>
      <w:r w:rsidRPr="007E46C8">
        <w:t>service, dont</w:t>
      </w:r>
      <w:r w:rsidR="00A413C3" w:rsidRPr="007E46C8">
        <w:t xml:space="preserve"> </w:t>
      </w:r>
      <w:r w:rsidRPr="007E46C8">
        <w:t>l'entité exploitante pouvait être considérée</w:t>
      </w:r>
      <w:r w:rsidR="00A413C3" w:rsidRPr="007E46C8">
        <w:t xml:space="preserve"> </w:t>
      </w:r>
      <w:r w:rsidRPr="007E46C8">
        <w:t>comme un opérateur commercial. Cette pratique pourrait</w:t>
      </w:r>
      <w:r w:rsidR="00A413C3" w:rsidRPr="007E46C8">
        <w:t xml:space="preserve"> </w:t>
      </w:r>
      <w:r w:rsidR="00775854" w:rsidRPr="007E46C8">
        <w:t>donner lieu</w:t>
      </w:r>
      <w:r w:rsidR="00A413C3" w:rsidRPr="007E46C8">
        <w:t xml:space="preserve"> </w:t>
      </w:r>
      <w:r w:rsidRPr="007E46C8">
        <w:t>à des avantages réglementaires</w:t>
      </w:r>
      <w:r w:rsidR="00A413C3" w:rsidRPr="007E46C8">
        <w:t xml:space="preserve"> </w:t>
      </w:r>
      <w:r w:rsidR="00775854" w:rsidRPr="007E46C8">
        <w:t>indus</w:t>
      </w:r>
      <w:r w:rsidRPr="007E46C8">
        <w:t>, mais</w:t>
      </w:r>
      <w:r w:rsidR="00A413C3" w:rsidRPr="007E46C8">
        <w:t xml:space="preserve"> </w:t>
      </w:r>
      <w:r w:rsidRPr="007E46C8">
        <w:t>prive également l'Union de</w:t>
      </w:r>
      <w:r w:rsidR="00A413C3" w:rsidRPr="007E46C8">
        <w:t xml:space="preserve"> </w:t>
      </w:r>
      <w:r w:rsidRPr="007E46C8">
        <w:t>droits</w:t>
      </w:r>
      <w:r w:rsidR="00A413C3" w:rsidRPr="007E46C8">
        <w:t xml:space="preserve"> </w:t>
      </w:r>
      <w:r w:rsidRPr="007E46C8">
        <w:t>au titre du recouvrement des coûts.</w:t>
      </w:r>
      <w:r w:rsidR="00775854" w:rsidRPr="007E46C8">
        <w:t xml:space="preserve"> Par conséquent,</w:t>
      </w:r>
      <w:r w:rsidR="00A413C3" w:rsidRPr="007E46C8">
        <w:t xml:space="preserve"> </w:t>
      </w:r>
      <w:r w:rsidR="00775854" w:rsidRPr="007E46C8">
        <w:t>le principe de</w:t>
      </w:r>
      <w:r w:rsidR="00A413C3" w:rsidRPr="007E46C8">
        <w:t xml:space="preserve"> </w:t>
      </w:r>
      <w:r w:rsidR="00775854" w:rsidRPr="007E46C8">
        <w:t>l</w:t>
      </w:r>
      <w:r w:rsidR="00F42238" w:rsidRPr="007E46C8">
        <w:t>'</w:t>
      </w:r>
      <w:r w:rsidR="00775854" w:rsidRPr="007E46C8">
        <w:t xml:space="preserve">exonération devrait certes continuer de s'appliquer aux fiches de notification du service d'amateur par satellite, </w:t>
      </w:r>
      <w:r w:rsidR="0016236A" w:rsidRPr="007E46C8">
        <w:t xml:space="preserve">mais </w:t>
      </w:r>
      <w:r w:rsidR="00775854" w:rsidRPr="007E46C8">
        <w:t>il convien</w:t>
      </w:r>
      <w:r w:rsidR="0016236A" w:rsidRPr="007E46C8">
        <w:t>drai</w:t>
      </w:r>
      <w:r w:rsidR="00775854" w:rsidRPr="007E46C8">
        <w:t xml:space="preserve">t de rappeler aux </w:t>
      </w:r>
      <w:r w:rsidR="000209B7" w:rsidRPr="007E46C8">
        <w:t>États</w:t>
      </w:r>
      <w:r w:rsidR="00775854" w:rsidRPr="007E46C8">
        <w:t xml:space="preserve"> Membres les conditions</w:t>
      </w:r>
      <w:r w:rsidR="00A413C3" w:rsidRPr="007E46C8">
        <w:t xml:space="preserve"> </w:t>
      </w:r>
      <w:r w:rsidR="00732F33" w:rsidRPr="007E46C8">
        <w:t>à remplir</w:t>
      </w:r>
      <w:r w:rsidR="00A413C3" w:rsidRPr="007E46C8">
        <w:t xml:space="preserve"> </w:t>
      </w:r>
      <w:r w:rsidR="0016236A" w:rsidRPr="007E46C8">
        <w:t>pour en bénéficier, telles qu</w:t>
      </w:r>
      <w:r w:rsidR="00F42238" w:rsidRPr="007E46C8">
        <w:t>'</w:t>
      </w:r>
      <w:r w:rsidR="00732F33" w:rsidRPr="007E46C8">
        <w:t>elle</w:t>
      </w:r>
      <w:r w:rsidR="000209B7" w:rsidRPr="007E46C8">
        <w:t>s</w:t>
      </w:r>
      <w:r w:rsidR="00732F33" w:rsidRPr="007E46C8">
        <w:t xml:space="preserve"> sont</w:t>
      </w:r>
      <w:r w:rsidR="00A413C3" w:rsidRPr="007E46C8">
        <w:t xml:space="preserve"> </w:t>
      </w:r>
      <w:r w:rsidR="00775854" w:rsidRPr="007E46C8">
        <w:t xml:space="preserve">énoncées aux numéros </w:t>
      </w:r>
      <w:r w:rsidR="00775854" w:rsidRPr="007E46C8">
        <w:rPr>
          <w:b/>
          <w:bCs/>
        </w:rPr>
        <w:t>1.56</w:t>
      </w:r>
      <w:r w:rsidR="00775854" w:rsidRPr="007E46C8">
        <w:t xml:space="preserve"> et </w:t>
      </w:r>
      <w:r w:rsidR="00775854" w:rsidRPr="007E46C8">
        <w:rPr>
          <w:b/>
          <w:bCs/>
        </w:rPr>
        <w:t>1.57</w:t>
      </w:r>
      <w:r w:rsidR="00775854" w:rsidRPr="007E46C8">
        <w:t xml:space="preserve"> du Règlement des radiocommunications.</w:t>
      </w:r>
    </w:p>
    <w:p w14:paraId="7589BE2E" w14:textId="67DD5ACD" w:rsidR="00FC1AF9" w:rsidRPr="007E46C8" w:rsidRDefault="006C53D5" w:rsidP="006C53D5">
      <w:r w:rsidRPr="007E46C8">
        <w:t>3.3.2</w:t>
      </w:r>
      <w:r w:rsidRPr="007E46C8">
        <w:tab/>
      </w:r>
      <w:r w:rsidR="0016236A" w:rsidRPr="007E46C8">
        <w:t>N</w:t>
      </w:r>
      <w:r w:rsidR="0002420D" w:rsidRPr="007E46C8">
        <w:t>otification</w:t>
      </w:r>
      <w:r w:rsidR="00A413C3" w:rsidRPr="007E46C8">
        <w:t xml:space="preserve"> </w:t>
      </w:r>
      <w:r w:rsidR="00E73877" w:rsidRPr="007E46C8">
        <w:t>aux fins de</w:t>
      </w:r>
      <w:r w:rsidR="00A413C3" w:rsidRPr="007E46C8">
        <w:t xml:space="preserve"> </w:t>
      </w:r>
      <w:r w:rsidR="0002420D" w:rsidRPr="007E46C8">
        <w:t>l'inscription d'assignations de fréquence pour des stations terriennes</w:t>
      </w:r>
    </w:p>
    <w:p w14:paraId="4051E30C" w14:textId="6F82529F" w:rsidR="00FC1AF9" w:rsidRPr="007E46C8" w:rsidRDefault="00E73877" w:rsidP="00A413C3">
      <w:r w:rsidRPr="007E46C8">
        <w:t>La raison pour laquelle les soumissions de ce type</w:t>
      </w:r>
      <w:r w:rsidR="00A413C3" w:rsidRPr="007E46C8">
        <w:t xml:space="preserve"> </w:t>
      </w:r>
      <w:r w:rsidRPr="007E46C8">
        <w:t>ne sont pas assujetties au</w:t>
      </w:r>
      <w:r w:rsidR="00A413C3" w:rsidRPr="007E46C8">
        <w:t xml:space="preserve"> </w:t>
      </w:r>
      <w:r w:rsidRPr="007E46C8">
        <w:t>système de recouvrement des coûts</w:t>
      </w:r>
      <w:r w:rsidR="00A413C3" w:rsidRPr="007E46C8">
        <w:t xml:space="preserve"> </w:t>
      </w:r>
      <w:r w:rsidR="002E3C15" w:rsidRPr="007E46C8">
        <w:t>faisant l</w:t>
      </w:r>
      <w:r w:rsidR="00F42238" w:rsidRPr="007E46C8">
        <w:t>'</w:t>
      </w:r>
      <w:r w:rsidR="002E3C15" w:rsidRPr="007E46C8">
        <w:t>objet de</w:t>
      </w:r>
      <w:r w:rsidR="00A413C3" w:rsidRPr="007E46C8">
        <w:t xml:space="preserve"> </w:t>
      </w:r>
      <w:r w:rsidRPr="007E46C8">
        <w:t xml:space="preserve">la Décision 482 est que tous les </w:t>
      </w:r>
      <w:r w:rsidR="006C53D5" w:rsidRPr="007E46C8">
        <w:t>États</w:t>
      </w:r>
      <w:r w:rsidRPr="007E46C8">
        <w:t xml:space="preserve"> Membres, y</w:t>
      </w:r>
      <w:r w:rsidR="006C53D5" w:rsidRPr="007E46C8">
        <w:t> </w:t>
      </w:r>
      <w:r w:rsidRPr="007E46C8">
        <w:t>compris</w:t>
      </w:r>
      <w:r w:rsidR="00A413C3" w:rsidRPr="007E46C8">
        <w:t xml:space="preserve"> </w:t>
      </w:r>
      <w:r w:rsidRPr="007E46C8">
        <w:t>ceux qui ne disposent pas de leurs propres satellites,</w:t>
      </w:r>
      <w:r w:rsidR="00A413C3" w:rsidRPr="007E46C8">
        <w:t xml:space="preserve"> </w:t>
      </w:r>
      <w:r w:rsidRPr="007E46C8">
        <w:t>pourraient</w:t>
      </w:r>
      <w:r w:rsidR="00A413C3" w:rsidRPr="007E46C8">
        <w:t xml:space="preserve"> </w:t>
      </w:r>
      <w:r w:rsidRPr="007E46C8">
        <w:t>souhaiter</w:t>
      </w:r>
      <w:r w:rsidR="00A413C3" w:rsidRPr="007E46C8">
        <w:t xml:space="preserve"> </w:t>
      </w:r>
      <w:r w:rsidRPr="007E46C8">
        <w:t>inscrire des assignations de fréquence à des stations terriennes. Or, ces dernières années, seules</w:t>
      </w:r>
      <w:r w:rsidR="00A413C3" w:rsidRPr="007E46C8">
        <w:t xml:space="preserve"> </w:t>
      </w:r>
      <w:r w:rsidRPr="007E46C8">
        <w:t>15</w:t>
      </w:r>
      <w:r w:rsidR="006C53D5" w:rsidRPr="007E46C8">
        <w:t> </w:t>
      </w:r>
      <w:r w:rsidRPr="007E46C8">
        <w:t xml:space="preserve">administrations </w:t>
      </w:r>
      <w:r w:rsidR="002B1CCF" w:rsidRPr="007E46C8">
        <w:t>au plus</w:t>
      </w:r>
      <w:r w:rsidR="00A413C3" w:rsidRPr="007E46C8">
        <w:t xml:space="preserve"> </w:t>
      </w:r>
      <w:r w:rsidRPr="007E46C8">
        <w:t xml:space="preserve">ont soumis </w:t>
      </w:r>
      <w:r w:rsidR="009F3E39" w:rsidRPr="007E46C8">
        <w:t xml:space="preserve">chaque année </w:t>
      </w:r>
      <w:r w:rsidRPr="007E46C8">
        <w:t>des notifications de stations terriennes</w:t>
      </w:r>
      <w:r w:rsidR="006C53D5" w:rsidRPr="007E46C8">
        <w:t>.</w:t>
      </w:r>
      <w:r w:rsidR="00A413C3" w:rsidRPr="007E46C8">
        <w:t xml:space="preserve"> </w:t>
      </w:r>
      <w:r w:rsidR="002B1CCF" w:rsidRPr="007E46C8">
        <w:t xml:space="preserve">En outre, en 2021 et 2022, plus de 400 notifications ont été reçues, ce qui signifie que </w:t>
      </w:r>
      <w:r w:rsidR="009F3E39" w:rsidRPr="007E46C8">
        <w:t>le travail accompli par le</w:t>
      </w:r>
      <w:r w:rsidR="00A413C3" w:rsidRPr="007E46C8">
        <w:t xml:space="preserve"> </w:t>
      </w:r>
      <w:r w:rsidR="009F3E39" w:rsidRPr="007E46C8">
        <w:t>Bureau des radiocommunications ne profite pour l</w:t>
      </w:r>
      <w:r w:rsidR="00F42238" w:rsidRPr="007E46C8">
        <w:t>'</w:t>
      </w:r>
      <w:r w:rsidR="009F3E39" w:rsidRPr="007E46C8">
        <w:t>essentiel qu</w:t>
      </w:r>
      <w:r w:rsidR="00F42238" w:rsidRPr="007E46C8">
        <w:t>'</w:t>
      </w:r>
      <w:r w:rsidR="009F3E39" w:rsidRPr="007E46C8">
        <w:t>à</w:t>
      </w:r>
      <w:r w:rsidR="00A413C3" w:rsidRPr="007E46C8">
        <w:t xml:space="preserve"> </w:t>
      </w:r>
      <w:r w:rsidR="002B1CCF" w:rsidRPr="007E46C8">
        <w:t>quelques administrations</w:t>
      </w:r>
      <w:r w:rsidR="00A413C3" w:rsidRPr="007E46C8">
        <w:t>.</w:t>
      </w:r>
      <w:r w:rsidR="002B1CCF" w:rsidRPr="007E46C8">
        <w:t xml:space="preserve"> En conséquence, des études devraient</w:t>
      </w:r>
      <w:r w:rsidR="00A413C3" w:rsidRPr="007E46C8">
        <w:t xml:space="preserve"> </w:t>
      </w:r>
      <w:r w:rsidR="002B1CCF" w:rsidRPr="007E46C8">
        <w:t>être menées pour déterminer si des</w:t>
      </w:r>
      <w:r w:rsidR="00A413C3" w:rsidRPr="007E46C8">
        <w:t xml:space="preserve"> </w:t>
      </w:r>
      <w:r w:rsidR="002B1CCF" w:rsidRPr="007E46C8">
        <w:t>droits spécifiques devraient être acquittés lorsque plus d'un certain nombre (à déterminer) de notifications de stations terriennes sont soumises par la même administration.</w:t>
      </w:r>
    </w:p>
    <w:p w14:paraId="20801269" w14:textId="3F3DCBEA" w:rsidR="00FC1AF9" w:rsidRPr="007E46C8" w:rsidRDefault="006C53D5" w:rsidP="006C53D5">
      <w:pPr>
        <w:rPr>
          <w:bCs/>
        </w:rPr>
      </w:pPr>
      <w:r w:rsidRPr="007E46C8">
        <w:t>3.3.3</w:t>
      </w:r>
      <w:r w:rsidRPr="007E46C8">
        <w:tab/>
      </w:r>
      <w:r w:rsidR="002B1CCF" w:rsidRPr="007E46C8">
        <w:t>C</w:t>
      </w:r>
      <w:r w:rsidR="00E93178" w:rsidRPr="007E46C8">
        <w:t xml:space="preserve">onversion d'un allotissement en une assignation conformément à la procédure </w:t>
      </w:r>
      <w:r w:rsidR="002E3C15" w:rsidRPr="007E46C8">
        <w:t xml:space="preserve">énoncée </w:t>
      </w:r>
      <w:r w:rsidR="002B1CCF" w:rsidRPr="007E46C8">
        <w:t>dans</w:t>
      </w:r>
      <w:r w:rsidR="00A413C3" w:rsidRPr="007E46C8">
        <w:t xml:space="preserve"> </w:t>
      </w:r>
      <w:r w:rsidR="00E93178" w:rsidRPr="007E46C8">
        <w:t xml:space="preserve">l'ancienne Section I de l'Article 6 de l'Appendice </w:t>
      </w:r>
      <w:r w:rsidR="00E93178" w:rsidRPr="007E46C8">
        <w:rPr>
          <w:b/>
          <w:bCs/>
        </w:rPr>
        <w:t>30B</w:t>
      </w:r>
    </w:p>
    <w:p w14:paraId="6C4F11D2" w14:textId="2C9BB17B" w:rsidR="00FC1AF9" w:rsidRPr="007E46C8" w:rsidRDefault="002E3C15" w:rsidP="00A413C3">
      <w:pPr>
        <w:rPr>
          <w:bCs/>
        </w:rPr>
      </w:pPr>
      <w:r w:rsidRPr="007E46C8">
        <w:rPr>
          <w:bCs/>
        </w:rPr>
        <w:t xml:space="preserve">L'exonération de droits est liée au fait que chaque </w:t>
      </w:r>
      <w:r w:rsidR="006C53D5" w:rsidRPr="007E46C8">
        <w:rPr>
          <w:bCs/>
        </w:rPr>
        <w:t>État</w:t>
      </w:r>
      <w:r w:rsidRPr="007E46C8">
        <w:rPr>
          <w:bCs/>
        </w:rPr>
        <w:t xml:space="preserve"> Membre de l'UIT a le droit d'utiliser un</w:t>
      </w:r>
      <w:r w:rsidR="00A413C3" w:rsidRPr="007E46C8">
        <w:rPr>
          <w:bCs/>
        </w:rPr>
        <w:t xml:space="preserve"> </w:t>
      </w:r>
      <w:r w:rsidRPr="007E46C8">
        <w:rPr>
          <w:bCs/>
        </w:rPr>
        <w:t>allotissement</w:t>
      </w:r>
      <w:r w:rsidR="00A413C3" w:rsidRPr="007E46C8">
        <w:rPr>
          <w:bCs/>
        </w:rPr>
        <w:t xml:space="preserve"> </w:t>
      </w:r>
      <w:r w:rsidRPr="007E46C8">
        <w:rPr>
          <w:bCs/>
        </w:rPr>
        <w:t>de ce type et</w:t>
      </w:r>
      <w:r w:rsidR="00A413C3" w:rsidRPr="007E46C8">
        <w:rPr>
          <w:bCs/>
        </w:rPr>
        <w:t xml:space="preserve"> </w:t>
      </w:r>
      <w:r w:rsidRPr="007E46C8">
        <w:rPr>
          <w:bCs/>
        </w:rPr>
        <w:t>a donc le droit de l'utiliser en le transformant en assignation</w:t>
      </w:r>
      <w:r w:rsidR="00A413C3" w:rsidRPr="007E46C8">
        <w:rPr>
          <w:bCs/>
        </w:rPr>
        <w:t>.</w:t>
      </w:r>
      <w:r w:rsidRPr="007E46C8">
        <w:rPr>
          <w:bCs/>
        </w:rPr>
        <w:t xml:space="preserve"> </w:t>
      </w:r>
      <w:r w:rsidR="006C53D5" w:rsidRPr="007E46C8">
        <w:rPr>
          <w:bCs/>
        </w:rPr>
        <w:t>À</w:t>
      </w:r>
      <w:r w:rsidRPr="007E46C8">
        <w:rPr>
          <w:bCs/>
        </w:rPr>
        <w:t xml:space="preserve"> ce titre, la</w:t>
      </w:r>
      <w:r w:rsidR="00A413C3" w:rsidRPr="007E46C8">
        <w:rPr>
          <w:bCs/>
        </w:rPr>
        <w:t xml:space="preserve"> </w:t>
      </w:r>
      <w:r w:rsidRPr="007E46C8">
        <w:rPr>
          <w:bCs/>
        </w:rPr>
        <w:t>conversion devrait demeurée</w:t>
      </w:r>
      <w:r w:rsidR="00A413C3" w:rsidRPr="007E46C8">
        <w:rPr>
          <w:bCs/>
        </w:rPr>
        <w:t xml:space="preserve"> </w:t>
      </w:r>
      <w:r w:rsidRPr="007E46C8">
        <w:rPr>
          <w:bCs/>
        </w:rPr>
        <w:t>exonérée de droits</w:t>
      </w:r>
      <w:r w:rsidR="009F3E39" w:rsidRPr="007E46C8">
        <w:rPr>
          <w:bCs/>
        </w:rPr>
        <w:t>,</w:t>
      </w:r>
      <w:r w:rsidR="00A413C3" w:rsidRPr="007E46C8">
        <w:rPr>
          <w:bCs/>
        </w:rPr>
        <w:t xml:space="preserve"> </w:t>
      </w:r>
      <w:r w:rsidRPr="007E46C8">
        <w:rPr>
          <w:bCs/>
        </w:rPr>
        <w:t>tant qu'elle reste dans les limites de l'enveloppe de l'allotissement national.</w:t>
      </w:r>
      <w:r w:rsidRPr="007E46C8">
        <w:t xml:space="preserve"> </w:t>
      </w:r>
      <w:r w:rsidRPr="007E46C8">
        <w:rPr>
          <w:bCs/>
        </w:rPr>
        <w:t xml:space="preserve">Cependant, le Comité du Règlement des radiocommunications a indiqué, dans son rapport à la Conférence mondiale des radiocommunications de 2023 (CMR-23) sur la Résolution </w:t>
      </w:r>
      <w:r w:rsidRPr="007E46C8">
        <w:rPr>
          <w:b/>
        </w:rPr>
        <w:t>80 (Rév.CMR-07)</w:t>
      </w:r>
      <w:r w:rsidRPr="007E46C8">
        <w:rPr>
          <w:bCs/>
        </w:rPr>
        <w:t>,</w:t>
      </w:r>
      <w:r w:rsidR="00A413C3" w:rsidRPr="007E46C8">
        <w:rPr>
          <w:bCs/>
        </w:rPr>
        <w:t xml:space="preserve"> </w:t>
      </w:r>
      <w:r w:rsidRPr="007E46C8">
        <w:rPr>
          <w:bCs/>
        </w:rPr>
        <w:t>qu</w:t>
      </w:r>
      <w:r w:rsidR="00F42238" w:rsidRPr="007E46C8">
        <w:rPr>
          <w:bCs/>
        </w:rPr>
        <w:t>'</w:t>
      </w:r>
      <w:r w:rsidRPr="007E46C8">
        <w:rPr>
          <w:bCs/>
        </w:rPr>
        <w:t>une simplification de</w:t>
      </w:r>
      <w:r w:rsidR="00A413C3" w:rsidRPr="007E46C8">
        <w:rPr>
          <w:bCs/>
        </w:rPr>
        <w:t xml:space="preserve"> </w:t>
      </w:r>
      <w:r w:rsidRPr="007E46C8">
        <w:rPr>
          <w:bCs/>
        </w:rPr>
        <w:t>la procédure de conversion</w:t>
      </w:r>
      <w:r w:rsidR="00A413C3" w:rsidRPr="007E46C8">
        <w:rPr>
          <w:bCs/>
        </w:rPr>
        <w:t xml:space="preserve"> </w:t>
      </w:r>
      <w:r w:rsidRPr="007E46C8">
        <w:rPr>
          <w:bCs/>
        </w:rPr>
        <w:t>pourrait être envisagée, afin d'alléger la charge de travail des administrations et du Bureau des radiocommunications</w:t>
      </w:r>
      <w:r w:rsidR="00A413C3" w:rsidRPr="007E46C8">
        <w:rPr>
          <w:bCs/>
        </w:rPr>
        <w:t xml:space="preserve"> </w:t>
      </w:r>
      <w:r w:rsidR="009F3E39" w:rsidRPr="007E46C8">
        <w:rPr>
          <w:bCs/>
        </w:rPr>
        <w:t>sur le plan réglementaire</w:t>
      </w:r>
      <w:r w:rsidRPr="007E46C8">
        <w:rPr>
          <w:bCs/>
        </w:rPr>
        <w:t>.</w:t>
      </w:r>
      <w:r w:rsidR="006C53D5" w:rsidRPr="007E46C8">
        <w:rPr>
          <w:bCs/>
        </w:rPr>
        <w:t xml:space="preserve"> </w:t>
      </w:r>
      <w:r w:rsidRPr="007E46C8">
        <w:rPr>
          <w:bCs/>
        </w:rPr>
        <w:t>En outre, le</w:t>
      </w:r>
      <w:r w:rsidR="00A413C3" w:rsidRPr="007E46C8">
        <w:rPr>
          <w:bCs/>
        </w:rPr>
        <w:t xml:space="preserve"> </w:t>
      </w:r>
      <w:r w:rsidRPr="007E46C8">
        <w:t>Conseil est</w:t>
      </w:r>
      <w:r w:rsidR="00A413C3" w:rsidRPr="007E46C8">
        <w:t xml:space="preserve"> </w:t>
      </w:r>
      <w:r w:rsidRPr="007E46C8">
        <w:t xml:space="preserve">invité </w:t>
      </w:r>
      <w:r w:rsidRPr="007E46C8">
        <w:rPr>
          <w:b/>
          <w:bCs/>
        </w:rPr>
        <w:t>à attirer l'attention de la CMR-23</w:t>
      </w:r>
      <w:r w:rsidRPr="007E46C8">
        <w:t xml:space="preserve"> sur les avantages financiers que l</w:t>
      </w:r>
      <w:r w:rsidR="00F42238" w:rsidRPr="007E46C8">
        <w:t>'</w:t>
      </w:r>
      <w:r w:rsidRPr="007E46C8">
        <w:t>Union retirerait d</w:t>
      </w:r>
      <w:r w:rsidR="00F42238" w:rsidRPr="007E46C8">
        <w:t>'</w:t>
      </w:r>
      <w:r w:rsidRPr="007E46C8">
        <w:t>une</w:t>
      </w:r>
      <w:r w:rsidR="00A413C3" w:rsidRPr="007E46C8">
        <w:t xml:space="preserve"> </w:t>
      </w:r>
      <w:r w:rsidRPr="007E46C8">
        <w:t>réduction de la charge de travail du Bureau,</w:t>
      </w:r>
      <w:r w:rsidR="00A413C3" w:rsidRPr="007E46C8">
        <w:t xml:space="preserve"> </w:t>
      </w:r>
      <w:r w:rsidRPr="007E46C8">
        <w:t>du fait de la simplification des aspects réglementaires de la procédure de conversion</w:t>
      </w:r>
      <w:r w:rsidR="00A413C3" w:rsidRPr="007E46C8">
        <w:t xml:space="preserve"> </w:t>
      </w:r>
      <w:r w:rsidR="009F3E39" w:rsidRPr="007E46C8">
        <w:t>prévue dans</w:t>
      </w:r>
      <w:r w:rsidR="00A413C3" w:rsidRPr="007E46C8">
        <w:t xml:space="preserve"> </w:t>
      </w:r>
      <w:r w:rsidRPr="007E46C8">
        <w:t xml:space="preserve">l'Appendice </w:t>
      </w:r>
      <w:r w:rsidRPr="007E46C8">
        <w:rPr>
          <w:b/>
          <w:bCs/>
        </w:rPr>
        <w:t>30B</w:t>
      </w:r>
      <w:r w:rsidRPr="007E46C8">
        <w:t>.</w:t>
      </w:r>
    </w:p>
    <w:p w14:paraId="306B90AA" w14:textId="33777FC6" w:rsidR="00FC1AF9" w:rsidRPr="007E46C8" w:rsidRDefault="00FC1AF9" w:rsidP="00A413C3">
      <w:r w:rsidRPr="007E46C8">
        <w:rPr>
          <w:bCs/>
        </w:rPr>
        <w:lastRenderedPageBreak/>
        <w:t>3.3.4</w:t>
      </w:r>
      <w:r w:rsidRPr="007E46C8">
        <w:rPr>
          <w:bCs/>
        </w:rPr>
        <w:tab/>
      </w:r>
      <w:r w:rsidR="002E3C15" w:rsidRPr="007E46C8">
        <w:rPr>
          <w:bCs/>
        </w:rPr>
        <w:t>A</w:t>
      </w:r>
      <w:r w:rsidR="00E93178" w:rsidRPr="007E46C8">
        <w:rPr>
          <w:bCs/>
        </w:rPr>
        <w:t xml:space="preserve">djonction d'un nouvel allotissement dans le Plan pour un nouvel État Membre de l'Union, conformément à la procédure </w:t>
      </w:r>
      <w:r w:rsidR="002E3C15" w:rsidRPr="007E46C8">
        <w:rPr>
          <w:bCs/>
        </w:rPr>
        <w:t>énoncée dans</w:t>
      </w:r>
      <w:r w:rsidR="00A413C3" w:rsidRPr="007E46C8">
        <w:rPr>
          <w:bCs/>
        </w:rPr>
        <w:t xml:space="preserve"> </w:t>
      </w:r>
      <w:r w:rsidR="00E93178" w:rsidRPr="007E46C8">
        <w:rPr>
          <w:bCs/>
        </w:rPr>
        <w:t>l'Article 7 de l'Appendice </w:t>
      </w:r>
      <w:r w:rsidR="00E93178" w:rsidRPr="007E46C8">
        <w:rPr>
          <w:b/>
        </w:rPr>
        <w:t>30B</w:t>
      </w:r>
    </w:p>
    <w:p w14:paraId="270564E3" w14:textId="697B1544" w:rsidR="00897553" w:rsidRPr="007E46C8" w:rsidRDefault="002E3C15" w:rsidP="00A413C3">
      <w:pPr>
        <w:rPr>
          <w:bCs/>
        </w:rPr>
      </w:pPr>
      <w:r w:rsidRPr="007E46C8">
        <w:rPr>
          <w:bCs/>
        </w:rPr>
        <w:t>L'exonération de droits est</w:t>
      </w:r>
      <w:r w:rsidR="00A413C3" w:rsidRPr="007E46C8">
        <w:rPr>
          <w:bCs/>
        </w:rPr>
        <w:t xml:space="preserve"> </w:t>
      </w:r>
      <w:r w:rsidRPr="007E46C8">
        <w:rPr>
          <w:bCs/>
        </w:rPr>
        <w:t>également liée au</w:t>
      </w:r>
      <w:r w:rsidRPr="007E46C8">
        <w:t xml:space="preserve"> </w:t>
      </w:r>
      <w:r w:rsidRPr="007E46C8">
        <w:rPr>
          <w:bCs/>
        </w:rPr>
        <w:t xml:space="preserve">droit fondamental dont dispose chaque </w:t>
      </w:r>
      <w:r w:rsidR="006C53D5" w:rsidRPr="007E46C8">
        <w:rPr>
          <w:bCs/>
        </w:rPr>
        <w:t>État </w:t>
      </w:r>
      <w:r w:rsidRPr="007E46C8">
        <w:rPr>
          <w:bCs/>
        </w:rPr>
        <w:t>Membre en vertu</w:t>
      </w:r>
      <w:r w:rsidR="00A413C3" w:rsidRPr="007E46C8">
        <w:rPr>
          <w:bCs/>
        </w:rPr>
        <w:t xml:space="preserve"> </w:t>
      </w:r>
      <w:r w:rsidRPr="007E46C8">
        <w:rPr>
          <w:bCs/>
        </w:rPr>
        <w:t>de l'article 44 de la Constitution de l'UIT</w:t>
      </w:r>
      <w:r w:rsidR="00ED1E91" w:rsidRPr="007E46C8">
        <w:rPr>
          <w:bCs/>
        </w:rPr>
        <w:t xml:space="preserve">. </w:t>
      </w:r>
      <w:r w:rsidR="006C53D5" w:rsidRPr="007E46C8">
        <w:rPr>
          <w:bCs/>
        </w:rPr>
        <w:t>À</w:t>
      </w:r>
      <w:r w:rsidRPr="007E46C8">
        <w:rPr>
          <w:bCs/>
        </w:rPr>
        <w:t xml:space="preserve"> ce titre</w:t>
      </w:r>
      <w:r w:rsidR="00A413C3" w:rsidRPr="007E46C8">
        <w:rPr>
          <w:bCs/>
        </w:rPr>
        <w:t>,</w:t>
      </w:r>
      <w:r w:rsidR="00ED1E91" w:rsidRPr="007E46C8">
        <w:rPr>
          <w:bCs/>
        </w:rPr>
        <w:t xml:space="preserve"> l</w:t>
      </w:r>
      <w:r w:rsidR="00F42238" w:rsidRPr="007E46C8">
        <w:rPr>
          <w:bCs/>
        </w:rPr>
        <w:t>'</w:t>
      </w:r>
      <w:r w:rsidR="00ED1E91" w:rsidRPr="007E46C8">
        <w:rPr>
          <w:bCs/>
        </w:rPr>
        <w:t xml:space="preserve">adjonction d'un nouvel allotissement devrait </w:t>
      </w:r>
      <w:r w:rsidRPr="007E46C8">
        <w:rPr>
          <w:bCs/>
        </w:rPr>
        <w:t>rester exonéré</w:t>
      </w:r>
      <w:r w:rsidR="00ED1E91" w:rsidRPr="007E46C8">
        <w:rPr>
          <w:bCs/>
        </w:rPr>
        <w:t>e</w:t>
      </w:r>
      <w:r w:rsidRPr="007E46C8">
        <w:rPr>
          <w:bCs/>
        </w:rPr>
        <w:t xml:space="preserve"> de droits.</w:t>
      </w:r>
    </w:p>
    <w:p w14:paraId="1C95DDF9" w14:textId="31EBBB0E" w:rsidR="002524BE" w:rsidRPr="007E46C8" w:rsidRDefault="002524BE" w:rsidP="00A413C3">
      <w:pPr>
        <w:pStyle w:val="Heading1"/>
      </w:pPr>
      <w:r w:rsidRPr="007E46C8">
        <w:t>4</w:t>
      </w:r>
      <w:r w:rsidRPr="007E46C8">
        <w:tab/>
      </w:r>
      <w:r w:rsidR="00ED1E91" w:rsidRPr="007E46C8">
        <w:t>Valeur financière des droits</w:t>
      </w:r>
      <w:r w:rsidR="00A413C3" w:rsidRPr="007E46C8">
        <w:t xml:space="preserve"> </w:t>
      </w:r>
      <w:r w:rsidR="00ED1E91" w:rsidRPr="007E46C8">
        <w:t>indiquée dans l'Annexe de la Décision 482</w:t>
      </w:r>
    </w:p>
    <w:p w14:paraId="3C715387" w14:textId="4EAE6D8F" w:rsidR="002524BE" w:rsidRPr="007E46C8" w:rsidRDefault="00ED1E91" w:rsidP="00A413C3">
      <w:r w:rsidRPr="007E46C8">
        <w:t>Les droits</w:t>
      </w:r>
      <w:r w:rsidR="00A413C3" w:rsidRPr="007E46C8">
        <w:t xml:space="preserve"> </w:t>
      </w:r>
      <w:r w:rsidRPr="007E46C8">
        <w:t>indiqués dans l'Annexe de la Décision 482 (C01, modifiée pour la dernière fois en</w:t>
      </w:r>
      <w:r w:rsidR="006C53D5" w:rsidRPr="007E46C8">
        <w:t> </w:t>
      </w:r>
      <w:r w:rsidRPr="007E46C8">
        <w:t xml:space="preserve">2020) ont été établis par le Conseil à sa session de 2005. En ce qui concerne les fiches de notification relevant des catégories P4 et P5, les droits au titre du recouvrement des coûts ont diminué </w:t>
      </w:r>
      <w:proofErr w:type="gramStart"/>
      <w:r w:rsidRPr="007E46C8">
        <w:t>suite à</w:t>
      </w:r>
      <w:proofErr w:type="gramEnd"/>
      <w:r w:rsidRPr="007E46C8">
        <w:t xml:space="preserve"> la révision de l'Appendice </w:t>
      </w:r>
      <w:r w:rsidRPr="007E46C8">
        <w:rPr>
          <w:b/>
          <w:bCs/>
        </w:rPr>
        <w:t>30B</w:t>
      </w:r>
      <w:r w:rsidRPr="007E46C8">
        <w:t xml:space="preserve"> du Règlement des radiocommunications par la CMR-07. Tous les autres droits figurant dans l'Annexe de la Décision 482 sont restés inchangés.</w:t>
      </w:r>
    </w:p>
    <w:p w14:paraId="629E331D" w14:textId="14ADF253" w:rsidR="002524BE" w:rsidRPr="007E46C8" w:rsidRDefault="002524BE" w:rsidP="00A413C3">
      <w:pPr>
        <w:pStyle w:val="Heading1"/>
      </w:pPr>
      <w:r w:rsidRPr="007E46C8">
        <w:t>5</w:t>
      </w:r>
      <w:r w:rsidRPr="007E46C8">
        <w:tab/>
      </w:r>
      <w:r w:rsidR="00ED1E91" w:rsidRPr="007E46C8">
        <w:t>Mécanismes réglementaires actuellement prévus dans la Décision 482</w:t>
      </w:r>
      <w:r w:rsidR="00E96849" w:rsidRPr="007E46C8">
        <w:t xml:space="preserve"> et ayant sensiblement</w:t>
      </w:r>
      <w:r w:rsidR="00A413C3" w:rsidRPr="007E46C8">
        <w:t xml:space="preserve"> </w:t>
      </w:r>
      <w:r w:rsidR="00E96849" w:rsidRPr="007E46C8">
        <w:t>évolué</w:t>
      </w:r>
      <w:r w:rsidR="00ED1E91" w:rsidRPr="007E46C8">
        <w:t xml:space="preserve"> depuis 2005</w:t>
      </w:r>
    </w:p>
    <w:p w14:paraId="6A1BCDE7" w14:textId="686D205A" w:rsidR="002524BE" w:rsidRPr="007E46C8" w:rsidRDefault="002524BE" w:rsidP="00A413C3">
      <w:r w:rsidRPr="007E46C8">
        <w:t>5.1</w:t>
      </w:r>
      <w:r w:rsidRPr="007E46C8">
        <w:tab/>
      </w:r>
      <w:r w:rsidR="00E96849" w:rsidRPr="007E46C8">
        <w:t>Le traitement des</w:t>
      </w:r>
      <w:r w:rsidR="00A413C3" w:rsidRPr="007E46C8">
        <w:t xml:space="preserve"> </w:t>
      </w:r>
      <w:r w:rsidR="00E96849" w:rsidRPr="007E46C8">
        <w:rPr>
          <w:u w:val="single"/>
        </w:rPr>
        <w:t>fiches de notification soumises à nouveau</w:t>
      </w:r>
      <w:r w:rsidR="00E96849" w:rsidRPr="007E46C8">
        <w:t xml:space="preserve"> est</w:t>
      </w:r>
      <w:r w:rsidR="00A413C3" w:rsidRPr="007E46C8">
        <w:t xml:space="preserve"> </w:t>
      </w:r>
      <w:r w:rsidR="00E96849" w:rsidRPr="007E46C8">
        <w:t>inclus dans le coût des notifications des catégories</w:t>
      </w:r>
      <w:r w:rsidR="00A413C3" w:rsidRPr="007E46C8">
        <w:t xml:space="preserve"> </w:t>
      </w:r>
      <w:r w:rsidR="00E96849" w:rsidRPr="007E46C8">
        <w:t>N1 à N3, comme indiqué dans la Note relative à ces catégories figurant dans l'Annexe de la Décision 482 (C01, modifiée pour la dernière fois en 2020</w:t>
      </w:r>
      <w:r w:rsidR="00A413C3" w:rsidRPr="007E46C8">
        <w:t>)</w:t>
      </w:r>
      <w:r w:rsidR="00E96849" w:rsidRPr="007E46C8">
        <w:t>. Toutefois, les nouvelles soumissions actuelles</w:t>
      </w:r>
      <w:r w:rsidR="00AF1A88" w:rsidRPr="007E46C8">
        <w:t xml:space="preserve"> nécessitent</w:t>
      </w:r>
      <w:r w:rsidR="00A413C3" w:rsidRPr="007E46C8">
        <w:t xml:space="preserve"> </w:t>
      </w:r>
      <w:r w:rsidR="00E96849" w:rsidRPr="007E46C8">
        <w:t>généralement plus de travail</w:t>
      </w:r>
      <w:r w:rsidR="00A413C3" w:rsidRPr="007E46C8">
        <w:t xml:space="preserve"> </w:t>
      </w:r>
      <w:r w:rsidR="00E96849" w:rsidRPr="007E46C8">
        <w:t>que</w:t>
      </w:r>
      <w:r w:rsidR="00A413C3" w:rsidRPr="007E46C8">
        <w:t xml:space="preserve"> </w:t>
      </w:r>
      <w:r w:rsidR="00E96849" w:rsidRPr="007E46C8">
        <w:t>prévu</w:t>
      </w:r>
      <w:r w:rsidR="00A413C3" w:rsidRPr="007E46C8">
        <w:t xml:space="preserve"> </w:t>
      </w:r>
      <w:r w:rsidR="00E96849" w:rsidRPr="007E46C8">
        <w:t>initialement en 2005</w:t>
      </w:r>
      <w:r w:rsidR="00A413C3" w:rsidRPr="007E46C8">
        <w:t xml:space="preserve"> </w:t>
      </w:r>
      <w:r w:rsidR="009F3E39" w:rsidRPr="007E46C8">
        <w:t>en raison des</w:t>
      </w:r>
      <w:r w:rsidR="00E96849" w:rsidRPr="007E46C8">
        <w:t xml:space="preserve"> renseignements </w:t>
      </w:r>
      <w:r w:rsidR="00563B01" w:rsidRPr="007E46C8">
        <w:t xml:space="preserve">additionnels </w:t>
      </w:r>
      <w:r w:rsidR="00E96849" w:rsidRPr="007E46C8">
        <w:t>figurant dans ces nouvelles soumissions</w:t>
      </w:r>
      <w:r w:rsidR="009F3E39" w:rsidRPr="007E46C8">
        <w:t>, qui</w:t>
      </w:r>
      <w:r w:rsidR="00A413C3" w:rsidRPr="007E46C8">
        <w:t xml:space="preserve"> </w:t>
      </w:r>
      <w:r w:rsidR="00E96849" w:rsidRPr="007E46C8">
        <w:t>rendent nécessaires de nouveaux examens</w:t>
      </w:r>
      <w:r w:rsidR="00563B01" w:rsidRPr="007E46C8">
        <w:t xml:space="preserve">. </w:t>
      </w:r>
      <w:r w:rsidR="009F3E39" w:rsidRPr="007E46C8">
        <w:t>Cependant</w:t>
      </w:r>
      <w:r w:rsidR="00563B01" w:rsidRPr="007E46C8">
        <w:t xml:space="preserve">, certaines soumissions présentées </w:t>
      </w:r>
      <w:proofErr w:type="gramStart"/>
      <w:r w:rsidR="00563B01" w:rsidRPr="007E46C8">
        <w:t>suite à</w:t>
      </w:r>
      <w:proofErr w:type="gramEnd"/>
      <w:r w:rsidR="00563B01" w:rsidRPr="007E46C8">
        <w:t xml:space="preserve"> la formulation de conclusions par le Bureau des radiocommunications,</w:t>
      </w:r>
      <w:r w:rsidR="00A413C3" w:rsidRPr="007E46C8">
        <w:t xml:space="preserve"> </w:t>
      </w:r>
      <w:r w:rsidR="00563B01" w:rsidRPr="007E46C8">
        <w:t>par exemple les demandes d'inscription d'une assignation</w:t>
      </w:r>
      <w:r w:rsidR="00A413C3" w:rsidRPr="007E46C8">
        <w:t xml:space="preserve"> </w:t>
      </w:r>
      <w:r w:rsidR="00563B01" w:rsidRPr="007E46C8">
        <w:t>pour</w:t>
      </w:r>
      <w:r w:rsidR="00A413C3" w:rsidRPr="007E46C8">
        <w:t xml:space="preserve"> </w:t>
      </w:r>
      <w:r w:rsidR="00563B01" w:rsidRPr="007E46C8">
        <w:t xml:space="preserve">information conformément au numéro </w:t>
      </w:r>
      <w:r w:rsidR="00563B01" w:rsidRPr="007E46C8">
        <w:rPr>
          <w:b/>
          <w:bCs/>
        </w:rPr>
        <w:t xml:space="preserve">8.4 </w:t>
      </w:r>
      <w:r w:rsidR="00563B01" w:rsidRPr="007E46C8">
        <w:t>du Règlement des radiocommunications, ne nécessitent pas un traitement important et</w:t>
      </w:r>
      <w:r w:rsidR="00A413C3" w:rsidRPr="007E46C8">
        <w:t xml:space="preserve"> </w:t>
      </w:r>
      <w:r w:rsidR="00F54484" w:rsidRPr="007E46C8">
        <w:t>pourraient</w:t>
      </w:r>
      <w:r w:rsidR="00563B01" w:rsidRPr="007E46C8">
        <w:t xml:space="preserve"> être </w:t>
      </w:r>
      <w:r w:rsidR="00F54484" w:rsidRPr="007E46C8">
        <w:t>exonérées</w:t>
      </w:r>
      <w:r w:rsidR="00A413C3" w:rsidRPr="007E46C8">
        <w:t xml:space="preserve"> </w:t>
      </w:r>
      <w:r w:rsidR="00563B01" w:rsidRPr="007E46C8">
        <w:t>de droits.</w:t>
      </w:r>
      <w:r w:rsidR="00F54484" w:rsidRPr="007E46C8">
        <w:t xml:space="preserve"> En conséquence,</w:t>
      </w:r>
      <w:r w:rsidR="00A413C3" w:rsidRPr="007E46C8">
        <w:t xml:space="preserve"> </w:t>
      </w:r>
      <w:r w:rsidR="00F54484" w:rsidRPr="007E46C8">
        <w:t>il serait utile de procéder à une étude plus approfondie</w:t>
      </w:r>
      <w:r w:rsidR="00A413C3" w:rsidRPr="007E46C8">
        <w:t xml:space="preserve"> </w:t>
      </w:r>
      <w:r w:rsidR="00F54484" w:rsidRPr="007E46C8">
        <w:t>du</w:t>
      </w:r>
      <w:r w:rsidR="00A413C3" w:rsidRPr="007E46C8">
        <w:t xml:space="preserve"> </w:t>
      </w:r>
      <w:r w:rsidR="00F54484" w:rsidRPr="007E46C8">
        <w:t>recouvrement des coûts pour les nouvelles soumissions</w:t>
      </w:r>
      <w:r w:rsidR="00A413C3" w:rsidRPr="007E46C8">
        <w:t>,</w:t>
      </w:r>
      <w:r w:rsidR="00F54484" w:rsidRPr="007E46C8">
        <w:t xml:space="preserve"> afin que les coûts réels correspondent aux coûts recouvrés.</w:t>
      </w:r>
    </w:p>
    <w:p w14:paraId="47B7061D" w14:textId="2BBED311" w:rsidR="002524BE" w:rsidRPr="007E46C8" w:rsidRDefault="002524BE" w:rsidP="00A413C3">
      <w:r w:rsidRPr="007E46C8">
        <w:t>5.2</w:t>
      </w:r>
      <w:r w:rsidRPr="007E46C8">
        <w:tab/>
      </w:r>
      <w:r w:rsidR="003B52A5" w:rsidRPr="007E46C8">
        <w:t>Les droits perçus pour la</w:t>
      </w:r>
      <w:r w:rsidRPr="007E46C8">
        <w:t xml:space="preserve"> notification </w:t>
      </w:r>
      <w:r w:rsidR="003B52A5" w:rsidRPr="007E46C8">
        <w:t xml:space="preserve">comprennent également </w:t>
      </w:r>
      <w:r w:rsidR="00C37298" w:rsidRPr="007E46C8">
        <w:t>"</w:t>
      </w:r>
      <w:r w:rsidR="003B52A5" w:rsidRPr="007E46C8">
        <w:t>l'</w:t>
      </w:r>
      <w:r w:rsidR="003B52A5" w:rsidRPr="007E46C8">
        <w:rPr>
          <w:u w:val="single"/>
        </w:rPr>
        <w:t>application des Résolutions 4 et 49, des numéros 11.32A (voir la note a), 11.41, 11.47, 11.49, de la Sous</w:t>
      </w:r>
      <w:r w:rsidR="006C53D5" w:rsidRPr="007E46C8">
        <w:rPr>
          <w:u w:val="single"/>
        </w:rPr>
        <w:noBreakHyphen/>
      </w:r>
      <w:r w:rsidR="003B52A5" w:rsidRPr="007E46C8">
        <w:rPr>
          <w:u w:val="single"/>
        </w:rPr>
        <w:t>Section IID de l'Article 9, des Sections 1 et 2 de l'Article 13 et de l'Article 14</w:t>
      </w:r>
      <w:r w:rsidR="004B6BCB" w:rsidRPr="007E46C8">
        <w:t>"</w:t>
      </w:r>
      <w:r w:rsidR="003B52A5" w:rsidRPr="007E46C8">
        <w:t>. En conséquence, l'application de ces procédures n'est pas facturée séparément.</w:t>
      </w:r>
      <w:r w:rsidR="00E3239A" w:rsidRPr="007E46C8">
        <w:t xml:space="preserve"> Depuis 2005, les CMR ont considérablement augmenté le nombre de dispositions associées à la tenue à jour des assignations</w:t>
      </w:r>
      <w:r w:rsidR="00A413C3" w:rsidRPr="007E46C8">
        <w:t xml:space="preserve"> </w:t>
      </w:r>
      <w:r w:rsidR="00E3239A" w:rsidRPr="007E46C8">
        <w:t>inscrites dans le Fichier de référence international des fréquences.</w:t>
      </w:r>
      <w:r w:rsidR="00A413C3" w:rsidRPr="007E46C8">
        <w:t xml:space="preserve"> </w:t>
      </w:r>
      <w:r w:rsidR="00E3239A" w:rsidRPr="007E46C8">
        <w:t>Leur application</w:t>
      </w:r>
      <w:r w:rsidR="00A413C3" w:rsidRPr="007E46C8">
        <w:t xml:space="preserve"> </w:t>
      </w:r>
      <w:r w:rsidR="00E3239A" w:rsidRPr="007E46C8">
        <w:t>pourrait certes continuer d'être facturée conjointement avec la notification, mais</w:t>
      </w:r>
      <w:r w:rsidR="00A413C3" w:rsidRPr="007E46C8">
        <w:t xml:space="preserve"> </w:t>
      </w:r>
      <w:r w:rsidR="00E3239A" w:rsidRPr="007E46C8">
        <w:t>il conviendrait de procéder à un examen des coûts afférents à</w:t>
      </w:r>
      <w:r w:rsidR="00A413C3" w:rsidRPr="007E46C8">
        <w:t xml:space="preserve"> </w:t>
      </w:r>
      <w:r w:rsidR="00E3239A" w:rsidRPr="007E46C8">
        <w:t>ces dispositions additionnelles.</w:t>
      </w:r>
    </w:p>
    <w:p w14:paraId="53724F4A" w14:textId="1A3544A4" w:rsidR="002524BE" w:rsidRPr="007E46C8" w:rsidRDefault="002524BE" w:rsidP="00A413C3">
      <w:pPr>
        <w:pStyle w:val="Heading1"/>
      </w:pPr>
      <w:r w:rsidRPr="007E46C8">
        <w:t>6</w:t>
      </w:r>
      <w:r w:rsidRPr="007E46C8">
        <w:tab/>
      </w:r>
      <w:r w:rsidR="00D408AB" w:rsidRPr="007E46C8">
        <w:t>Catégories de droits à examiner</w:t>
      </w:r>
    </w:p>
    <w:p w14:paraId="247823C2" w14:textId="5D7595CF" w:rsidR="00A15E45" w:rsidRPr="007E46C8" w:rsidRDefault="002524BE" w:rsidP="00A413C3">
      <w:r w:rsidRPr="007E46C8">
        <w:t>6.1</w:t>
      </w:r>
      <w:r w:rsidRPr="007E46C8">
        <w:tab/>
      </w:r>
      <w:r w:rsidR="00A15E45" w:rsidRPr="007E46C8">
        <w:t>En raison des</w:t>
      </w:r>
      <w:r w:rsidR="00D408AB" w:rsidRPr="007E46C8">
        <w:t xml:space="preserve"> avancées</w:t>
      </w:r>
      <w:r w:rsidR="00A413C3" w:rsidRPr="007E46C8">
        <w:t xml:space="preserve"> </w:t>
      </w:r>
      <w:r w:rsidR="00D408AB" w:rsidRPr="007E46C8">
        <w:t>technologiques de ces dernières années,</w:t>
      </w:r>
      <w:r w:rsidR="00A413C3" w:rsidRPr="007E46C8">
        <w:t xml:space="preserve"> </w:t>
      </w:r>
      <w:r w:rsidR="009F3E39" w:rsidRPr="007E46C8">
        <w:t>du point de vue</w:t>
      </w:r>
      <w:r w:rsidR="00A413C3" w:rsidRPr="007E46C8">
        <w:t xml:space="preserve"> </w:t>
      </w:r>
      <w:r w:rsidR="00D408AB" w:rsidRPr="007E46C8">
        <w:t>en particulier</w:t>
      </w:r>
      <w:r w:rsidR="00A413C3" w:rsidRPr="007E46C8">
        <w:t xml:space="preserve"> </w:t>
      </w:r>
      <w:r w:rsidR="00A15E45" w:rsidRPr="007E46C8">
        <w:t>de</w:t>
      </w:r>
      <w:r w:rsidR="00D408AB" w:rsidRPr="007E46C8">
        <w:t xml:space="preserve"> la construction et</w:t>
      </w:r>
      <w:r w:rsidR="00A15E45" w:rsidRPr="007E46C8">
        <w:t xml:space="preserve"> de</w:t>
      </w:r>
      <w:r w:rsidR="00A413C3" w:rsidRPr="007E46C8">
        <w:t xml:space="preserve"> </w:t>
      </w:r>
      <w:r w:rsidR="00D408AB" w:rsidRPr="007E46C8">
        <w:t>l'exploitation des constellations de satellites non OSG,</w:t>
      </w:r>
      <w:r w:rsidR="00A413C3" w:rsidRPr="007E46C8">
        <w:t xml:space="preserve"> </w:t>
      </w:r>
      <w:r w:rsidR="00D408AB" w:rsidRPr="007E46C8">
        <w:t>les</w:t>
      </w:r>
      <w:r w:rsidR="00A413C3" w:rsidRPr="007E46C8">
        <w:t xml:space="preserve"> </w:t>
      </w:r>
      <w:r w:rsidR="00D408AB" w:rsidRPr="007E46C8">
        <w:t>fiches de notification</w:t>
      </w:r>
      <w:r w:rsidR="00A413C3" w:rsidRPr="007E46C8">
        <w:t xml:space="preserve"> </w:t>
      </w:r>
      <w:r w:rsidR="00D408AB" w:rsidRPr="007E46C8">
        <w:t xml:space="preserve">de systèmes non OSG </w:t>
      </w:r>
      <w:r w:rsidR="00A15E45" w:rsidRPr="007E46C8">
        <w:t xml:space="preserve">sont devenues </w:t>
      </w:r>
      <w:r w:rsidR="00D408AB" w:rsidRPr="007E46C8">
        <w:t>plus complexes</w:t>
      </w:r>
      <w:r w:rsidR="00A413C3" w:rsidRPr="007E46C8">
        <w:t xml:space="preserve"> </w:t>
      </w:r>
      <w:r w:rsidR="00A15E45" w:rsidRPr="007E46C8">
        <w:t>pour ce qui est</w:t>
      </w:r>
      <w:r w:rsidR="00D408AB" w:rsidRPr="007E46C8">
        <w:t xml:space="preserve"> </w:t>
      </w:r>
      <w:r w:rsidR="00D408AB" w:rsidRPr="007E46C8">
        <w:lastRenderedPageBreak/>
        <w:t>de</w:t>
      </w:r>
      <w:r w:rsidR="00A15E45" w:rsidRPr="007E46C8">
        <w:t>s</w:t>
      </w:r>
      <w:r w:rsidR="00D408AB" w:rsidRPr="007E46C8">
        <w:t xml:space="preserve"> configurations orbitales, de</w:t>
      </w:r>
      <w:r w:rsidR="00A15E45" w:rsidRPr="007E46C8">
        <w:t>s</w:t>
      </w:r>
      <w:r w:rsidR="00D408AB" w:rsidRPr="007E46C8">
        <w:t xml:space="preserve"> faisceaux associés et de</w:t>
      </w:r>
      <w:r w:rsidR="00A15E45" w:rsidRPr="007E46C8">
        <w:t>s</w:t>
      </w:r>
      <w:r w:rsidR="00D408AB" w:rsidRPr="007E46C8">
        <w:t xml:space="preserve"> porteuses. Leur traitement, tant du point de vue de l'exhaustivité que de</w:t>
      </w:r>
      <w:r w:rsidR="00A413C3" w:rsidRPr="007E46C8">
        <w:t xml:space="preserve"> </w:t>
      </w:r>
      <w:r w:rsidR="00D408AB" w:rsidRPr="007E46C8">
        <w:t xml:space="preserve">la précision des examens réglementaires et techniques, exige </w:t>
      </w:r>
      <w:r w:rsidR="00A15E45" w:rsidRPr="007E46C8">
        <w:t>en conséquence</w:t>
      </w:r>
      <w:r w:rsidR="00A413C3" w:rsidRPr="007E46C8">
        <w:t xml:space="preserve"> </w:t>
      </w:r>
      <w:r w:rsidR="00D408AB" w:rsidRPr="007E46C8">
        <w:t xml:space="preserve">davantage de ressources. Lorsque le Conseil a commencé à examiner cette question à sa session de 2019, il a </w:t>
      </w:r>
      <w:r w:rsidR="00810DDE" w:rsidRPr="007E46C8">
        <w:t xml:space="preserve">fixé </w:t>
      </w:r>
      <w:r w:rsidR="00D30FDA" w:rsidRPr="007E46C8">
        <w:t>un</w:t>
      </w:r>
      <w:r w:rsidR="00A413C3" w:rsidRPr="007E46C8">
        <w:t xml:space="preserve"> </w:t>
      </w:r>
      <w:r w:rsidR="00D408AB" w:rsidRPr="007E46C8">
        <w:t>plafon</w:t>
      </w:r>
      <w:r w:rsidR="00810DDE" w:rsidRPr="007E46C8">
        <w:t xml:space="preserve">d </w:t>
      </w:r>
      <w:r w:rsidR="00D30FDA" w:rsidRPr="007E46C8">
        <w:t xml:space="preserve">à </w:t>
      </w:r>
      <w:r w:rsidR="00D408AB" w:rsidRPr="007E46C8">
        <w:t xml:space="preserve">75 000 unités. </w:t>
      </w:r>
      <w:r w:rsidR="00A15E45" w:rsidRPr="007E46C8">
        <w:t>Or, d</w:t>
      </w:r>
      <w:r w:rsidR="00D408AB" w:rsidRPr="007E46C8">
        <w:t>epuis le 1er juillet 2019, le Bureau des radiocommunications a</w:t>
      </w:r>
      <w:r w:rsidR="00A413C3" w:rsidRPr="007E46C8">
        <w:t xml:space="preserve"> </w:t>
      </w:r>
      <w:r w:rsidR="00D408AB" w:rsidRPr="007E46C8">
        <w:t>reçu cinq fiches de notification de satellites non OSG comportant plus de 75 000 unités.</w:t>
      </w:r>
      <w:r w:rsidR="00A15E45" w:rsidRPr="007E46C8">
        <w:t xml:space="preserve"> De plus, la formule permettant de calculer le nombre d'unités pour les systèmes non OSG ne tient pas compte du nombre d'altitudes orbitales différentes, du nombre de satellites, du nombre de stations terriennes ou d'autres caractéristiques influant sur la charge de travail</w:t>
      </w:r>
      <w:r w:rsidR="00A413C3" w:rsidRPr="007E46C8">
        <w:t xml:space="preserve"> </w:t>
      </w:r>
      <w:r w:rsidR="00A15E45" w:rsidRPr="007E46C8">
        <w:t>liée à</w:t>
      </w:r>
      <w:r w:rsidR="00A413C3" w:rsidRPr="007E46C8">
        <w:t xml:space="preserve"> </w:t>
      </w:r>
      <w:r w:rsidR="00A15E45" w:rsidRPr="007E46C8">
        <w:t>l'examen.</w:t>
      </w:r>
      <w:r w:rsidR="0098691D" w:rsidRPr="007E46C8">
        <w:t xml:space="preserve"> </w:t>
      </w:r>
      <w:r w:rsidR="00A15E45" w:rsidRPr="007E46C8">
        <w:t>Ces aspects</w:t>
      </w:r>
      <w:r w:rsidR="009F3E39" w:rsidRPr="007E46C8">
        <w:t xml:space="preserve"> appellent</w:t>
      </w:r>
      <w:r w:rsidR="00A15E45" w:rsidRPr="007E46C8">
        <w:t xml:space="preserve"> donc</w:t>
      </w:r>
      <w:r w:rsidR="00A413C3" w:rsidRPr="007E46C8">
        <w:t xml:space="preserve"> </w:t>
      </w:r>
      <w:r w:rsidR="00A15E45" w:rsidRPr="007E46C8">
        <w:t>une</w:t>
      </w:r>
      <w:r w:rsidR="00A413C3" w:rsidRPr="007E46C8">
        <w:t xml:space="preserve"> </w:t>
      </w:r>
      <w:r w:rsidR="00A15E45" w:rsidRPr="007E46C8">
        <w:t>étude plus approfondie.</w:t>
      </w:r>
    </w:p>
    <w:p w14:paraId="5CB2C92D" w14:textId="0ED2A7BE" w:rsidR="002524BE" w:rsidRPr="007E46C8" w:rsidRDefault="002524BE" w:rsidP="00A413C3">
      <w:r w:rsidRPr="007E46C8">
        <w:t>6.2</w:t>
      </w:r>
      <w:r w:rsidRPr="007E46C8">
        <w:tab/>
      </w:r>
      <w:r w:rsidR="008E2D2E" w:rsidRPr="007E46C8">
        <w:t xml:space="preserve">De même, les fiches de notification des systèmes à satellites </w:t>
      </w:r>
      <w:r w:rsidR="006B12BC" w:rsidRPr="007E46C8">
        <w:t>non</w:t>
      </w:r>
      <w:r w:rsidR="00A413C3" w:rsidRPr="007E46C8">
        <w:t xml:space="preserve"> </w:t>
      </w:r>
      <w:r w:rsidR="008E2D2E" w:rsidRPr="007E46C8">
        <w:t>assujetties à la coordination ont</w:t>
      </w:r>
      <w:r w:rsidR="00A413C3" w:rsidRPr="007E46C8">
        <w:t xml:space="preserve"> </w:t>
      </w:r>
      <w:r w:rsidR="008E2D2E" w:rsidRPr="007E46C8">
        <w:t>considérablement évolué depuis 2005, époque</w:t>
      </w:r>
      <w:r w:rsidR="00A413C3" w:rsidRPr="007E46C8">
        <w:t xml:space="preserve"> </w:t>
      </w:r>
      <w:r w:rsidR="008E2D2E" w:rsidRPr="007E46C8">
        <w:t>où seules quelques fiches de notification</w:t>
      </w:r>
      <w:r w:rsidR="00A413C3" w:rsidRPr="007E46C8">
        <w:t xml:space="preserve"> </w:t>
      </w:r>
      <w:r w:rsidR="008E2D2E" w:rsidRPr="007E46C8">
        <w:t>correctement</w:t>
      </w:r>
      <w:r w:rsidR="00A413C3" w:rsidRPr="007E46C8">
        <w:t xml:space="preserve"> </w:t>
      </w:r>
      <w:r w:rsidR="008E2D2E" w:rsidRPr="007E46C8">
        <w:t>préparées et contenant un petit nombre d'assignations de fréquence</w:t>
      </w:r>
      <w:r w:rsidR="00A413C3" w:rsidRPr="007E46C8">
        <w:t xml:space="preserve"> </w:t>
      </w:r>
      <w:r w:rsidR="008E2D2E" w:rsidRPr="007E46C8">
        <w:t>étaient soumises chaque année. Non seulement les</w:t>
      </w:r>
      <w:r w:rsidR="00A413C3" w:rsidRPr="007E46C8">
        <w:t xml:space="preserve"> </w:t>
      </w:r>
      <w:r w:rsidR="008E2D2E" w:rsidRPr="007E46C8">
        <w:t>fiches de notification de systèmes non OSG qui ne sont pas</w:t>
      </w:r>
      <w:r w:rsidR="00A413C3" w:rsidRPr="007E46C8">
        <w:t xml:space="preserve"> </w:t>
      </w:r>
      <w:r w:rsidR="008E2D2E" w:rsidRPr="007E46C8">
        <w:t>soumises à la coordination sont plus nombreuses,</w:t>
      </w:r>
      <w:r w:rsidR="00A413C3" w:rsidRPr="007E46C8">
        <w:t xml:space="preserve"> </w:t>
      </w:r>
      <w:r w:rsidR="008E2D2E" w:rsidRPr="007E46C8">
        <w:t>mais</w:t>
      </w:r>
      <w:r w:rsidR="00A413C3" w:rsidRPr="007E46C8">
        <w:t xml:space="preserve"> </w:t>
      </w:r>
      <w:r w:rsidR="008E2D2E" w:rsidRPr="007E46C8">
        <w:t xml:space="preserve">il arrive </w:t>
      </w:r>
      <w:r w:rsidR="002C3694" w:rsidRPr="007E46C8">
        <w:t>aujourd</w:t>
      </w:r>
      <w:r w:rsidR="00F42238" w:rsidRPr="007E46C8">
        <w:t>'</w:t>
      </w:r>
      <w:r w:rsidR="002C3694" w:rsidRPr="007E46C8">
        <w:t xml:space="preserve">hui </w:t>
      </w:r>
      <w:r w:rsidR="008E2D2E" w:rsidRPr="007E46C8">
        <w:t>qu</w:t>
      </w:r>
      <w:r w:rsidR="00F42238" w:rsidRPr="007E46C8">
        <w:t>'</w:t>
      </w:r>
      <w:r w:rsidR="008E2D2E" w:rsidRPr="007E46C8">
        <w:t>elles</w:t>
      </w:r>
      <w:r w:rsidR="00A413C3" w:rsidRPr="007E46C8">
        <w:t xml:space="preserve"> </w:t>
      </w:r>
      <w:r w:rsidR="002C3694" w:rsidRPr="007E46C8">
        <w:t>comprennent</w:t>
      </w:r>
      <w:r w:rsidR="00A413C3" w:rsidRPr="007E46C8">
        <w:t xml:space="preserve"> </w:t>
      </w:r>
      <w:r w:rsidR="008E2D2E" w:rsidRPr="007E46C8">
        <w:t>un grand nombre d'assignations de fréquence couvrant</w:t>
      </w:r>
      <w:r w:rsidR="00A413C3" w:rsidRPr="007E46C8">
        <w:t xml:space="preserve"> </w:t>
      </w:r>
      <w:r w:rsidR="008E2D2E" w:rsidRPr="007E46C8">
        <w:t>presque toutes les bandes de fréquences</w:t>
      </w:r>
      <w:r w:rsidR="00A413C3" w:rsidRPr="007E46C8">
        <w:t xml:space="preserve"> </w:t>
      </w:r>
      <w:r w:rsidR="009F3E39" w:rsidRPr="007E46C8">
        <w:t>possibles</w:t>
      </w:r>
      <w:r w:rsidR="00A413C3" w:rsidRPr="007E46C8">
        <w:t xml:space="preserve"> </w:t>
      </w:r>
      <w:r w:rsidR="008E2D2E" w:rsidRPr="007E46C8">
        <w:t xml:space="preserve">attribuées aux services spatiaux. </w:t>
      </w:r>
      <w:r w:rsidR="002C3694" w:rsidRPr="007E46C8">
        <w:t xml:space="preserve">En outre, la qualité des fiches de notification reçues est </w:t>
      </w:r>
      <w:r w:rsidR="006B12BC" w:rsidRPr="007E46C8">
        <w:t xml:space="preserve">moins bonne </w:t>
      </w:r>
      <w:r w:rsidR="004463FD" w:rsidRPr="007E46C8">
        <w:t>qu'elle ne l'était auparavant</w:t>
      </w:r>
      <w:r w:rsidR="00A413C3" w:rsidRPr="007E46C8">
        <w:t xml:space="preserve">, </w:t>
      </w:r>
      <w:r w:rsidR="004463FD" w:rsidRPr="007E46C8">
        <w:t xml:space="preserve">lorsque les fiches </w:t>
      </w:r>
      <w:r w:rsidR="006B12BC" w:rsidRPr="007E46C8">
        <w:t>étaient</w:t>
      </w:r>
      <w:r w:rsidR="004463FD" w:rsidRPr="007E46C8">
        <w:t xml:space="preserve"> préparées</w:t>
      </w:r>
      <w:r w:rsidR="00A413C3" w:rsidRPr="007E46C8">
        <w:t xml:space="preserve"> </w:t>
      </w:r>
      <w:r w:rsidR="006B12BC" w:rsidRPr="007E46C8">
        <w:t>principalement</w:t>
      </w:r>
      <w:r w:rsidR="002C3694" w:rsidRPr="007E46C8">
        <w:t xml:space="preserve"> par des opérateurs de satellites expérimentés.</w:t>
      </w:r>
      <w:r w:rsidR="006B12BC" w:rsidRPr="007E46C8">
        <w:t xml:space="preserve"> </w:t>
      </w:r>
      <w:r w:rsidR="004463FD" w:rsidRPr="007E46C8">
        <w:t>Pour ces</w:t>
      </w:r>
      <w:r w:rsidR="006B12BC" w:rsidRPr="007E46C8">
        <w:t xml:space="preserve"> cas, il conviendrait de procéder à des études pour envisager</w:t>
      </w:r>
      <w:r w:rsidR="00A413C3" w:rsidRPr="007E46C8">
        <w:t xml:space="preserve"> </w:t>
      </w:r>
      <w:r w:rsidR="00F97E51" w:rsidRPr="007E46C8">
        <w:t>de mettre en place</w:t>
      </w:r>
      <w:r w:rsidR="00A413C3" w:rsidRPr="007E46C8">
        <w:t xml:space="preserve"> </w:t>
      </w:r>
      <w:r w:rsidR="00F97E51" w:rsidRPr="007E46C8">
        <w:t>des</w:t>
      </w:r>
      <w:r w:rsidR="00A413C3" w:rsidRPr="007E46C8">
        <w:t xml:space="preserve"> </w:t>
      </w:r>
      <w:r w:rsidR="006B12BC" w:rsidRPr="007E46C8">
        <w:t xml:space="preserve">unités dans les catégories A1 et N4, </w:t>
      </w:r>
      <w:r w:rsidR="00F97E51" w:rsidRPr="007E46C8">
        <w:t xml:space="preserve">en percevant </w:t>
      </w:r>
      <w:r w:rsidR="006B12BC" w:rsidRPr="007E46C8">
        <w:t>un</w:t>
      </w:r>
      <w:r w:rsidR="00A413C3" w:rsidRPr="007E46C8">
        <w:t xml:space="preserve"> </w:t>
      </w:r>
      <w:r w:rsidR="00F97E51" w:rsidRPr="007E46C8">
        <w:t>droit</w:t>
      </w:r>
      <w:r w:rsidR="00A413C3" w:rsidRPr="007E46C8">
        <w:t xml:space="preserve"> </w:t>
      </w:r>
      <w:r w:rsidR="006B12BC" w:rsidRPr="007E46C8">
        <w:t>différent</w:t>
      </w:r>
      <w:r w:rsidR="00A413C3" w:rsidRPr="007E46C8">
        <w:t xml:space="preserve"> </w:t>
      </w:r>
      <w:r w:rsidR="006B12BC" w:rsidRPr="007E46C8">
        <w:t>en fonction du nombre d'unités.</w:t>
      </w:r>
    </w:p>
    <w:p w14:paraId="3D781DF0" w14:textId="1131AA41" w:rsidR="00F97E51" w:rsidRPr="007E46C8" w:rsidRDefault="002524BE" w:rsidP="00A413C3">
      <w:r w:rsidRPr="007E46C8">
        <w:t>6.3</w:t>
      </w:r>
      <w:r w:rsidRPr="007E46C8">
        <w:tab/>
      </w:r>
      <w:r w:rsidR="00F97E51" w:rsidRPr="007E46C8">
        <w:t xml:space="preserve">Les systèmes non OSG </w:t>
      </w:r>
      <w:r w:rsidR="00B41501" w:rsidRPr="007E46C8">
        <w:t>assujettis</w:t>
      </w:r>
      <w:r w:rsidR="00A413C3" w:rsidRPr="007E46C8">
        <w:t xml:space="preserve"> </w:t>
      </w:r>
      <w:r w:rsidR="00F97E51" w:rsidRPr="007E46C8">
        <w:t xml:space="preserve">à des limites </w:t>
      </w:r>
      <w:r w:rsidR="00B41501" w:rsidRPr="007E46C8">
        <w:t>d</w:t>
      </w:r>
      <w:r w:rsidR="00F42238" w:rsidRPr="007E46C8">
        <w:t>'</w:t>
      </w:r>
      <w:proofErr w:type="spellStart"/>
      <w:r w:rsidR="00F97E51" w:rsidRPr="007E46C8">
        <w:t>epfd</w:t>
      </w:r>
      <w:proofErr w:type="spellEnd"/>
      <w:r w:rsidR="00F97E51" w:rsidRPr="007E46C8">
        <w:t xml:space="preserve"> </w:t>
      </w:r>
      <w:r w:rsidR="00B41501" w:rsidRPr="007E46C8">
        <w:t>exigent toujours</w:t>
      </w:r>
      <w:r w:rsidR="00A413C3" w:rsidRPr="007E46C8">
        <w:t xml:space="preserve"> </w:t>
      </w:r>
      <w:r w:rsidR="00B41501" w:rsidRPr="007E46C8">
        <w:t>d</w:t>
      </w:r>
      <w:r w:rsidR="00F42238" w:rsidRPr="007E46C8">
        <w:t>'</w:t>
      </w:r>
      <w:r w:rsidR="00F97E51" w:rsidRPr="007E46C8">
        <w:t>importantes</w:t>
      </w:r>
      <w:r w:rsidR="00B41501" w:rsidRPr="007E46C8">
        <w:t xml:space="preserve"> ressources</w:t>
      </w:r>
      <w:r w:rsidR="00A413C3" w:rsidRPr="007E46C8">
        <w:t xml:space="preserve"> </w:t>
      </w:r>
      <w:r w:rsidR="00B41501" w:rsidRPr="007E46C8">
        <w:t>additionnelles</w:t>
      </w:r>
      <w:r w:rsidR="00F97E51" w:rsidRPr="007E46C8">
        <w:t xml:space="preserve">, non seulement pour calculer les courbes </w:t>
      </w:r>
      <w:r w:rsidR="00B41501" w:rsidRPr="007E46C8">
        <w:t>des limites d</w:t>
      </w:r>
      <w:r w:rsidR="00F42238" w:rsidRPr="007E46C8">
        <w:t>'</w:t>
      </w:r>
      <w:proofErr w:type="spellStart"/>
      <w:r w:rsidR="00F97E51" w:rsidRPr="007E46C8">
        <w:t>epfd</w:t>
      </w:r>
      <w:proofErr w:type="spellEnd"/>
      <w:r w:rsidR="00F97E51" w:rsidRPr="007E46C8">
        <w:t>, mais aussi pour préparer les données et analyser les résultats. En outre,</w:t>
      </w:r>
      <w:r w:rsidR="00A413C3" w:rsidRPr="007E46C8">
        <w:t xml:space="preserve"> </w:t>
      </w:r>
      <w:r w:rsidR="00B41501" w:rsidRPr="007E46C8">
        <w:t>étant</w:t>
      </w:r>
      <w:r w:rsidR="00A413C3" w:rsidRPr="007E46C8">
        <w:t xml:space="preserve"> </w:t>
      </w:r>
      <w:r w:rsidR="00B41501" w:rsidRPr="007E46C8">
        <w:t xml:space="preserve">donné que les </w:t>
      </w:r>
      <w:r w:rsidR="00F97E51" w:rsidRPr="007E46C8">
        <w:t xml:space="preserve">systèmes non OSG soumis </w:t>
      </w:r>
      <w:r w:rsidR="00B41501" w:rsidRPr="007E46C8">
        <w:t>à des limites d</w:t>
      </w:r>
      <w:r w:rsidR="00F42238" w:rsidRPr="007E46C8">
        <w:t>'</w:t>
      </w:r>
      <w:proofErr w:type="spellStart"/>
      <w:r w:rsidR="00B41501" w:rsidRPr="007E46C8">
        <w:t>epfd</w:t>
      </w:r>
      <w:proofErr w:type="spellEnd"/>
      <w:r w:rsidR="00B41501" w:rsidRPr="007E46C8">
        <w:t xml:space="preserve"> sont de plus en plus nombreux et complexes, il est </w:t>
      </w:r>
      <w:r w:rsidR="00F97E51" w:rsidRPr="007E46C8">
        <w:t xml:space="preserve">nécessaire </w:t>
      </w:r>
      <w:r w:rsidR="00B41501" w:rsidRPr="007E46C8">
        <w:t>de mettre</w:t>
      </w:r>
      <w:r w:rsidR="00F97E51" w:rsidRPr="007E46C8">
        <w:t xml:space="preserve"> à jour </w:t>
      </w:r>
      <w:r w:rsidR="00B41501" w:rsidRPr="007E46C8">
        <w:t xml:space="preserve">pratiquement en </w:t>
      </w:r>
      <w:r w:rsidR="00F97E51" w:rsidRPr="007E46C8">
        <w:t>permanen</w:t>
      </w:r>
      <w:r w:rsidR="00B41501" w:rsidRPr="007E46C8">
        <w:t>ce</w:t>
      </w:r>
      <w:r w:rsidR="00A413C3" w:rsidRPr="007E46C8">
        <w:t xml:space="preserve"> </w:t>
      </w:r>
      <w:r w:rsidR="00F97E51" w:rsidRPr="007E46C8">
        <w:t xml:space="preserve">la méthodologie de validation </w:t>
      </w:r>
      <w:r w:rsidR="00B41501" w:rsidRPr="007E46C8">
        <w:t>des limites d'</w:t>
      </w:r>
      <w:proofErr w:type="spellStart"/>
      <w:r w:rsidR="00B41501" w:rsidRPr="007E46C8">
        <w:t>epfd</w:t>
      </w:r>
      <w:proofErr w:type="spellEnd"/>
      <w:r w:rsidR="00A413C3" w:rsidRPr="007E46C8">
        <w:t xml:space="preserve"> </w:t>
      </w:r>
      <w:r w:rsidR="00F97E51" w:rsidRPr="007E46C8">
        <w:t>de l'UIT-R</w:t>
      </w:r>
      <w:r w:rsidR="00A413C3" w:rsidRPr="007E46C8">
        <w:t>,</w:t>
      </w:r>
      <w:r w:rsidR="00B41501" w:rsidRPr="007E46C8">
        <w:t xml:space="preserve"> telle qu</w:t>
      </w:r>
      <w:r w:rsidR="00F42238" w:rsidRPr="007E46C8">
        <w:t>'</w:t>
      </w:r>
      <w:r w:rsidR="00B41501" w:rsidRPr="007E46C8">
        <w:t xml:space="preserve">elle figure </w:t>
      </w:r>
      <w:r w:rsidR="00F97E51" w:rsidRPr="007E46C8">
        <w:t xml:space="preserve">dans la </w:t>
      </w:r>
      <w:r w:rsidR="00B41501" w:rsidRPr="007E46C8">
        <w:t>R</w:t>
      </w:r>
      <w:r w:rsidR="00F97E51" w:rsidRPr="007E46C8">
        <w:t>ecommandation UIT</w:t>
      </w:r>
      <w:r w:rsidR="0098691D" w:rsidRPr="007E46C8">
        <w:noBreakHyphen/>
      </w:r>
      <w:r w:rsidR="00F97E51" w:rsidRPr="007E46C8">
        <w:t>R</w:t>
      </w:r>
      <w:r w:rsidR="0098691D" w:rsidRPr="007E46C8">
        <w:t> </w:t>
      </w:r>
      <w:r w:rsidR="00F97E51" w:rsidRPr="007E46C8">
        <w:t xml:space="preserve">S.1503, ce qui </w:t>
      </w:r>
      <w:r w:rsidR="00B41501" w:rsidRPr="007E46C8">
        <w:t>suppose certains</w:t>
      </w:r>
      <w:r w:rsidR="00A413C3" w:rsidRPr="007E46C8">
        <w:t xml:space="preserve"> </w:t>
      </w:r>
      <w:r w:rsidR="00F97E51" w:rsidRPr="007E46C8">
        <w:t xml:space="preserve">changements dans le traitement et l'examen. </w:t>
      </w:r>
      <w:r w:rsidR="00B41501" w:rsidRPr="007E46C8">
        <w:t>Autant d</w:t>
      </w:r>
      <w:r w:rsidR="00F42238" w:rsidRPr="007E46C8">
        <w:t>'</w:t>
      </w:r>
      <w:r w:rsidR="00F97E51" w:rsidRPr="007E46C8">
        <w:t xml:space="preserve">aspects </w:t>
      </w:r>
      <w:r w:rsidR="00B41501" w:rsidRPr="007E46C8">
        <w:t xml:space="preserve">qui </w:t>
      </w:r>
      <w:r w:rsidR="00F97E51" w:rsidRPr="007E46C8">
        <w:t xml:space="preserve">nécessitent </w:t>
      </w:r>
      <w:r w:rsidR="00003144" w:rsidRPr="007E46C8">
        <w:t>l</w:t>
      </w:r>
      <w:r w:rsidR="00F42238" w:rsidRPr="007E46C8">
        <w:t>'</w:t>
      </w:r>
      <w:r w:rsidR="00003144" w:rsidRPr="007E46C8">
        <w:t>élaboration</w:t>
      </w:r>
      <w:r w:rsidR="00F97E51" w:rsidRPr="007E46C8">
        <w:t xml:space="preserve"> et la mise à jour fréquente de logiciels spécifiques. Par conséquent, il convien</w:t>
      </w:r>
      <w:r w:rsidR="00003144" w:rsidRPr="007E46C8">
        <w:t>drai</w:t>
      </w:r>
      <w:r w:rsidR="00F97E51" w:rsidRPr="007E46C8">
        <w:t xml:space="preserve">t d'étudier la possibilité </w:t>
      </w:r>
      <w:r w:rsidR="00003144" w:rsidRPr="007E46C8">
        <w:t>d</w:t>
      </w:r>
      <w:r w:rsidR="00F42238" w:rsidRPr="007E46C8">
        <w:t>'</w:t>
      </w:r>
      <w:r w:rsidR="00003144" w:rsidRPr="007E46C8">
        <w:t>instaurer un droit</w:t>
      </w:r>
      <w:r w:rsidR="00F97E51" w:rsidRPr="007E46C8">
        <w:t xml:space="preserve"> </w:t>
      </w:r>
      <w:r w:rsidR="00003144" w:rsidRPr="007E46C8">
        <w:t xml:space="preserve">additionnel </w:t>
      </w:r>
      <w:r w:rsidR="00F97E51" w:rsidRPr="007E46C8">
        <w:t>spécial</w:t>
      </w:r>
      <w:r w:rsidR="00003144" w:rsidRPr="007E46C8">
        <w:t xml:space="preserve"> </w:t>
      </w:r>
      <w:r w:rsidR="00F97E51" w:rsidRPr="007E46C8">
        <w:t xml:space="preserve">pour </w:t>
      </w:r>
      <w:r w:rsidR="00003144" w:rsidRPr="007E46C8">
        <w:t>le recouvrement des</w:t>
      </w:r>
      <w:r w:rsidR="00F97E51" w:rsidRPr="007E46C8">
        <w:t xml:space="preserve"> coûts</w:t>
      </w:r>
      <w:r w:rsidR="00A413C3" w:rsidRPr="007E46C8">
        <w:t xml:space="preserve"> </w:t>
      </w:r>
      <w:r w:rsidR="002D3110" w:rsidRPr="007E46C8">
        <w:t>afférents à</w:t>
      </w:r>
      <w:r w:rsidR="00F97E51" w:rsidRPr="007E46C8">
        <w:t xml:space="preserve"> l'examen </w:t>
      </w:r>
      <w:r w:rsidR="002D3110" w:rsidRPr="007E46C8">
        <w:t>des limites d</w:t>
      </w:r>
      <w:r w:rsidR="00F42238" w:rsidRPr="007E46C8">
        <w:t>'</w:t>
      </w:r>
      <w:proofErr w:type="spellStart"/>
      <w:r w:rsidR="002D3110" w:rsidRPr="007E46C8">
        <w:t>epfd</w:t>
      </w:r>
      <w:proofErr w:type="spellEnd"/>
      <w:r w:rsidR="00A413C3" w:rsidRPr="007E46C8">
        <w:t xml:space="preserve"> </w:t>
      </w:r>
      <w:r w:rsidR="002D3110" w:rsidRPr="007E46C8">
        <w:t xml:space="preserve">figurant dans les </w:t>
      </w:r>
      <w:r w:rsidR="00F97E51" w:rsidRPr="007E46C8">
        <w:t>demandes de coordination et</w:t>
      </w:r>
      <w:r w:rsidR="00A413C3" w:rsidRPr="007E46C8">
        <w:t xml:space="preserve"> </w:t>
      </w:r>
      <w:r w:rsidR="002D3110" w:rsidRPr="007E46C8">
        <w:t>les</w:t>
      </w:r>
      <w:r w:rsidR="00A413C3" w:rsidRPr="007E46C8">
        <w:t xml:space="preserve"> </w:t>
      </w:r>
      <w:r w:rsidR="00F97E51" w:rsidRPr="007E46C8">
        <w:t>notifications.</w:t>
      </w:r>
    </w:p>
    <w:p w14:paraId="1A3BCCF2" w14:textId="007892B9" w:rsidR="002524BE" w:rsidRPr="007E46C8" w:rsidRDefault="002D3110" w:rsidP="00A413C3">
      <w:r w:rsidRPr="007E46C8">
        <w:t>6.4</w:t>
      </w:r>
      <w:r w:rsidR="0098691D" w:rsidRPr="007E46C8">
        <w:tab/>
      </w:r>
      <w:r w:rsidRPr="007E46C8">
        <w:t>Depuis 2005, les CMR ont également</w:t>
      </w:r>
      <w:r w:rsidR="00A413C3" w:rsidRPr="007E46C8">
        <w:t xml:space="preserve"> </w:t>
      </w:r>
      <w:r w:rsidRPr="007E46C8">
        <w:t>apporté un certain nombre de modifications aux Plans pour les services</w:t>
      </w:r>
      <w:r w:rsidR="00A413C3" w:rsidRPr="007E46C8">
        <w:t xml:space="preserve"> </w:t>
      </w:r>
      <w:r w:rsidRPr="007E46C8">
        <w:t>spatiaux (possibilité, par exemple,</w:t>
      </w:r>
      <w:r w:rsidR="00A413C3" w:rsidRPr="007E46C8">
        <w:t xml:space="preserve"> </w:t>
      </w:r>
      <w:r w:rsidRPr="007E46C8">
        <w:t>d'effectuer un second examen pour le traitement des soumissions au titre de la Partie B ou</w:t>
      </w:r>
      <w:r w:rsidR="00A413C3" w:rsidRPr="007E46C8">
        <w:t xml:space="preserve"> </w:t>
      </w:r>
      <w:r w:rsidRPr="007E46C8">
        <w:t>autres activités</w:t>
      </w:r>
      <w:r w:rsidR="00A413C3" w:rsidRPr="007E46C8">
        <w:t xml:space="preserve"> </w:t>
      </w:r>
      <w:r w:rsidRPr="007E46C8">
        <w:t>liées à la tenue à jour des assignations de fréquence planifiées, selon les</w:t>
      </w:r>
      <w:r w:rsidR="00A413C3" w:rsidRPr="007E46C8">
        <w:t xml:space="preserve"> </w:t>
      </w:r>
      <w:r w:rsidRPr="007E46C8">
        <w:t>mêmes</w:t>
      </w:r>
      <w:r w:rsidR="00A413C3" w:rsidRPr="007E46C8">
        <w:t xml:space="preserve"> </w:t>
      </w:r>
      <w:r w:rsidRPr="007E46C8">
        <w:t>modalités que</w:t>
      </w:r>
      <w:r w:rsidR="00A413C3" w:rsidRPr="007E46C8">
        <w:t xml:space="preserve"> </w:t>
      </w:r>
      <w:r w:rsidRPr="007E46C8">
        <w:t>celles décrites au § 6.2). Les conséquences de ces modifications sur le barème des droits devraient également être étudiées.</w:t>
      </w:r>
    </w:p>
    <w:p w14:paraId="03321737" w14:textId="2CA16F58" w:rsidR="002524BE" w:rsidRPr="007E46C8" w:rsidRDefault="002524BE" w:rsidP="0098691D">
      <w:pPr>
        <w:pStyle w:val="Heading1"/>
      </w:pPr>
      <w:r w:rsidRPr="007E46C8">
        <w:lastRenderedPageBreak/>
        <w:t>7</w:t>
      </w:r>
      <w:r w:rsidRPr="007E46C8">
        <w:tab/>
      </w:r>
      <w:r w:rsidR="002D3110" w:rsidRPr="007E46C8">
        <w:t xml:space="preserve">Décision 482 du </w:t>
      </w:r>
      <w:proofErr w:type="gramStart"/>
      <w:r w:rsidR="002D3110" w:rsidRPr="007E46C8">
        <w:t>Conseil</w:t>
      </w:r>
      <w:r w:rsidR="00A413C3" w:rsidRPr="007E46C8">
        <w:t>:</w:t>
      </w:r>
      <w:proofErr w:type="gramEnd"/>
      <w:r w:rsidR="002D3110" w:rsidRPr="007E46C8">
        <w:t xml:space="preserve"> ce qui fonctionne bien</w:t>
      </w:r>
      <w:r w:rsidR="00A413C3" w:rsidRPr="007E46C8">
        <w:t xml:space="preserve"> </w:t>
      </w:r>
      <w:r w:rsidR="002D3110" w:rsidRPr="007E46C8">
        <w:t>et</w:t>
      </w:r>
      <w:r w:rsidR="00A413C3" w:rsidRPr="007E46C8">
        <w:t xml:space="preserve"> </w:t>
      </w:r>
      <w:r w:rsidR="002D3110" w:rsidRPr="007E46C8">
        <w:t>devrait</w:t>
      </w:r>
      <w:r w:rsidR="00A413C3" w:rsidRPr="007E46C8">
        <w:t xml:space="preserve"> </w:t>
      </w:r>
      <w:r w:rsidR="002D3110" w:rsidRPr="007E46C8">
        <w:t>rester inchangé</w:t>
      </w:r>
    </w:p>
    <w:p w14:paraId="33B14E68" w14:textId="7E45B9AF" w:rsidR="002524BE" w:rsidRPr="007E46C8" w:rsidRDefault="002524BE" w:rsidP="0098691D">
      <w:pPr>
        <w:keepNext/>
        <w:keepLines/>
      </w:pPr>
      <w:r w:rsidRPr="007E46C8">
        <w:t>7.1</w:t>
      </w:r>
      <w:r w:rsidRPr="007E46C8">
        <w:tab/>
      </w:r>
      <w:r w:rsidR="002103D5" w:rsidRPr="007E46C8">
        <w:t>Le cadre général établi en vertu de la Décision 482 (C01, modifiée pour la</w:t>
      </w:r>
      <w:r w:rsidR="00A413C3" w:rsidRPr="007E46C8">
        <w:t xml:space="preserve"> </w:t>
      </w:r>
      <w:r w:rsidR="002103D5" w:rsidRPr="007E46C8">
        <w:t>dernière fois en 2020</w:t>
      </w:r>
      <w:r w:rsidR="00A413C3" w:rsidRPr="007E46C8">
        <w:t>)</w:t>
      </w:r>
      <w:r w:rsidR="002103D5" w:rsidRPr="007E46C8">
        <w:t xml:space="preserve"> et le barème des droits de traitement sont bien compris par</w:t>
      </w:r>
      <w:r w:rsidR="00C70660" w:rsidRPr="007E46C8">
        <w:t xml:space="preserve"> les administrations notificatrices</w:t>
      </w:r>
      <w:r w:rsidR="00A413C3" w:rsidRPr="007E46C8">
        <w:t xml:space="preserve"> </w:t>
      </w:r>
      <w:r w:rsidR="00C70660" w:rsidRPr="007E46C8">
        <w:t>et les opérateurs de satellites,</w:t>
      </w:r>
      <w:r w:rsidR="00A413C3" w:rsidRPr="007E46C8">
        <w:t xml:space="preserve"> </w:t>
      </w:r>
      <w:r w:rsidR="00C70660" w:rsidRPr="007E46C8">
        <w:t>étant donné que</w:t>
      </w:r>
      <w:r w:rsidR="00A413C3" w:rsidRPr="007E46C8">
        <w:t xml:space="preserve"> </w:t>
      </w:r>
      <w:r w:rsidR="002103D5" w:rsidRPr="007E46C8">
        <w:t>les catégories de</w:t>
      </w:r>
      <w:r w:rsidR="00C70660" w:rsidRPr="007E46C8">
        <w:t xml:space="preserve"> droits</w:t>
      </w:r>
      <w:r w:rsidR="00A413C3" w:rsidRPr="007E46C8">
        <w:t xml:space="preserve"> </w:t>
      </w:r>
      <w:r w:rsidR="002103D5" w:rsidRPr="007E46C8">
        <w:t>correspondent aux types de soumission</w:t>
      </w:r>
      <w:r w:rsidR="00C70660" w:rsidRPr="007E46C8">
        <w:t>s</w:t>
      </w:r>
      <w:r w:rsidR="002103D5" w:rsidRPr="007E46C8">
        <w:t xml:space="preserve"> définis dans le Règlement des radiocommunications.</w:t>
      </w:r>
    </w:p>
    <w:p w14:paraId="3419B2D1" w14:textId="53F162A3" w:rsidR="002524BE" w:rsidRPr="007E46C8" w:rsidRDefault="002524BE" w:rsidP="00A413C3">
      <w:r w:rsidRPr="007E46C8">
        <w:t>7.2</w:t>
      </w:r>
      <w:r w:rsidRPr="007E46C8">
        <w:tab/>
      </w:r>
      <w:r w:rsidR="00C70660" w:rsidRPr="007E46C8">
        <w:t>Depuis 2005, les droits sont</w:t>
      </w:r>
      <w:r w:rsidR="00A413C3" w:rsidRPr="007E46C8">
        <w:t xml:space="preserve"> </w:t>
      </w:r>
      <w:r w:rsidR="004463FD" w:rsidRPr="007E46C8">
        <w:t>parfaitement</w:t>
      </w:r>
      <w:r w:rsidR="00A413C3" w:rsidRPr="007E46C8">
        <w:t xml:space="preserve"> </w:t>
      </w:r>
      <w:r w:rsidR="00C70660" w:rsidRPr="007E46C8">
        <w:t>prévisibles au moment de la soumission, dans la mesure où</w:t>
      </w:r>
      <w:r w:rsidR="00A413C3" w:rsidRPr="007E46C8">
        <w:t xml:space="preserve"> </w:t>
      </w:r>
      <w:r w:rsidR="00C70660" w:rsidRPr="007E46C8">
        <w:t>ils</w:t>
      </w:r>
      <w:r w:rsidR="00A413C3" w:rsidRPr="007E46C8">
        <w:t xml:space="preserve"> </w:t>
      </w:r>
      <w:r w:rsidR="00C70660" w:rsidRPr="007E46C8">
        <w:t>sont calculés a priori conformément à l'Annexe de la Décision 482.</w:t>
      </w:r>
    </w:p>
    <w:p w14:paraId="58EDCDE5" w14:textId="5CD9550D" w:rsidR="002524BE" w:rsidRPr="007E46C8" w:rsidRDefault="002524BE" w:rsidP="00A413C3">
      <w:r w:rsidRPr="007E46C8">
        <w:t>7.3</w:t>
      </w:r>
      <w:r w:rsidRPr="007E46C8">
        <w:tab/>
      </w:r>
      <w:r w:rsidR="00C70660" w:rsidRPr="007E46C8">
        <w:t>Ces deux facteurs ont contribué à un taux de paiement des factures dans</w:t>
      </w:r>
      <w:r w:rsidR="00A413C3" w:rsidRPr="007E46C8">
        <w:t xml:space="preserve"> </w:t>
      </w:r>
      <w:r w:rsidR="004463FD" w:rsidRPr="007E46C8">
        <w:t>les</w:t>
      </w:r>
      <w:r w:rsidR="00C70660" w:rsidRPr="007E46C8">
        <w:t xml:space="preserve"> </w:t>
      </w:r>
      <w:proofErr w:type="gramStart"/>
      <w:r w:rsidR="00C70660" w:rsidRPr="007E46C8">
        <w:t>six mois supérieur</w:t>
      </w:r>
      <w:proofErr w:type="gramEnd"/>
      <w:r w:rsidR="00C70660" w:rsidRPr="007E46C8">
        <w:t xml:space="preserve"> à 99,5%, le</w:t>
      </w:r>
      <w:r w:rsidR="00A413C3" w:rsidRPr="007E46C8">
        <w:t xml:space="preserve"> </w:t>
      </w:r>
      <w:r w:rsidR="00C70660" w:rsidRPr="007E46C8">
        <w:t>taux global de</w:t>
      </w:r>
      <w:r w:rsidR="00A413C3" w:rsidRPr="007E46C8">
        <w:t xml:space="preserve"> </w:t>
      </w:r>
      <w:r w:rsidR="00C70660" w:rsidRPr="007E46C8">
        <w:t>règlement</w:t>
      </w:r>
      <w:r w:rsidR="00A413C3" w:rsidRPr="007E46C8">
        <w:t xml:space="preserve"> </w:t>
      </w:r>
      <w:r w:rsidR="00C70660" w:rsidRPr="007E46C8">
        <w:t>des factures dans les délais autorisés par les</w:t>
      </w:r>
      <w:r w:rsidR="00A413C3" w:rsidRPr="007E46C8">
        <w:t xml:space="preserve"> </w:t>
      </w:r>
      <w:r w:rsidR="00C70660" w:rsidRPr="007E46C8">
        <w:t>Règles de procédure étant encore meilleur.</w:t>
      </w:r>
    </w:p>
    <w:p w14:paraId="3600BF75" w14:textId="669F8573" w:rsidR="002524BE" w:rsidRPr="007E46C8" w:rsidRDefault="002524BE" w:rsidP="00A413C3">
      <w:r w:rsidRPr="007E46C8">
        <w:t>7.4</w:t>
      </w:r>
      <w:r w:rsidRPr="007E46C8">
        <w:tab/>
      </w:r>
      <w:r w:rsidR="00C70660" w:rsidRPr="007E46C8">
        <w:t>Bien que ces caractéristiques</w:t>
      </w:r>
      <w:r w:rsidR="00A413C3" w:rsidRPr="007E46C8">
        <w:t xml:space="preserve"> </w:t>
      </w:r>
      <w:r w:rsidR="004463FD" w:rsidRPr="007E46C8">
        <w:t xml:space="preserve">ne permettent </w:t>
      </w:r>
      <w:r w:rsidR="00C70660" w:rsidRPr="007E46C8">
        <w:t>pas à un recouvrement des coûts parfaitement précis et complet, elles demeurent essentielles pour un processus fonctionnel et ne devraient dès lors</w:t>
      </w:r>
      <w:r w:rsidR="00A413C3" w:rsidRPr="007E46C8">
        <w:t xml:space="preserve"> </w:t>
      </w:r>
      <w:r w:rsidR="00C70660" w:rsidRPr="007E46C8">
        <w:t>pas être modifiées.</w:t>
      </w:r>
    </w:p>
    <w:p w14:paraId="55BDA93E" w14:textId="10CF7468" w:rsidR="002524BE" w:rsidRPr="007E46C8" w:rsidRDefault="002524BE" w:rsidP="00A413C3">
      <w:pPr>
        <w:pStyle w:val="Heading1"/>
      </w:pPr>
      <w:r w:rsidRPr="007E46C8">
        <w:t>8</w:t>
      </w:r>
      <w:r w:rsidRPr="007E46C8">
        <w:tab/>
        <w:t xml:space="preserve">Assistance </w:t>
      </w:r>
      <w:r w:rsidR="00CF207D" w:rsidRPr="007E46C8">
        <w:t>et activités</w:t>
      </w:r>
      <w:r w:rsidR="00A413C3" w:rsidRPr="007E46C8">
        <w:t xml:space="preserve"> </w:t>
      </w:r>
      <w:r w:rsidR="00CF207D" w:rsidRPr="007E46C8">
        <w:t>de renforcement des capacités relatives au traitement des fiches de notification des réseaux à satellite</w:t>
      </w:r>
    </w:p>
    <w:p w14:paraId="6812A323" w14:textId="4066E978" w:rsidR="002524BE" w:rsidRPr="007E46C8" w:rsidRDefault="002524BE" w:rsidP="00A413C3">
      <w:r w:rsidRPr="007E46C8">
        <w:t>8.1</w:t>
      </w:r>
      <w:r w:rsidRPr="007E46C8">
        <w:tab/>
      </w:r>
      <w:r w:rsidR="0098691D" w:rsidRPr="007E46C8">
        <w:t>À</w:t>
      </w:r>
      <w:r w:rsidR="00CF207D" w:rsidRPr="007E46C8">
        <w:t xml:space="preserve"> l</w:t>
      </w:r>
      <w:r w:rsidR="00F42238" w:rsidRPr="007E46C8">
        <w:t>'</w:t>
      </w:r>
      <w:r w:rsidR="00CF207D" w:rsidRPr="007E46C8">
        <w:t>heure actuelle, l</w:t>
      </w:r>
      <w:r w:rsidR="00F42238" w:rsidRPr="007E46C8">
        <w:t>'</w:t>
      </w:r>
      <w:r w:rsidR="00CF207D" w:rsidRPr="007E46C8">
        <w:t>assistance fournie par le Bureau des radiocommunications aux membres de l'UIT dans le cadre de la préparation des fiches de notification, ou les activités de renforcement des capacités</w:t>
      </w:r>
      <w:r w:rsidR="00A413C3" w:rsidRPr="007E46C8">
        <w:t xml:space="preserve"> </w:t>
      </w:r>
      <w:r w:rsidR="00CF207D" w:rsidRPr="007E46C8">
        <w:t>visant à diffuser des informations sur les procédures réglementaires ainsi que sur les bases de données et les logiciels relatifs aux services spatiaux du Bureau</w:t>
      </w:r>
      <w:r w:rsidR="00F8647E" w:rsidRPr="007E46C8">
        <w:t>,</w:t>
      </w:r>
      <w:r w:rsidR="00A413C3" w:rsidRPr="007E46C8">
        <w:t xml:space="preserve"> </w:t>
      </w:r>
      <w:r w:rsidR="00CF207D" w:rsidRPr="007E46C8">
        <w:t>ne font pas l</w:t>
      </w:r>
      <w:r w:rsidR="00F42238" w:rsidRPr="007E46C8">
        <w:t>'</w:t>
      </w:r>
      <w:r w:rsidR="00CF207D" w:rsidRPr="007E46C8">
        <w:t>objet de</w:t>
      </w:r>
      <w:r w:rsidR="00A413C3" w:rsidRPr="007E46C8">
        <w:t xml:space="preserve"> </w:t>
      </w:r>
      <w:r w:rsidR="00CF207D" w:rsidRPr="007E46C8">
        <w:t>droits spécifiques, lorsque cette assistance ou ces activités sont demandées ou mises en œuvre, et</w:t>
      </w:r>
      <w:r w:rsidR="00A413C3" w:rsidRPr="007E46C8">
        <w:t xml:space="preserve"> </w:t>
      </w:r>
      <w:r w:rsidR="00CF207D" w:rsidRPr="007E46C8">
        <w:t>devraient continuer</w:t>
      </w:r>
      <w:r w:rsidR="00F8647E" w:rsidRPr="007E46C8">
        <w:t xml:space="preserve"> de ne pas</w:t>
      </w:r>
      <w:r w:rsidR="00CF207D" w:rsidRPr="007E46C8">
        <w:t xml:space="preserve"> être assujettis à de tels</w:t>
      </w:r>
      <w:r w:rsidR="00A413C3" w:rsidRPr="007E46C8">
        <w:t xml:space="preserve"> </w:t>
      </w:r>
      <w:r w:rsidR="00CF207D" w:rsidRPr="007E46C8">
        <w:t>droits</w:t>
      </w:r>
      <w:r w:rsidR="00F8647E" w:rsidRPr="007E46C8">
        <w:t>. Cependant, un groupe d'experts du Conseil pourrait étudier</w:t>
      </w:r>
      <w:r w:rsidR="004463FD" w:rsidRPr="007E46C8">
        <w:t xml:space="preserve"> s</w:t>
      </w:r>
      <w:r w:rsidR="00F42238" w:rsidRPr="007E46C8">
        <w:t>'</w:t>
      </w:r>
      <w:r w:rsidR="004463FD" w:rsidRPr="007E46C8">
        <w:t>il est possible</w:t>
      </w:r>
      <w:r w:rsidR="00A413C3" w:rsidRPr="007E46C8">
        <w:t xml:space="preserve"> </w:t>
      </w:r>
      <w:r w:rsidR="00F8647E" w:rsidRPr="007E46C8">
        <w:t>d'utiliser également les droits perçus pour le traitement des fiches de notification des réseaux à satellite</w:t>
      </w:r>
      <w:r w:rsidR="00A413C3" w:rsidRPr="007E46C8">
        <w:t xml:space="preserve"> </w:t>
      </w:r>
      <w:r w:rsidR="004463FD" w:rsidRPr="007E46C8">
        <w:t>pour</w:t>
      </w:r>
      <w:r w:rsidR="00F8647E" w:rsidRPr="007E46C8">
        <w:t xml:space="preserve"> compenser les coûts encourus</w:t>
      </w:r>
      <w:r w:rsidR="00A413C3" w:rsidRPr="007E46C8">
        <w:t xml:space="preserve"> </w:t>
      </w:r>
      <w:r w:rsidR="00F8647E" w:rsidRPr="007E46C8">
        <w:t xml:space="preserve">par l'UIT </w:t>
      </w:r>
      <w:r w:rsidR="004463FD" w:rsidRPr="007E46C8">
        <w:t>afin d</w:t>
      </w:r>
      <w:r w:rsidR="00F42238" w:rsidRPr="007E46C8">
        <w:t>'</w:t>
      </w:r>
      <w:r w:rsidR="00F8647E" w:rsidRPr="007E46C8">
        <w:t>aider tous les pays, en particulier les pays en développement, à utiliser les satellites pour promouvoir la connectivité universelle et la transformation numérique durable, y compris la mise au point d'outils numériques ou logiciels à cette fin.</w:t>
      </w:r>
    </w:p>
    <w:p w14:paraId="2E0959F8" w14:textId="4717872C" w:rsidR="002524BE" w:rsidRPr="007E46C8" w:rsidRDefault="002524BE" w:rsidP="00A413C3">
      <w:pPr>
        <w:pStyle w:val="Heading1"/>
      </w:pPr>
      <w:r w:rsidRPr="007E46C8">
        <w:t>9</w:t>
      </w:r>
      <w:r w:rsidRPr="007E46C8">
        <w:tab/>
      </w:r>
      <w:r w:rsidR="00F8647E" w:rsidRPr="007E46C8">
        <w:t>Manque de ressources consacrées à la modernisation des logiciels du Bureau</w:t>
      </w:r>
    </w:p>
    <w:p w14:paraId="37CD5A48" w14:textId="4B3205AE" w:rsidR="002524BE" w:rsidRPr="007E46C8" w:rsidRDefault="002524BE" w:rsidP="00A413C3">
      <w:r w:rsidRPr="007E46C8">
        <w:t>9.1</w:t>
      </w:r>
      <w:r w:rsidRPr="007E46C8">
        <w:tab/>
      </w:r>
      <w:r w:rsidR="0098691D" w:rsidRPr="007E46C8">
        <w:t>À</w:t>
      </w:r>
      <w:r w:rsidR="00F8647E" w:rsidRPr="007E46C8">
        <w:t xml:space="preserve"> sa réunion de </w:t>
      </w:r>
      <w:r w:rsidRPr="007E46C8">
        <w:t>2023</w:t>
      </w:r>
      <w:r w:rsidR="00A413C3" w:rsidRPr="007E46C8">
        <w:t>,</w:t>
      </w:r>
      <w:r w:rsidR="00F8647E" w:rsidRPr="007E46C8">
        <w:t xml:space="preserve"> le</w:t>
      </w:r>
      <w:r w:rsidR="00A413C3" w:rsidRPr="007E46C8">
        <w:t xml:space="preserve"> </w:t>
      </w:r>
      <w:r w:rsidR="00F8647E" w:rsidRPr="007E46C8">
        <w:t>GCR</w:t>
      </w:r>
      <w:r w:rsidR="00A413C3" w:rsidRPr="007E46C8">
        <w:t xml:space="preserve"> </w:t>
      </w:r>
      <w:r w:rsidR="00F8647E" w:rsidRPr="007E46C8">
        <w:t>a conclu</w:t>
      </w:r>
      <w:r w:rsidR="00A413C3" w:rsidRPr="007E46C8">
        <w:t xml:space="preserve"> </w:t>
      </w:r>
      <w:r w:rsidR="00F8647E" w:rsidRPr="007E46C8">
        <w:t xml:space="preserve">que le Bureau </w:t>
      </w:r>
      <w:proofErr w:type="gramStart"/>
      <w:r w:rsidR="00F8647E" w:rsidRPr="007E46C8">
        <w:t>des radiocommunication</w:t>
      </w:r>
      <w:proofErr w:type="gramEnd"/>
      <w:r w:rsidR="00A413C3" w:rsidRPr="007E46C8">
        <w:t xml:space="preserve"> </w:t>
      </w:r>
      <w:r w:rsidR="00F8647E" w:rsidRPr="007E46C8">
        <w:t>ne disposait pas de suffisamment de ressources spécifiques pour mettre à jour et moderniser en permanence les applications logicielles du Bureau utilisées pour les fiches de notification des systèmes à satellites et des systèmes de Terre.</w:t>
      </w:r>
      <w:r w:rsidR="00A413C3" w:rsidRPr="007E46C8">
        <w:t xml:space="preserve"> </w:t>
      </w:r>
      <w:r w:rsidR="004463FD" w:rsidRPr="007E46C8">
        <w:t>Des</w:t>
      </w:r>
      <w:r w:rsidR="00A413C3" w:rsidRPr="007E46C8">
        <w:t xml:space="preserve"> </w:t>
      </w:r>
      <w:r w:rsidR="00F8647E" w:rsidRPr="007E46C8">
        <w:t>logiciel</w:t>
      </w:r>
      <w:r w:rsidR="004463FD" w:rsidRPr="007E46C8">
        <w:t>s</w:t>
      </w:r>
      <w:r w:rsidR="00F8647E" w:rsidRPr="007E46C8">
        <w:t xml:space="preserve"> modernisé</w:t>
      </w:r>
      <w:r w:rsidR="004463FD" w:rsidRPr="007E46C8">
        <w:t>s</w:t>
      </w:r>
      <w:r w:rsidR="00F8647E" w:rsidRPr="007E46C8">
        <w:t xml:space="preserve"> serai</w:t>
      </w:r>
      <w:r w:rsidR="004463FD" w:rsidRPr="007E46C8">
        <w:t>en</w:t>
      </w:r>
      <w:r w:rsidR="00F8647E" w:rsidRPr="007E46C8">
        <w:t>t également directement utile</w:t>
      </w:r>
      <w:r w:rsidR="004463FD" w:rsidRPr="007E46C8">
        <w:t>s</w:t>
      </w:r>
      <w:r w:rsidR="00F8647E" w:rsidRPr="007E46C8">
        <w:t xml:space="preserve"> aux administrations, étant donné</w:t>
      </w:r>
      <w:r w:rsidR="00A413C3" w:rsidRPr="007E46C8">
        <w:t xml:space="preserve"> </w:t>
      </w:r>
      <w:r w:rsidR="00F8647E" w:rsidRPr="007E46C8">
        <w:t>qu'il</w:t>
      </w:r>
      <w:r w:rsidR="004463FD" w:rsidRPr="007E46C8">
        <w:t>s</w:t>
      </w:r>
      <w:r w:rsidR="00A413C3" w:rsidRPr="007E46C8">
        <w:t xml:space="preserve"> </w:t>
      </w:r>
      <w:r w:rsidR="004463FD" w:rsidRPr="007E46C8">
        <w:t xml:space="preserve">sont </w:t>
      </w:r>
      <w:r w:rsidR="0098691D" w:rsidRPr="007E46C8">
        <w:t>fournis</w:t>
      </w:r>
      <w:r w:rsidR="00F8647E" w:rsidRPr="007E46C8">
        <w:t xml:space="preserve"> gratuitement à tous les membres de l'UIT. Un groupe d'experts du Conseil pourrait également être chargé d'étudier les mécanismes qui pourraient être mis en place pour remédier à ce manque de ressources.</w:t>
      </w:r>
    </w:p>
    <w:p w14:paraId="5C0D582B" w14:textId="77777777" w:rsidR="002524BE" w:rsidRPr="007E46C8" w:rsidRDefault="002524BE" w:rsidP="00A413C3">
      <w:r w:rsidRPr="007E46C8">
        <w:rPr>
          <w:b/>
          <w:bCs/>
        </w:rPr>
        <w:br w:type="page"/>
      </w:r>
    </w:p>
    <w:p w14:paraId="6B32B6B6" w14:textId="2203D3D7" w:rsidR="002524BE" w:rsidRPr="007E46C8" w:rsidRDefault="002524BE" w:rsidP="00A413C3">
      <w:pPr>
        <w:pStyle w:val="AnnexNo"/>
      </w:pPr>
      <w:r w:rsidRPr="007E46C8">
        <w:lastRenderedPageBreak/>
        <w:t>ANNEXE 2</w:t>
      </w:r>
      <w:bookmarkStart w:id="4" w:name="Annexe2"/>
      <w:bookmarkEnd w:id="4"/>
    </w:p>
    <w:p w14:paraId="553B8FFA" w14:textId="70A2DE0D" w:rsidR="002524BE" w:rsidRPr="007E46C8" w:rsidRDefault="004463FD" w:rsidP="00A413C3">
      <w:pPr>
        <w:pStyle w:val="Annextitle"/>
      </w:pPr>
      <w:r w:rsidRPr="007E46C8">
        <w:t>Projet de m</w:t>
      </w:r>
      <w:r w:rsidR="002524BE" w:rsidRPr="007E46C8">
        <w:t>andat du Groupe d'experts du Conseil sur la Décision 482 du</w:t>
      </w:r>
      <w:r w:rsidR="0098691D" w:rsidRPr="007E46C8">
        <w:t> </w:t>
      </w:r>
      <w:r w:rsidR="002524BE" w:rsidRPr="007E46C8">
        <w:t>Conseil</w:t>
      </w:r>
    </w:p>
    <w:p w14:paraId="0AB5B36A" w14:textId="3804E8FE" w:rsidR="002524BE" w:rsidRPr="007E46C8" w:rsidRDefault="00F8647E" w:rsidP="00A413C3">
      <w:r w:rsidRPr="007E46C8">
        <w:t>Le mandat du Groupe d'experts du Conseil sur la Décision</w:t>
      </w:r>
      <w:r w:rsidR="00A413C3" w:rsidRPr="007E46C8">
        <w:t xml:space="preserve"> </w:t>
      </w:r>
      <w:r w:rsidR="002524BE" w:rsidRPr="007E46C8">
        <w:t xml:space="preserve">482 </w:t>
      </w:r>
      <w:r w:rsidRPr="007E46C8">
        <w:t xml:space="preserve">est le </w:t>
      </w:r>
      <w:proofErr w:type="gramStart"/>
      <w:r w:rsidRPr="007E46C8">
        <w:t>suivant</w:t>
      </w:r>
      <w:r w:rsidR="002524BE" w:rsidRPr="007E46C8">
        <w:t>:</w:t>
      </w:r>
      <w:proofErr w:type="gramEnd"/>
    </w:p>
    <w:p w14:paraId="77B0A60C" w14:textId="1F83CBB9" w:rsidR="002524BE" w:rsidRPr="007E46C8" w:rsidRDefault="0098691D" w:rsidP="0098691D">
      <w:r w:rsidRPr="007E46C8">
        <w:t>1</w:t>
      </w:r>
      <w:r w:rsidRPr="007E46C8">
        <w:tab/>
      </w:r>
      <w:r w:rsidR="00F8647E" w:rsidRPr="007E46C8">
        <w:t>Le Groupe d'experts du Conseil sur la Décision 482 examinera les différentes questions énumérées dans l'Annexe 1 du Document C23/19, compte tenu des contributions soumises à ses réunions</w:t>
      </w:r>
      <w:r w:rsidRPr="007E46C8">
        <w:t>.</w:t>
      </w:r>
    </w:p>
    <w:p w14:paraId="4EDF1192" w14:textId="1E2B30B5" w:rsidR="002524BE" w:rsidRPr="007E46C8" w:rsidRDefault="0098691D" w:rsidP="0098691D">
      <w:r w:rsidRPr="007E46C8">
        <w:t>2</w:t>
      </w:r>
      <w:r w:rsidRPr="007E46C8">
        <w:tab/>
      </w:r>
      <w:r w:rsidR="00557299" w:rsidRPr="007E46C8">
        <w:t>Le Groupe d'experts du Conseil sur la Décision 482</w:t>
      </w:r>
      <w:r w:rsidR="00A413C3" w:rsidRPr="007E46C8">
        <w:t xml:space="preserve"> </w:t>
      </w:r>
      <w:r w:rsidR="00F8647E" w:rsidRPr="007E46C8">
        <w:t>élaborera un rapport contenant des recommandations sur la révision éventuelle de la Décision 482,</w:t>
      </w:r>
      <w:r w:rsidR="00A413C3" w:rsidRPr="007E46C8">
        <w:t xml:space="preserve"> </w:t>
      </w:r>
      <w:r w:rsidR="00F8647E" w:rsidRPr="007E46C8">
        <w:t>qui sera soumis au Conseil de l'UIT à sa session de 2024</w:t>
      </w:r>
      <w:r w:rsidR="00557299" w:rsidRPr="007E46C8">
        <w:t xml:space="preserve"> </w:t>
      </w:r>
      <w:r w:rsidR="00F8647E" w:rsidRPr="007E46C8">
        <w:t xml:space="preserve">pour </w:t>
      </w:r>
      <w:proofErr w:type="gramStart"/>
      <w:r w:rsidR="00F8647E" w:rsidRPr="007E46C8">
        <w:t>suite à</w:t>
      </w:r>
      <w:proofErr w:type="gramEnd"/>
      <w:r w:rsidR="00F8647E" w:rsidRPr="007E46C8">
        <w:t xml:space="preserve"> donner.</w:t>
      </w:r>
    </w:p>
    <w:p w14:paraId="3E252A90" w14:textId="0D29DFF1" w:rsidR="002524BE" w:rsidRPr="007E46C8" w:rsidRDefault="002524BE" w:rsidP="0098691D">
      <w:r w:rsidRPr="007E46C8">
        <w:t>3</w:t>
      </w:r>
      <w:r w:rsidRPr="007E46C8">
        <w:tab/>
        <w:t xml:space="preserve">Le Groupe d'experts du Conseil sur la Décision 482 est ouvert à la participation de tous les </w:t>
      </w:r>
      <w:r w:rsidR="00EF5D90" w:rsidRPr="007E46C8">
        <w:t>États</w:t>
      </w:r>
      <w:r w:rsidRPr="007E46C8">
        <w:t xml:space="preserve"> Membres et Membres de</w:t>
      </w:r>
      <w:r w:rsidR="00A413C3" w:rsidRPr="007E46C8">
        <w:t xml:space="preserve"> </w:t>
      </w:r>
      <w:r w:rsidRPr="007E46C8">
        <w:t>Secteur</w:t>
      </w:r>
      <w:r w:rsidR="00A413C3" w:rsidRPr="007E46C8">
        <w:t xml:space="preserve"> </w:t>
      </w:r>
      <w:r w:rsidRPr="007E46C8">
        <w:t xml:space="preserve">de l'UIT et mènera ses travaux en anglais. Il devrait tenir des réunions </w:t>
      </w:r>
      <w:r w:rsidR="00557299" w:rsidRPr="007E46C8">
        <w:t>physiques</w:t>
      </w:r>
      <w:r w:rsidR="00A413C3" w:rsidRPr="007E46C8">
        <w:t>,</w:t>
      </w:r>
      <w:r w:rsidR="004463FD" w:rsidRPr="007E46C8">
        <w:t xml:space="preserve"> en association avec</w:t>
      </w:r>
      <w:r w:rsidR="00A413C3" w:rsidRPr="007E46C8">
        <w:t xml:space="preserve"> </w:t>
      </w:r>
      <w:r w:rsidR="004463FD" w:rsidRPr="007E46C8">
        <w:t>les</w:t>
      </w:r>
      <w:r w:rsidR="00A413C3" w:rsidRPr="007E46C8">
        <w:t xml:space="preserve"> </w:t>
      </w:r>
      <w:r w:rsidRPr="007E46C8">
        <w:t>réunions du Groupe de travail</w:t>
      </w:r>
      <w:r w:rsidR="0098691D" w:rsidRPr="007E46C8">
        <w:t> </w:t>
      </w:r>
      <w:r w:rsidRPr="007E46C8">
        <w:t>4A de l'UIT-R</w:t>
      </w:r>
      <w:r w:rsidR="004463FD" w:rsidRPr="007E46C8">
        <w:t xml:space="preserve"> ou des groupes de travail du Conseil</w:t>
      </w:r>
      <w:r w:rsidRPr="007E46C8">
        <w:t>, dans la mesure du possible.</w:t>
      </w:r>
    </w:p>
    <w:p w14:paraId="154EA433" w14:textId="77777777" w:rsidR="002524BE" w:rsidRPr="007E46C8" w:rsidRDefault="002524BE" w:rsidP="00A413C3">
      <w:pPr>
        <w:spacing w:before="360"/>
        <w:jc w:val="center"/>
      </w:pPr>
      <w:r w:rsidRPr="007E46C8">
        <w:t>______________</w:t>
      </w:r>
    </w:p>
    <w:sectPr w:rsidR="002524BE" w:rsidRPr="007E46C8"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D929" w14:textId="77777777" w:rsidR="000A2D28" w:rsidRDefault="000A2D28">
      <w:r>
        <w:separator/>
      </w:r>
    </w:p>
  </w:endnote>
  <w:endnote w:type="continuationSeparator" w:id="0">
    <w:p w14:paraId="760B5419" w14:textId="77777777" w:rsidR="000A2D28" w:rsidRDefault="000A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A389" w14:textId="703D0C55" w:rsidR="00732045" w:rsidRDefault="009A50CA">
    <w:pPr>
      <w:pStyle w:val="Footer"/>
    </w:pPr>
    <w:r>
      <w:fldChar w:fldCharType="begin"/>
    </w:r>
    <w:r>
      <w:instrText xml:space="preserve"> FILENAME \p \* MERGEFORMAT </w:instrText>
    </w:r>
    <w:r>
      <w:fldChar w:fldCharType="separate"/>
    </w:r>
    <w:r w:rsidR="00B04FAF">
      <w:t>P:\FRA\SG\CONSEIL\C23\000\019F.docx</w:t>
    </w:r>
    <w:r>
      <w:fldChar w:fldCharType="end"/>
    </w:r>
    <w:r w:rsidR="00732045">
      <w:tab/>
    </w:r>
    <w:r w:rsidR="002F1B76">
      <w:fldChar w:fldCharType="begin"/>
    </w:r>
    <w:r w:rsidR="00732045">
      <w:instrText xml:space="preserve"> savedate \@ dd.MM.yy </w:instrText>
    </w:r>
    <w:r w:rsidR="002F1B76">
      <w:fldChar w:fldCharType="separate"/>
    </w:r>
    <w:r>
      <w:t>13.06.23</w:t>
    </w:r>
    <w:r w:rsidR="002F1B76">
      <w:fldChar w:fldCharType="end"/>
    </w:r>
    <w:r w:rsidR="00732045">
      <w:tab/>
    </w:r>
    <w:r w:rsidR="002F1B76">
      <w:fldChar w:fldCharType="begin"/>
    </w:r>
    <w:r w:rsidR="00732045">
      <w:instrText xml:space="preserve"> printdate \@ dd.MM.yy </w:instrText>
    </w:r>
    <w:r w:rsidR="002F1B76">
      <w:fldChar w:fldCharType="separate"/>
    </w:r>
    <w:r w:rsidR="00B04FA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B67A8F8" w14:textId="77777777" w:rsidTr="00E31DCE">
      <w:trPr>
        <w:jc w:val="center"/>
      </w:trPr>
      <w:tc>
        <w:tcPr>
          <w:tcW w:w="1803" w:type="dxa"/>
          <w:vAlign w:val="center"/>
        </w:tcPr>
        <w:p w14:paraId="03418751" w14:textId="772CFAF9" w:rsidR="00A51849" w:rsidRDefault="00A51849" w:rsidP="00A51849">
          <w:pPr>
            <w:pStyle w:val="Header"/>
            <w:jc w:val="left"/>
            <w:rPr>
              <w:noProof/>
            </w:rPr>
          </w:pPr>
          <w:r>
            <w:rPr>
              <w:noProof/>
            </w:rPr>
            <w:t xml:space="preserve">DPS </w:t>
          </w:r>
          <w:r w:rsidR="00B40A73">
            <w:rPr>
              <w:noProof/>
            </w:rPr>
            <w:t>520504</w:t>
          </w:r>
        </w:p>
      </w:tc>
      <w:tc>
        <w:tcPr>
          <w:tcW w:w="8261" w:type="dxa"/>
        </w:tcPr>
        <w:p w14:paraId="03F0E401" w14:textId="55091A3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40A73">
            <w:rPr>
              <w:bCs/>
            </w:rPr>
            <w:t>19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2CA222D" w14:textId="5F028F65" w:rsidR="00732045" w:rsidRPr="00A51849" w:rsidRDefault="009A50CA" w:rsidP="0074580B">
    <w:pPr>
      <w:pStyle w:val="Footer"/>
      <w:spacing w:before="120"/>
    </w:pPr>
    <w:r w:rsidRPr="009A50CA">
      <w:rPr>
        <w:color w:val="F2F2F2" w:themeColor="background1" w:themeShade="F2"/>
      </w:rPr>
      <w:fldChar w:fldCharType="begin"/>
    </w:r>
    <w:r w:rsidRPr="009A50CA">
      <w:rPr>
        <w:color w:val="F2F2F2" w:themeColor="background1" w:themeShade="F2"/>
      </w:rPr>
      <w:instrText xml:space="preserve"> FILENAME \p  \* MERGEFORMAT </w:instrText>
    </w:r>
    <w:r w:rsidRPr="009A50CA">
      <w:rPr>
        <w:color w:val="F2F2F2" w:themeColor="background1" w:themeShade="F2"/>
      </w:rPr>
      <w:fldChar w:fldCharType="separate"/>
    </w:r>
    <w:r w:rsidR="00B04FAF" w:rsidRPr="009A50CA">
      <w:rPr>
        <w:color w:val="F2F2F2" w:themeColor="background1" w:themeShade="F2"/>
      </w:rPr>
      <w:t>P:\FRA\SG\CONSEIL\C23\000\019F.docx</w:t>
    </w:r>
    <w:r w:rsidRPr="009A50CA">
      <w:rPr>
        <w:color w:val="F2F2F2" w:themeColor="background1" w:themeShade="F2"/>
      </w:rPr>
      <w:fldChar w:fldCharType="end"/>
    </w:r>
    <w:r w:rsidR="0074580B" w:rsidRPr="009A50CA">
      <w:rPr>
        <w:color w:val="F2F2F2" w:themeColor="background1" w:themeShade="F2"/>
      </w:rPr>
      <w:t xml:space="preserve"> (520504)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396C5DC" w14:textId="77777777" w:rsidTr="00E31DCE">
      <w:trPr>
        <w:jc w:val="center"/>
      </w:trPr>
      <w:tc>
        <w:tcPr>
          <w:tcW w:w="1803" w:type="dxa"/>
          <w:vAlign w:val="center"/>
        </w:tcPr>
        <w:p w14:paraId="3A88692C" w14:textId="77777777" w:rsidR="00A51849" w:rsidRDefault="009A50CA" w:rsidP="00A51849">
          <w:pPr>
            <w:pStyle w:val="Header"/>
            <w:jc w:val="left"/>
            <w:rPr>
              <w:noProof/>
            </w:rPr>
          </w:pPr>
          <w:hyperlink r:id="rId1" w:history="1">
            <w:r w:rsidR="00A51849" w:rsidRPr="00A514A4">
              <w:rPr>
                <w:rStyle w:val="Hyperlink"/>
                <w:szCs w:val="14"/>
              </w:rPr>
              <w:t>www.itu.int/council</w:t>
            </w:r>
          </w:hyperlink>
        </w:p>
      </w:tc>
      <w:tc>
        <w:tcPr>
          <w:tcW w:w="8261" w:type="dxa"/>
        </w:tcPr>
        <w:p w14:paraId="1E378930" w14:textId="124C063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A2D28">
            <w:rPr>
              <w:bCs/>
            </w:rPr>
            <w:t>19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A317771" w14:textId="4E620B5D" w:rsidR="00732045" w:rsidRPr="00A51849" w:rsidRDefault="00211593" w:rsidP="0074580B">
    <w:pPr>
      <w:pStyle w:val="Footer"/>
      <w:spacing w:before="120"/>
    </w:pPr>
    <w:r w:rsidRPr="009A50CA">
      <w:rPr>
        <w:color w:val="F2F2F2" w:themeColor="background1" w:themeShade="F2"/>
      </w:rPr>
      <w:fldChar w:fldCharType="begin"/>
    </w:r>
    <w:r w:rsidRPr="009A50CA">
      <w:rPr>
        <w:color w:val="F2F2F2" w:themeColor="background1" w:themeShade="F2"/>
      </w:rPr>
      <w:instrText xml:space="preserve"> FILENAME \p  \* MERGEFORMAT </w:instrText>
    </w:r>
    <w:r w:rsidRPr="009A50CA">
      <w:rPr>
        <w:color w:val="F2F2F2" w:themeColor="background1" w:themeShade="F2"/>
      </w:rPr>
      <w:fldChar w:fldCharType="separate"/>
    </w:r>
    <w:r w:rsidR="00B04FAF" w:rsidRPr="009A50CA">
      <w:rPr>
        <w:color w:val="F2F2F2" w:themeColor="background1" w:themeShade="F2"/>
      </w:rPr>
      <w:t>P:\FRA\SG\CONSEIL\C23\000\019F.docx</w:t>
    </w:r>
    <w:r w:rsidRPr="009A50CA">
      <w:rPr>
        <w:color w:val="F2F2F2" w:themeColor="background1" w:themeShade="F2"/>
      </w:rPr>
      <w:fldChar w:fldCharType="end"/>
    </w:r>
    <w:r w:rsidR="0074580B" w:rsidRPr="009A50CA">
      <w:rPr>
        <w:color w:val="F2F2F2" w:themeColor="background1" w:themeShade="F2"/>
      </w:rPr>
      <w:t xml:space="preserve"> (520504)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475F" w14:textId="77777777" w:rsidR="000A2D28" w:rsidRDefault="000A2D28">
      <w:r>
        <w:t>____________________</w:t>
      </w:r>
    </w:p>
  </w:footnote>
  <w:footnote w:type="continuationSeparator" w:id="0">
    <w:p w14:paraId="7ADD5A0D" w14:textId="77777777" w:rsidR="000A2D28" w:rsidRDefault="000A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968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13610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298E0B39" w14:textId="77777777" w:rsidTr="00E31DCE">
      <w:trPr>
        <w:trHeight w:val="1104"/>
        <w:jc w:val="center"/>
      </w:trPr>
      <w:tc>
        <w:tcPr>
          <w:tcW w:w="4390" w:type="dxa"/>
          <w:vAlign w:val="center"/>
        </w:tcPr>
        <w:p w14:paraId="057F56D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74BF95F" wp14:editId="48AA96BD">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013449E9" w14:textId="77777777" w:rsidR="00A51849" w:rsidRDefault="00A51849" w:rsidP="00A51849">
          <w:pPr>
            <w:pStyle w:val="Header"/>
            <w:jc w:val="right"/>
            <w:rPr>
              <w:rFonts w:ascii="Arial" w:hAnsi="Arial" w:cs="Arial"/>
              <w:b/>
              <w:bCs/>
              <w:color w:val="009CD6"/>
              <w:szCs w:val="18"/>
            </w:rPr>
          </w:pPr>
        </w:p>
        <w:p w14:paraId="4E041927" w14:textId="77777777" w:rsidR="00A51849" w:rsidRDefault="00A51849" w:rsidP="00A51849">
          <w:pPr>
            <w:pStyle w:val="Header"/>
            <w:jc w:val="right"/>
            <w:rPr>
              <w:rFonts w:ascii="Arial" w:hAnsi="Arial" w:cs="Arial"/>
              <w:b/>
              <w:bCs/>
              <w:color w:val="009CD6"/>
              <w:szCs w:val="18"/>
            </w:rPr>
          </w:pPr>
        </w:p>
        <w:p w14:paraId="0E45DF23"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951447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365B9B5" wp14:editId="009247EC">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48C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11F78"/>
    <w:multiLevelType w:val="hybridMultilevel"/>
    <w:tmpl w:val="B3683D82"/>
    <w:lvl w:ilvl="0" w:tplc="DD0818E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F85913"/>
    <w:multiLevelType w:val="hybridMultilevel"/>
    <w:tmpl w:val="435A5896"/>
    <w:lvl w:ilvl="0" w:tplc="EAFEA81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2E6385"/>
    <w:multiLevelType w:val="multilevel"/>
    <w:tmpl w:val="966E8C3A"/>
    <w:lvl w:ilvl="0">
      <w:start w:val="1"/>
      <w:numFmt w:val="decimal"/>
      <w:lvlText w:val="%1"/>
      <w:lvlJc w:val="left"/>
      <w:pPr>
        <w:ind w:left="1080" w:hanging="720"/>
      </w:pPr>
      <w:rPr>
        <w:rFonts w:hint="default"/>
        <w:b w:val="0"/>
      </w:rPr>
    </w:lvl>
    <w:lvl w:ilvl="1">
      <w:start w:val="3"/>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933203">
    <w:abstractNumId w:val="0"/>
  </w:num>
  <w:num w:numId="2" w16cid:durableId="339239287">
    <w:abstractNumId w:val="1"/>
  </w:num>
  <w:num w:numId="3" w16cid:durableId="1018585459">
    <w:abstractNumId w:val="3"/>
  </w:num>
  <w:num w:numId="4" w16cid:durableId="122356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28"/>
    <w:rsid w:val="00003144"/>
    <w:rsid w:val="000073E3"/>
    <w:rsid w:val="000209B7"/>
    <w:rsid w:val="0002420D"/>
    <w:rsid w:val="000478CB"/>
    <w:rsid w:val="00076A2C"/>
    <w:rsid w:val="000A2D28"/>
    <w:rsid w:val="000A6B51"/>
    <w:rsid w:val="000D0D0A"/>
    <w:rsid w:val="00103163"/>
    <w:rsid w:val="00106B19"/>
    <w:rsid w:val="00115D93"/>
    <w:rsid w:val="001220D9"/>
    <w:rsid w:val="001247A8"/>
    <w:rsid w:val="001378C0"/>
    <w:rsid w:val="0016236A"/>
    <w:rsid w:val="0018694A"/>
    <w:rsid w:val="001A3287"/>
    <w:rsid w:val="001A6508"/>
    <w:rsid w:val="001D4C31"/>
    <w:rsid w:val="001E4D21"/>
    <w:rsid w:val="00207CD1"/>
    <w:rsid w:val="002103D5"/>
    <w:rsid w:val="00211593"/>
    <w:rsid w:val="00226657"/>
    <w:rsid w:val="002477A2"/>
    <w:rsid w:val="002524BE"/>
    <w:rsid w:val="00263A51"/>
    <w:rsid w:val="00267E02"/>
    <w:rsid w:val="002A5D44"/>
    <w:rsid w:val="002B1CCF"/>
    <w:rsid w:val="002C3694"/>
    <w:rsid w:val="002D3110"/>
    <w:rsid w:val="002E0BC4"/>
    <w:rsid w:val="002E3C15"/>
    <w:rsid w:val="002F1B76"/>
    <w:rsid w:val="0033568E"/>
    <w:rsid w:val="0035282F"/>
    <w:rsid w:val="00355FF5"/>
    <w:rsid w:val="00361350"/>
    <w:rsid w:val="003B52A5"/>
    <w:rsid w:val="003C3FAE"/>
    <w:rsid w:val="003C5505"/>
    <w:rsid w:val="004038CB"/>
    <w:rsid w:val="0040546F"/>
    <w:rsid w:val="0042404A"/>
    <w:rsid w:val="0044618F"/>
    <w:rsid w:val="004463FD"/>
    <w:rsid w:val="0046769A"/>
    <w:rsid w:val="00475FB3"/>
    <w:rsid w:val="004B6551"/>
    <w:rsid w:val="004B6BCB"/>
    <w:rsid w:val="004C37A9"/>
    <w:rsid w:val="004D1D50"/>
    <w:rsid w:val="004F259E"/>
    <w:rsid w:val="00511F1D"/>
    <w:rsid w:val="00520F36"/>
    <w:rsid w:val="00540615"/>
    <w:rsid w:val="00540A6D"/>
    <w:rsid w:val="00557299"/>
    <w:rsid w:val="00563B01"/>
    <w:rsid w:val="00571EEA"/>
    <w:rsid w:val="00575417"/>
    <w:rsid w:val="005768E1"/>
    <w:rsid w:val="005B1938"/>
    <w:rsid w:val="005C3890"/>
    <w:rsid w:val="005F7BFE"/>
    <w:rsid w:val="00600017"/>
    <w:rsid w:val="00607141"/>
    <w:rsid w:val="006235CA"/>
    <w:rsid w:val="006643AB"/>
    <w:rsid w:val="0067544C"/>
    <w:rsid w:val="006972EF"/>
    <w:rsid w:val="006B12BC"/>
    <w:rsid w:val="006C2A42"/>
    <w:rsid w:val="006C53D5"/>
    <w:rsid w:val="006F0A53"/>
    <w:rsid w:val="007210CD"/>
    <w:rsid w:val="00732045"/>
    <w:rsid w:val="00732F33"/>
    <w:rsid w:val="007369DB"/>
    <w:rsid w:val="0074580B"/>
    <w:rsid w:val="00752662"/>
    <w:rsid w:val="00766339"/>
    <w:rsid w:val="00775854"/>
    <w:rsid w:val="007956C2"/>
    <w:rsid w:val="007A187E"/>
    <w:rsid w:val="007C72C2"/>
    <w:rsid w:val="007D4436"/>
    <w:rsid w:val="007E46C8"/>
    <w:rsid w:val="007F257A"/>
    <w:rsid w:val="007F3665"/>
    <w:rsid w:val="00800037"/>
    <w:rsid w:val="00810DDE"/>
    <w:rsid w:val="0083391C"/>
    <w:rsid w:val="008376FB"/>
    <w:rsid w:val="00861D73"/>
    <w:rsid w:val="00897553"/>
    <w:rsid w:val="008A2271"/>
    <w:rsid w:val="008A4E87"/>
    <w:rsid w:val="008B78B1"/>
    <w:rsid w:val="008D76E6"/>
    <w:rsid w:val="008E2D2E"/>
    <w:rsid w:val="0092392D"/>
    <w:rsid w:val="0093234A"/>
    <w:rsid w:val="00956A78"/>
    <w:rsid w:val="00963785"/>
    <w:rsid w:val="00966A66"/>
    <w:rsid w:val="00967DD6"/>
    <w:rsid w:val="0097363B"/>
    <w:rsid w:val="00973F53"/>
    <w:rsid w:val="0098691D"/>
    <w:rsid w:val="009A50CA"/>
    <w:rsid w:val="009C307F"/>
    <w:rsid w:val="009C353C"/>
    <w:rsid w:val="009D61DC"/>
    <w:rsid w:val="009F3E39"/>
    <w:rsid w:val="00A15E45"/>
    <w:rsid w:val="00A2113E"/>
    <w:rsid w:val="00A23A51"/>
    <w:rsid w:val="00A24607"/>
    <w:rsid w:val="00A25CD3"/>
    <w:rsid w:val="00A413C3"/>
    <w:rsid w:val="00A51849"/>
    <w:rsid w:val="00A709FE"/>
    <w:rsid w:val="00A73C60"/>
    <w:rsid w:val="00A82767"/>
    <w:rsid w:val="00AA332F"/>
    <w:rsid w:val="00AA7BBB"/>
    <w:rsid w:val="00AB64A8"/>
    <w:rsid w:val="00AC0266"/>
    <w:rsid w:val="00AD24EC"/>
    <w:rsid w:val="00AF1A88"/>
    <w:rsid w:val="00B04FAF"/>
    <w:rsid w:val="00B309F9"/>
    <w:rsid w:val="00B32B60"/>
    <w:rsid w:val="00B37AB7"/>
    <w:rsid w:val="00B40A73"/>
    <w:rsid w:val="00B41501"/>
    <w:rsid w:val="00B61619"/>
    <w:rsid w:val="00BB4545"/>
    <w:rsid w:val="00BC52A3"/>
    <w:rsid w:val="00BD5873"/>
    <w:rsid w:val="00BF6BB1"/>
    <w:rsid w:val="00C04BE3"/>
    <w:rsid w:val="00C25D29"/>
    <w:rsid w:val="00C27A7C"/>
    <w:rsid w:val="00C37298"/>
    <w:rsid w:val="00C52396"/>
    <w:rsid w:val="00C70660"/>
    <w:rsid w:val="00CA08ED"/>
    <w:rsid w:val="00CF0B18"/>
    <w:rsid w:val="00CF183B"/>
    <w:rsid w:val="00CF207D"/>
    <w:rsid w:val="00D30FDA"/>
    <w:rsid w:val="00D375CD"/>
    <w:rsid w:val="00D408AB"/>
    <w:rsid w:val="00D553A2"/>
    <w:rsid w:val="00D65DF7"/>
    <w:rsid w:val="00D72F49"/>
    <w:rsid w:val="00D774D3"/>
    <w:rsid w:val="00D904E8"/>
    <w:rsid w:val="00DA08C3"/>
    <w:rsid w:val="00DB5A3E"/>
    <w:rsid w:val="00DC22AA"/>
    <w:rsid w:val="00DF74DD"/>
    <w:rsid w:val="00E25AD0"/>
    <w:rsid w:val="00E3239A"/>
    <w:rsid w:val="00E73877"/>
    <w:rsid w:val="00E93178"/>
    <w:rsid w:val="00E93668"/>
    <w:rsid w:val="00E96849"/>
    <w:rsid w:val="00EB6350"/>
    <w:rsid w:val="00ED1E91"/>
    <w:rsid w:val="00EF5D90"/>
    <w:rsid w:val="00EF6CF6"/>
    <w:rsid w:val="00F15B57"/>
    <w:rsid w:val="00F35EF4"/>
    <w:rsid w:val="00F42238"/>
    <w:rsid w:val="00F427DB"/>
    <w:rsid w:val="00F54484"/>
    <w:rsid w:val="00F86160"/>
    <w:rsid w:val="00F8647E"/>
    <w:rsid w:val="00F97E51"/>
    <w:rsid w:val="00FA5EB1"/>
    <w:rsid w:val="00FA7439"/>
    <w:rsid w:val="00FC1AF9"/>
    <w:rsid w:val="00FC4EC0"/>
    <w:rsid w:val="00FE0ED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12944"/>
  <w15:docId w15:val="{2F2D4535-EE60-4257-BA6C-93EB7EA7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A73"/>
    <w:rPr>
      <w:color w:val="605E5C"/>
      <w:shd w:val="clear" w:color="auto" w:fill="E1DFDD"/>
    </w:rPr>
  </w:style>
  <w:style w:type="paragraph" w:styleId="ListParagraph">
    <w:name w:val="List Paragraph"/>
    <w:basedOn w:val="Normal"/>
    <w:uiPriority w:val="34"/>
    <w:qFormat/>
    <w:rsid w:val="0076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91-F.pdf" TargetMode="External"/><Relationship Id="rId13" Type="http://schemas.openxmlformats.org/officeDocument/2006/relationships/hyperlink" Target="https://www.itu.int/md/S20-DM-CIR-01011/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05-CL-C-0029/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1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C-0070/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693D-94AC-4C95-A490-90E6FBD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4094</Words>
  <Characters>22439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26481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Étude sur la pertinence de la Décision 482 du Conseil pour le recouvrement des coûts associés au traitement des fiches de notification des réseaux à satellite</dc:title>
  <dc:subject>Conseil 2023</dc:subject>
  <dc:creator>French</dc:creator>
  <cp:keywords>C2023, C23, Council-23</cp:keywords>
  <dc:description/>
  <cp:lastModifiedBy>Xue, Kun</cp:lastModifiedBy>
  <cp:revision>2</cp:revision>
  <cp:lastPrinted>2000-07-18T08:55:00Z</cp:lastPrinted>
  <dcterms:created xsi:type="dcterms:W3CDTF">2023-06-14T09:40:00Z</dcterms:created>
  <dcterms:modified xsi:type="dcterms:W3CDTF">2023-06-14T09:40:00Z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