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3D36EF" w14:paraId="30692C83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85BC0AE" w14:textId="45F24054" w:rsidR="00796BD3" w:rsidRPr="003D36EF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D36EF">
              <w:rPr>
                <w:b/>
                <w:lang w:val="ru-RU"/>
              </w:rPr>
              <w:t>Пункт повестки дня:</w:t>
            </w:r>
            <w:r w:rsidR="00537E1C" w:rsidRPr="003D36EF">
              <w:rPr>
                <w:b/>
                <w:lang w:val="ru-RU"/>
              </w:rPr>
              <w:t xml:space="preserve"> PL </w:t>
            </w:r>
            <w:r w:rsidR="003B1374" w:rsidRPr="003D36EF">
              <w:rPr>
                <w:b/>
                <w:lang w:val="ru-RU"/>
              </w:rPr>
              <w:t>2</w:t>
            </w:r>
          </w:p>
        </w:tc>
        <w:tc>
          <w:tcPr>
            <w:tcW w:w="5245" w:type="dxa"/>
          </w:tcPr>
          <w:p w14:paraId="22FBC960" w14:textId="1C830810" w:rsidR="00796BD3" w:rsidRPr="003D36EF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D36EF">
              <w:rPr>
                <w:b/>
                <w:lang w:val="ru-RU"/>
              </w:rPr>
              <w:t xml:space="preserve">Документ </w:t>
            </w:r>
            <w:r w:rsidR="00796BD3" w:rsidRPr="003D36EF">
              <w:rPr>
                <w:b/>
                <w:lang w:val="ru-RU"/>
              </w:rPr>
              <w:t>C23/</w:t>
            </w:r>
            <w:r w:rsidR="00537E1C" w:rsidRPr="003D36EF">
              <w:rPr>
                <w:b/>
                <w:lang w:val="ru-RU"/>
              </w:rPr>
              <w:t>1</w:t>
            </w:r>
            <w:r w:rsidR="003B1374" w:rsidRPr="003D36EF">
              <w:rPr>
                <w:b/>
                <w:lang w:val="ru-RU"/>
              </w:rPr>
              <w:t>3</w:t>
            </w:r>
            <w:r w:rsidR="00796BD3" w:rsidRPr="003D36EF">
              <w:rPr>
                <w:b/>
                <w:lang w:val="ru-RU"/>
              </w:rPr>
              <w:t>-R</w:t>
            </w:r>
          </w:p>
        </w:tc>
      </w:tr>
      <w:tr w:rsidR="00796BD3" w:rsidRPr="003D36EF" w14:paraId="1C0AD2CB" w14:textId="77777777" w:rsidTr="0099131E">
        <w:trPr>
          <w:cantSplit/>
        </w:trPr>
        <w:tc>
          <w:tcPr>
            <w:tcW w:w="3969" w:type="dxa"/>
            <w:vMerge/>
          </w:tcPr>
          <w:p w14:paraId="4DDD5FC0" w14:textId="77777777" w:rsidR="00796BD3" w:rsidRPr="003D36E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AF3180" w14:textId="3EA8C204" w:rsidR="00796BD3" w:rsidRPr="003D36EF" w:rsidRDefault="00537E1C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3D36EF">
              <w:rPr>
                <w:b/>
                <w:lang w:val="ru-RU"/>
              </w:rPr>
              <w:t>1</w:t>
            </w:r>
            <w:r w:rsidR="003B1374" w:rsidRPr="003D36EF">
              <w:rPr>
                <w:b/>
                <w:lang w:val="ru-RU"/>
              </w:rPr>
              <w:t>6</w:t>
            </w:r>
            <w:r w:rsidRPr="003D36EF">
              <w:rPr>
                <w:b/>
                <w:lang w:val="ru-RU"/>
              </w:rPr>
              <w:t xml:space="preserve"> мая</w:t>
            </w:r>
            <w:r w:rsidR="00796BD3" w:rsidRPr="003D36EF">
              <w:rPr>
                <w:b/>
                <w:lang w:val="ru-RU"/>
              </w:rPr>
              <w:t xml:space="preserve"> 2023</w:t>
            </w:r>
            <w:r w:rsidRPr="003D36EF">
              <w:rPr>
                <w:b/>
                <w:lang w:val="ru-RU"/>
              </w:rPr>
              <w:t xml:space="preserve"> года</w:t>
            </w:r>
          </w:p>
        </w:tc>
      </w:tr>
      <w:tr w:rsidR="00796BD3" w:rsidRPr="003D36EF" w14:paraId="53A1B768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64580AC" w14:textId="77777777" w:rsidR="00796BD3" w:rsidRPr="003D36E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36638E7" w14:textId="77777777" w:rsidR="00796BD3" w:rsidRPr="003D36EF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3D36E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3D36EF" w14:paraId="07AA087E" w14:textId="77777777" w:rsidTr="0099131E">
        <w:trPr>
          <w:cantSplit/>
          <w:trHeight w:val="23"/>
        </w:trPr>
        <w:tc>
          <w:tcPr>
            <w:tcW w:w="3969" w:type="dxa"/>
          </w:tcPr>
          <w:p w14:paraId="7E05E12D" w14:textId="77777777" w:rsidR="00796BD3" w:rsidRPr="003D36EF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429C77BB" w14:textId="77777777" w:rsidR="00796BD3" w:rsidRPr="003D36EF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3D36EF" w14:paraId="2CC4D304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1148F29" w14:textId="77777777" w:rsidR="00796BD3" w:rsidRPr="003D36EF" w:rsidRDefault="0033025A" w:rsidP="00DD55FE">
            <w:pPr>
              <w:pStyle w:val="Source"/>
              <w:spacing w:before="720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3D36EF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3D36EF" w14:paraId="4D6C8E50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5DFFFFF" w14:textId="7B7EBE10" w:rsidR="00796BD3" w:rsidRPr="003D36EF" w:rsidRDefault="003B1374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3D36EF">
              <w:rPr>
                <w:rFonts w:cstheme="minorHAnsi"/>
                <w:sz w:val="32"/>
                <w:szCs w:val="32"/>
                <w:lang w:val="ru-RU"/>
              </w:rPr>
              <w:t>ПОДГОТОВКА К ВСЕМИРНОМУ ФОРУМУ ПО ПОЛИТИКЕ В ОБЛАСТИ ЭЛЕКТРОСВЯЗИ</w:t>
            </w:r>
            <w:r w:rsidR="00DF3838" w:rsidRPr="003D36EF">
              <w:rPr>
                <w:rFonts w:cstheme="minorHAnsi"/>
                <w:sz w:val="32"/>
                <w:szCs w:val="32"/>
                <w:lang w:val="ru-RU"/>
              </w:rPr>
              <w:t>/ИКТ</w:t>
            </w:r>
            <w:r w:rsidRPr="003D36EF">
              <w:rPr>
                <w:rFonts w:cstheme="minorHAnsi"/>
                <w:sz w:val="32"/>
                <w:szCs w:val="32"/>
                <w:lang w:val="ru-RU"/>
              </w:rPr>
              <w:t xml:space="preserve"> 2026 ГОДА (ВФПЭ-26)</w:t>
            </w:r>
          </w:p>
        </w:tc>
      </w:tr>
      <w:tr w:rsidR="00796BD3" w:rsidRPr="00DB45B4" w14:paraId="722D4704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89C6123" w14:textId="1098B472" w:rsidR="00796BD3" w:rsidRPr="003D36E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D36EF">
              <w:rPr>
                <w:b/>
                <w:bCs/>
                <w:sz w:val="24"/>
                <w:szCs w:val="24"/>
                <w:lang w:val="ru-RU"/>
              </w:rPr>
              <w:t xml:space="preserve">Назначение </w:t>
            </w:r>
          </w:p>
          <w:p w14:paraId="02475FE6" w14:textId="5389CC07" w:rsidR="00796BD3" w:rsidRPr="003D36EF" w:rsidRDefault="000F1075" w:rsidP="0099131E">
            <w:pPr>
              <w:rPr>
                <w:lang w:val="ru-RU"/>
              </w:rPr>
            </w:pPr>
            <w:r w:rsidRPr="003D36EF">
              <w:rPr>
                <w:lang w:val="ru-RU"/>
              </w:rPr>
              <w:t xml:space="preserve">В </w:t>
            </w:r>
            <w:r w:rsidR="003B1374" w:rsidRPr="003D36EF">
              <w:rPr>
                <w:lang w:val="ru-RU"/>
              </w:rPr>
              <w:t>Резолюци</w:t>
            </w:r>
            <w:r w:rsidRPr="003D36EF">
              <w:rPr>
                <w:lang w:val="ru-RU"/>
              </w:rPr>
              <w:t>и</w:t>
            </w:r>
            <w:r w:rsidR="003B1374" w:rsidRPr="003D36EF">
              <w:rPr>
                <w:lang w:val="ru-RU"/>
              </w:rPr>
              <w:t xml:space="preserve"> 2 (Пересм. Бухарест, 2022 г.) Полномочной конференции</w:t>
            </w:r>
            <w:r w:rsidRPr="003D36EF">
              <w:rPr>
                <w:lang w:val="ru-RU"/>
              </w:rPr>
              <w:t xml:space="preserve"> содержится решение о проведении</w:t>
            </w:r>
            <w:r w:rsidR="003B1374" w:rsidRPr="003D36EF">
              <w:rPr>
                <w:lang w:val="ru-RU"/>
              </w:rPr>
              <w:t xml:space="preserve"> </w:t>
            </w:r>
            <w:r w:rsidR="00DF3838" w:rsidRPr="003D36EF">
              <w:rPr>
                <w:lang w:val="ru-RU"/>
              </w:rPr>
              <w:t>Всемирн</w:t>
            </w:r>
            <w:r w:rsidRPr="003D36EF">
              <w:rPr>
                <w:lang w:val="ru-RU"/>
              </w:rPr>
              <w:t>ого</w:t>
            </w:r>
            <w:r w:rsidR="00DF3838" w:rsidRPr="003D36EF">
              <w:rPr>
                <w:lang w:val="ru-RU"/>
              </w:rPr>
              <w:t xml:space="preserve"> форум</w:t>
            </w:r>
            <w:r w:rsidRPr="003D36EF">
              <w:rPr>
                <w:lang w:val="ru-RU"/>
              </w:rPr>
              <w:t>а</w:t>
            </w:r>
            <w:r w:rsidR="00DF3838" w:rsidRPr="003D36EF">
              <w:rPr>
                <w:lang w:val="ru-RU"/>
              </w:rPr>
              <w:t xml:space="preserve"> по политике в области электросвязи/ИКТ (ВФПЭ)</w:t>
            </w:r>
            <w:r w:rsidRPr="003D36EF">
              <w:rPr>
                <w:lang w:val="ru-RU"/>
              </w:rPr>
              <w:t xml:space="preserve">, желательно приуроченного </w:t>
            </w:r>
            <w:r w:rsidRPr="003D36EF">
              <w:rPr>
                <w:rFonts w:asciiTheme="minorHAnsi" w:hAnsiTheme="minorHAnsi" w:cstheme="minorHAnsi"/>
                <w:color w:val="000000"/>
                <w:szCs w:val="22"/>
                <w:lang w:val="ru-RU"/>
              </w:rPr>
              <w:t>к Форуму Всемирной встречи на высшем уровне по вопросам информационного общества (ВВУИО)</w:t>
            </w:r>
            <w:r w:rsidR="003B1374" w:rsidRPr="003D36EF">
              <w:rPr>
                <w:rFonts w:cs="Calibri"/>
                <w:szCs w:val="24"/>
                <w:lang w:val="ru-RU" w:eastAsia="zh-CN"/>
              </w:rPr>
              <w:t xml:space="preserve">, </w:t>
            </w:r>
            <w:r w:rsidR="003B1374" w:rsidRPr="003D36EF">
              <w:rPr>
                <w:lang w:val="ru-RU"/>
              </w:rPr>
              <w:t>с учетом необходимости обеспечить надлежащую подготовку со стороны Государств-Членов</w:t>
            </w:r>
            <w:r w:rsidR="003B1374" w:rsidRPr="003D36EF">
              <w:rPr>
                <w:rFonts w:cs="Calibri"/>
                <w:szCs w:val="24"/>
                <w:lang w:val="ru-RU" w:eastAsia="zh-CN"/>
              </w:rPr>
              <w:t xml:space="preserve">. </w:t>
            </w:r>
            <w:r w:rsidR="003B1374" w:rsidRPr="003D36EF">
              <w:rPr>
                <w:lang w:val="ru-RU"/>
              </w:rPr>
              <w:t>В настоящем документе приведена базовая информация о ВФПЭ и отмечаются указания, полученные от Полномочной конференции (Бухарест, 2022 г.).</w:t>
            </w:r>
          </w:p>
          <w:p w14:paraId="0736A86A" w14:textId="77777777" w:rsidR="00796BD3" w:rsidRPr="003D36E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D36EF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6648EEAD" w14:textId="7E10AE45" w:rsidR="003B1374" w:rsidRPr="003D36EF" w:rsidRDefault="000F1075" w:rsidP="003B1374">
            <w:pPr>
              <w:rPr>
                <w:lang w:val="ru-RU"/>
              </w:rPr>
            </w:pPr>
            <w:r w:rsidRPr="003D36EF">
              <w:rPr>
                <w:lang w:val="ru-RU"/>
              </w:rPr>
              <w:t xml:space="preserve">В </w:t>
            </w:r>
            <w:r w:rsidR="00DD55FE" w:rsidRPr="003D36EF">
              <w:rPr>
                <w:lang w:val="ru-RU"/>
              </w:rPr>
              <w:t>Резолюци</w:t>
            </w:r>
            <w:r w:rsidRPr="003D36EF">
              <w:rPr>
                <w:lang w:val="ru-RU"/>
              </w:rPr>
              <w:t>и</w:t>
            </w:r>
            <w:r w:rsidR="00DD55FE" w:rsidRPr="003D36EF">
              <w:rPr>
                <w:lang w:val="ru-RU"/>
              </w:rPr>
              <w:t xml:space="preserve"> 2 (Пересм. Бухарест, 2022 г.)</w:t>
            </w:r>
            <w:r w:rsidRPr="003D36EF">
              <w:rPr>
                <w:lang w:val="ru-RU"/>
              </w:rPr>
              <w:t xml:space="preserve"> Совету МСЭ поручается</w:t>
            </w:r>
            <w:r w:rsidR="003B1374" w:rsidRPr="003D36EF">
              <w:rPr>
                <w:lang w:val="ru-RU"/>
              </w:rPr>
              <w:t>:</w:t>
            </w:r>
          </w:p>
          <w:p w14:paraId="16F93E0A" w14:textId="4C9208BB" w:rsidR="003B1374" w:rsidRPr="003D36EF" w:rsidRDefault="003B1374" w:rsidP="003B1374">
            <w:pPr>
              <w:pStyle w:val="enumlev1"/>
              <w:rPr>
                <w:lang w:val="ru-RU"/>
              </w:rPr>
            </w:pPr>
            <w:r w:rsidRPr="003D36EF">
              <w:rPr>
                <w:lang w:val="ru-RU"/>
              </w:rPr>
              <w:t>1)</w:t>
            </w:r>
            <w:r w:rsidRPr="003D36EF">
              <w:rPr>
                <w:lang w:val="ru-RU"/>
              </w:rPr>
              <w:tab/>
            </w:r>
            <w:r w:rsidR="00DD55FE" w:rsidRPr="003D36EF">
              <w:rPr>
                <w:b/>
                <w:bCs/>
                <w:lang w:val="ru-RU"/>
              </w:rPr>
              <w:t>принимать решения</w:t>
            </w:r>
            <w:r w:rsidR="00DD55FE" w:rsidRPr="003D36EF">
              <w:rPr>
                <w:lang w:val="ru-RU"/>
              </w:rPr>
              <w:t xml:space="preserve"> относительно продолжительности, сроков, места проведения, повестки дня и тематики любого будущего ВФПЭ</w:t>
            </w:r>
            <w:r w:rsidRPr="003D36EF">
              <w:rPr>
                <w:lang w:val="ru-RU"/>
              </w:rPr>
              <w:t>;</w:t>
            </w:r>
          </w:p>
          <w:p w14:paraId="72CDD248" w14:textId="2FB7B3EF" w:rsidR="003B1374" w:rsidRPr="003D36EF" w:rsidRDefault="003B1374" w:rsidP="003B1374">
            <w:pPr>
              <w:pStyle w:val="enumlev1"/>
              <w:rPr>
                <w:lang w:val="ru-RU"/>
              </w:rPr>
            </w:pPr>
            <w:r w:rsidRPr="003D36EF">
              <w:rPr>
                <w:lang w:val="ru-RU"/>
              </w:rPr>
              <w:t>2)</w:t>
            </w:r>
            <w:r w:rsidRPr="003D36EF">
              <w:rPr>
                <w:lang w:val="ru-RU"/>
              </w:rPr>
              <w:tab/>
            </w:r>
            <w:r w:rsidR="00DD55FE" w:rsidRPr="003D36EF">
              <w:rPr>
                <w:b/>
                <w:bCs/>
                <w:lang w:val="ru-RU"/>
              </w:rPr>
              <w:t>принять</w:t>
            </w:r>
            <w:r w:rsidR="00DD55FE" w:rsidRPr="003D36EF">
              <w:rPr>
                <w:lang w:val="ru-RU"/>
              </w:rPr>
              <w:t xml:space="preserve"> процедуру подготовки отчета Генерального секретаря</w:t>
            </w:r>
            <w:r w:rsidR="000F1075" w:rsidRPr="003D36EF">
              <w:rPr>
                <w:lang w:val="ru-RU"/>
              </w:rPr>
              <w:t xml:space="preserve"> для ВФПЭ</w:t>
            </w:r>
            <w:r w:rsidRPr="003D36EF">
              <w:rPr>
                <w:lang w:val="ru-RU"/>
              </w:rPr>
              <w:t>.</w:t>
            </w:r>
          </w:p>
          <w:p w14:paraId="0EE37ED6" w14:textId="46F0D0FC" w:rsidR="00537E1C" w:rsidRPr="003D36EF" w:rsidRDefault="000F1075" w:rsidP="003B1374">
            <w:pPr>
              <w:rPr>
                <w:lang w:val="ru-RU"/>
              </w:rPr>
            </w:pPr>
            <w:r w:rsidRPr="003D36EF">
              <w:rPr>
                <w:lang w:val="ru-RU"/>
              </w:rPr>
              <w:t xml:space="preserve">Совету предлагается </w:t>
            </w:r>
            <w:r w:rsidRPr="003D36EF">
              <w:rPr>
                <w:b/>
                <w:bCs/>
                <w:lang w:val="ru-RU"/>
              </w:rPr>
              <w:t>предоставить руководящие указания</w:t>
            </w:r>
            <w:r w:rsidRPr="003D36EF">
              <w:rPr>
                <w:lang w:val="ru-RU"/>
              </w:rPr>
              <w:t xml:space="preserve"> по вышеуказанным вопросам.</w:t>
            </w:r>
          </w:p>
          <w:p w14:paraId="48859DCD" w14:textId="77777777" w:rsidR="00796BD3" w:rsidRPr="003D36EF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3D36EF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490394F1" w14:textId="4D4F2FC6" w:rsidR="00537E1C" w:rsidRPr="003D36EF" w:rsidRDefault="000F1075" w:rsidP="0099131E">
            <w:pPr>
              <w:rPr>
                <w:lang w:val="ru-RU"/>
              </w:rPr>
            </w:pPr>
            <w:r w:rsidRPr="003D36EF">
              <w:rPr>
                <w:lang w:val="ru-RU"/>
              </w:rPr>
              <w:t>Содействие универсальной возможности установления соединений и устойчивой цифровой трансформации; платформы для созыва мероприятий.</w:t>
            </w:r>
          </w:p>
          <w:p w14:paraId="2975C8BB" w14:textId="2EDEC771" w:rsidR="00796BD3" w:rsidRPr="003D36EF" w:rsidRDefault="0033025A" w:rsidP="0099131E">
            <w:pPr>
              <w:spacing w:before="160"/>
              <w:rPr>
                <w:sz w:val="24"/>
                <w:szCs w:val="24"/>
                <w:lang w:val="ru-RU"/>
              </w:rPr>
            </w:pPr>
            <w:r w:rsidRPr="003D36EF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  <w:r w:rsidRPr="003D36EF">
              <w:rPr>
                <w:sz w:val="24"/>
                <w:szCs w:val="24"/>
                <w:lang w:val="ru-RU"/>
              </w:rPr>
              <w:t xml:space="preserve">: </w:t>
            </w:r>
            <w:r w:rsidR="003B1374" w:rsidRPr="003D36EF">
              <w:rPr>
                <w:szCs w:val="24"/>
                <w:lang w:val="ru-RU"/>
              </w:rPr>
              <w:t>307 000 швейцарских франков</w:t>
            </w:r>
            <w:r w:rsidR="009F2BEA" w:rsidRPr="003D36EF">
              <w:rPr>
                <w:szCs w:val="24"/>
                <w:lang w:val="ru-RU"/>
              </w:rPr>
              <w:t>.</w:t>
            </w:r>
          </w:p>
          <w:p w14:paraId="26A265FB" w14:textId="77777777" w:rsidR="00796BD3" w:rsidRPr="003D36EF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3D36EF">
              <w:rPr>
                <w:sz w:val="20"/>
                <w:szCs w:val="18"/>
                <w:lang w:val="ru-RU"/>
              </w:rPr>
              <w:t>__________________</w:t>
            </w:r>
          </w:p>
          <w:p w14:paraId="3F2F22EE" w14:textId="77777777" w:rsidR="00796BD3" w:rsidRPr="003D36EF" w:rsidRDefault="0033025A" w:rsidP="0099131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3D36EF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0E5BC8A6" w14:textId="156AFC25" w:rsidR="00796BD3" w:rsidRPr="003D36EF" w:rsidRDefault="00DB45B4" w:rsidP="0099131E">
            <w:pPr>
              <w:spacing w:after="120"/>
              <w:rPr>
                <w:lang w:val="ru-RU"/>
              </w:rPr>
            </w:pPr>
            <w:hyperlink r:id="rId8" w:history="1">
              <w:r w:rsidR="003B1374" w:rsidRPr="003D36EF">
                <w:rPr>
                  <w:rStyle w:val="Hyperlink"/>
                  <w:i/>
                  <w:iCs/>
                  <w:lang w:val="ru-RU"/>
                </w:rPr>
                <w:t>Резолюция 2</w:t>
              </w:r>
            </w:hyperlink>
            <w:r w:rsidR="003B1374" w:rsidRPr="003D36EF">
              <w:rPr>
                <w:i/>
                <w:iCs/>
                <w:lang w:val="ru-RU"/>
              </w:rPr>
              <w:t xml:space="preserve"> (Пересм. Бухарест, 2022 г.) Полномочной конференции; Документ </w:t>
            </w:r>
            <w:hyperlink r:id="rId9" w:history="1">
              <w:r w:rsidR="003B1374" w:rsidRPr="003D36EF">
                <w:rPr>
                  <w:rStyle w:val="Hyperlink"/>
                  <w:i/>
                  <w:iCs/>
                  <w:lang w:val="ru-RU"/>
                </w:rPr>
                <w:t>PP-22/207</w:t>
              </w:r>
            </w:hyperlink>
            <w:r w:rsidR="003B1374" w:rsidRPr="003D36EF">
              <w:rPr>
                <w:i/>
                <w:iCs/>
                <w:lang w:val="ru-RU"/>
              </w:rPr>
              <w:t xml:space="preserve"> Полномочной конференции</w:t>
            </w:r>
          </w:p>
        </w:tc>
      </w:tr>
      <w:bookmarkEnd w:id="2"/>
      <w:bookmarkEnd w:id="6"/>
    </w:tbl>
    <w:p w14:paraId="4E0A65EE" w14:textId="6C2A5DA1" w:rsidR="006935E2" w:rsidRPr="003D36EF" w:rsidRDefault="00165D06" w:rsidP="00EE5249">
      <w:pPr>
        <w:spacing w:before="720"/>
        <w:rPr>
          <w:bCs/>
          <w:iCs/>
          <w:lang w:val="ru-RU"/>
        </w:rPr>
      </w:pPr>
      <w:r w:rsidRPr="003D36EF">
        <w:rPr>
          <w:bCs/>
          <w:iCs/>
          <w:lang w:val="ru-RU"/>
        </w:rPr>
        <w:br w:type="page"/>
      </w:r>
    </w:p>
    <w:p w14:paraId="546D5949" w14:textId="070CFB3B" w:rsidR="00DD55FE" w:rsidRPr="003D36EF" w:rsidRDefault="00DD55FE" w:rsidP="00DD55FE">
      <w:pPr>
        <w:rPr>
          <w:lang w:val="ru-RU"/>
        </w:rPr>
      </w:pPr>
      <w:r w:rsidRPr="003D36EF">
        <w:rPr>
          <w:lang w:val="ru-RU"/>
        </w:rPr>
        <w:lastRenderedPageBreak/>
        <w:t>1</w:t>
      </w:r>
      <w:r w:rsidRPr="003D36EF">
        <w:rPr>
          <w:lang w:val="ru-RU"/>
        </w:rPr>
        <w:tab/>
      </w:r>
      <w:r w:rsidR="00DF3838" w:rsidRPr="003D36EF">
        <w:rPr>
          <w:lang w:val="ru-RU"/>
        </w:rPr>
        <w:t>Всемирный форум по политике в области электросвязи/ИКТ МСЭ (ВФПЭ) был учрежден Полномочной конференцией 1994 года</w:t>
      </w:r>
      <w:r w:rsidR="000F1075" w:rsidRPr="003D36EF">
        <w:rPr>
          <w:lang w:val="ru-RU"/>
        </w:rPr>
        <w:t xml:space="preserve"> </w:t>
      </w:r>
      <w:r w:rsidR="00DF3838" w:rsidRPr="003D36EF">
        <w:rPr>
          <w:lang w:val="ru-RU"/>
        </w:rPr>
        <w:t>(Киото, 1994 г.), и охватывается положениями Резолюции 2 (Пересм. Бухарест, 2022 г.) Полномочной конференции. ВФПЭ</w:t>
      </w:r>
      <w:r w:rsidR="00DF3838" w:rsidRPr="003D36EF">
        <w:rPr>
          <w:spacing w:val="-2"/>
          <w:lang w:val="ru-RU"/>
        </w:rPr>
        <w:t xml:space="preserve"> </w:t>
      </w:r>
      <w:r w:rsidR="00DF3838" w:rsidRPr="003D36EF">
        <w:rPr>
          <w:lang w:val="ru-RU"/>
        </w:rPr>
        <w:t>успешно созывался в 1996, 1998, 2001</w:t>
      </w:r>
      <w:r w:rsidR="00DF3838" w:rsidRPr="003D36EF">
        <w:rPr>
          <w:spacing w:val="-2"/>
          <w:lang w:val="ru-RU"/>
        </w:rPr>
        <w:t>, 2009</w:t>
      </w:r>
      <w:r w:rsidR="000F1075" w:rsidRPr="003D36EF">
        <w:rPr>
          <w:spacing w:val="-2"/>
          <w:lang w:val="ru-RU"/>
        </w:rPr>
        <w:t>,</w:t>
      </w:r>
      <w:r w:rsidR="00DF3838" w:rsidRPr="003D36EF">
        <w:rPr>
          <w:spacing w:val="-2"/>
          <w:lang w:val="ru-RU"/>
        </w:rPr>
        <w:t xml:space="preserve"> 2013</w:t>
      </w:r>
      <w:r w:rsidR="000F1075" w:rsidRPr="003D36EF">
        <w:rPr>
          <w:spacing w:val="-2"/>
          <w:lang w:val="ru-RU"/>
        </w:rPr>
        <w:t xml:space="preserve"> и 2021</w:t>
      </w:r>
      <w:r w:rsidR="00DF3838" w:rsidRPr="003D36EF">
        <w:rPr>
          <w:spacing w:val="-2"/>
          <w:lang w:val="ru-RU"/>
        </w:rPr>
        <w:t xml:space="preserve"> годах. Отчет о </w:t>
      </w:r>
      <w:r w:rsidR="00DF3838" w:rsidRPr="003D36EF">
        <w:rPr>
          <w:lang w:val="ru-RU"/>
        </w:rPr>
        <w:t xml:space="preserve">ВФПЭ-21 содержится в Документе </w:t>
      </w:r>
      <w:hyperlink r:id="rId10" w:history="1">
        <w:r w:rsidRPr="003D36EF">
          <w:rPr>
            <w:rStyle w:val="Hyperlink"/>
            <w:bCs/>
            <w:lang w:val="ru-RU"/>
          </w:rPr>
          <w:t>C22/5</w:t>
        </w:r>
      </w:hyperlink>
      <w:r w:rsidR="00650601" w:rsidRPr="003D36EF">
        <w:rPr>
          <w:lang w:val="ru-RU"/>
        </w:rPr>
        <w:t xml:space="preserve"> Совета МСЭ.</w:t>
      </w:r>
    </w:p>
    <w:p w14:paraId="02073158" w14:textId="6D2863F1" w:rsidR="00DD55FE" w:rsidRPr="003D36EF" w:rsidRDefault="00DD55FE" w:rsidP="00DD55FE">
      <w:pPr>
        <w:rPr>
          <w:rFonts w:cs="Calibri"/>
          <w:lang w:val="ru-RU" w:eastAsia="zh-CN"/>
        </w:rPr>
      </w:pPr>
      <w:r w:rsidRPr="003D36EF">
        <w:rPr>
          <w:lang w:val="ru-RU"/>
        </w:rPr>
        <w:t>2</w:t>
      </w:r>
      <w:r w:rsidRPr="003D36EF">
        <w:rPr>
          <w:lang w:val="ru-RU"/>
        </w:rPr>
        <w:tab/>
      </w:r>
      <w:r w:rsidR="000F1075" w:rsidRPr="003D36EF">
        <w:rPr>
          <w:lang w:val="ru-RU"/>
        </w:rPr>
        <w:t>В соответствии с</w:t>
      </w:r>
      <w:r w:rsidRPr="003D36EF">
        <w:rPr>
          <w:lang w:val="ru-RU"/>
        </w:rPr>
        <w:t xml:space="preserve"> </w:t>
      </w:r>
      <w:r w:rsidR="00DF3838" w:rsidRPr="003D36EF">
        <w:rPr>
          <w:lang w:val="ru-RU"/>
        </w:rPr>
        <w:t>Резолюци</w:t>
      </w:r>
      <w:r w:rsidR="000F1075" w:rsidRPr="003D36EF">
        <w:rPr>
          <w:lang w:val="ru-RU"/>
        </w:rPr>
        <w:t>ей</w:t>
      </w:r>
      <w:r w:rsidR="00DF3838" w:rsidRPr="003D36EF">
        <w:rPr>
          <w:lang w:val="ru-RU"/>
        </w:rPr>
        <w:t xml:space="preserve"> 2 (Пересм. Бухарест, 2022 г.)</w:t>
      </w:r>
      <w:r w:rsidRPr="003D36EF">
        <w:rPr>
          <w:lang w:val="ru-RU"/>
        </w:rPr>
        <w:t xml:space="preserve">, </w:t>
      </w:r>
      <w:r w:rsidR="005B6F13" w:rsidRPr="003D36EF">
        <w:rPr>
          <w:lang w:val="ru-RU"/>
        </w:rPr>
        <w:t>цель ВФПЭ состоит в предоставлении места для обмена мнениями и информацией и формирования благодаря этому среди лиц, ответственных во всем мире за политику, общего видения проблем и возможностей, обусловленных новыми и появляющимися услугами и технологиями электросвязи/ИКТ, а также в рассмотрении любых других вопросов политики в области электросвязи/ИКТ, для которых был бы полезен глобальный обмен мнениями, в дополнение к принятию мнений, отражающих общие точки зрения</w:t>
      </w:r>
      <w:r w:rsidRPr="003D36EF">
        <w:rPr>
          <w:rFonts w:cs="Calibri"/>
          <w:lang w:val="ru-RU" w:eastAsia="zh-CN"/>
        </w:rPr>
        <w:t>.</w:t>
      </w:r>
    </w:p>
    <w:p w14:paraId="68FCBF0E" w14:textId="6DF90A4B" w:rsidR="00DD55FE" w:rsidRPr="003D36EF" w:rsidRDefault="00DD55FE" w:rsidP="00DD55FE">
      <w:pPr>
        <w:rPr>
          <w:rFonts w:cs="Calibri"/>
          <w:lang w:val="ru-RU" w:eastAsia="zh-CN"/>
        </w:rPr>
      </w:pPr>
      <w:r w:rsidRPr="003D36EF">
        <w:rPr>
          <w:rFonts w:cs="Calibri"/>
          <w:lang w:val="ru-RU" w:eastAsia="zh-CN"/>
        </w:rPr>
        <w:t>3</w:t>
      </w:r>
      <w:r w:rsidRPr="003D36EF">
        <w:rPr>
          <w:rFonts w:cs="Calibri"/>
          <w:lang w:val="ru-RU" w:eastAsia="zh-CN"/>
        </w:rPr>
        <w:tab/>
      </w:r>
      <w:r w:rsidR="00DF3838" w:rsidRPr="003D36EF">
        <w:rPr>
          <w:lang w:val="ru-RU"/>
        </w:rPr>
        <w:t xml:space="preserve">На ВФПЭ следует продолжать уделять особое внимание интересам и нуждам развивающихся стран, где новые и </w:t>
      </w:r>
      <w:r w:rsidR="00650601" w:rsidRPr="003D36EF">
        <w:rPr>
          <w:lang w:val="ru-RU"/>
        </w:rPr>
        <w:t>появляющиеся</w:t>
      </w:r>
      <w:r w:rsidR="00DF3838" w:rsidRPr="003D36EF">
        <w:rPr>
          <w:lang w:val="ru-RU"/>
        </w:rPr>
        <w:t xml:space="preserve"> услуги и технологии электросвязи/ИКТ могут внести существенный вклад в развитие инфраструктуры электросвязи/ИКТ</w:t>
      </w:r>
      <w:r w:rsidRPr="003D36EF">
        <w:rPr>
          <w:rFonts w:cs="Calibri"/>
          <w:lang w:val="ru-RU" w:eastAsia="zh-CN"/>
        </w:rPr>
        <w:t>.</w:t>
      </w:r>
    </w:p>
    <w:p w14:paraId="433A5DDF" w14:textId="4F046CC3" w:rsidR="00DD55FE" w:rsidRPr="003D36EF" w:rsidRDefault="00DD55FE" w:rsidP="00DD55FE">
      <w:pPr>
        <w:rPr>
          <w:rFonts w:cs="Calibri"/>
          <w:lang w:val="ru-RU" w:eastAsia="zh-CN"/>
        </w:rPr>
      </w:pPr>
      <w:r w:rsidRPr="003D36EF">
        <w:rPr>
          <w:rFonts w:cs="Calibri"/>
          <w:lang w:val="ru-RU" w:eastAsia="zh-CN"/>
        </w:rPr>
        <w:t>4</w:t>
      </w:r>
      <w:r w:rsidRPr="003D36EF">
        <w:rPr>
          <w:rFonts w:cs="Calibri"/>
          <w:lang w:val="ru-RU" w:eastAsia="zh-CN"/>
        </w:rPr>
        <w:tab/>
      </w:r>
      <w:r w:rsidR="000F1075" w:rsidRPr="003D36EF">
        <w:rPr>
          <w:lang w:val="ru-RU"/>
        </w:rPr>
        <w:t xml:space="preserve">Для обеспечения целенаправленности </w:t>
      </w:r>
      <w:r w:rsidR="00DF3838" w:rsidRPr="003D36EF">
        <w:rPr>
          <w:lang w:val="ru-RU"/>
        </w:rPr>
        <w:t>обсуждений на ВФПЭ</w:t>
      </w:r>
      <w:r w:rsidR="000F1075" w:rsidRPr="003D36EF">
        <w:rPr>
          <w:lang w:val="ru-RU"/>
        </w:rPr>
        <w:t xml:space="preserve"> их основой</w:t>
      </w:r>
      <w:r w:rsidR="00DF3838" w:rsidRPr="003D36EF">
        <w:rPr>
          <w:lang w:val="ru-RU"/>
        </w:rPr>
        <w:t xml:space="preserve"> должен служить лишь единственный отчет Генерального секретаря и вклады участников, основанные на этом отчете, подготавливаемые в соответствии с процедурой, принятой Советом, и с учетом предложений Государств-Членов и Членов Секторов, а также мнений Ассоциированных членов, Академических организаций и заинтересованных сторон</w:t>
      </w:r>
      <w:r w:rsidRPr="003D36EF">
        <w:rPr>
          <w:rFonts w:cs="Calibri"/>
          <w:lang w:val="ru-RU" w:eastAsia="zh-CN"/>
        </w:rPr>
        <w:t>.</w:t>
      </w:r>
    </w:p>
    <w:p w14:paraId="31300011" w14:textId="55CCA06C" w:rsidR="00DD55FE" w:rsidRPr="003D36EF" w:rsidRDefault="00DD55FE" w:rsidP="00DD55FE">
      <w:pPr>
        <w:rPr>
          <w:lang w:val="ru-RU"/>
        </w:rPr>
      </w:pPr>
      <w:r w:rsidRPr="003D36EF">
        <w:rPr>
          <w:lang w:val="ru-RU"/>
        </w:rPr>
        <w:t>5</w:t>
      </w:r>
      <w:r w:rsidRPr="003D36EF">
        <w:rPr>
          <w:lang w:val="ru-RU"/>
        </w:rPr>
        <w:tab/>
      </w:r>
      <w:r w:rsidR="00DF3838" w:rsidRPr="003D36EF">
        <w:rPr>
          <w:lang w:val="ru-RU"/>
        </w:rPr>
        <w:t>ВФПЭ не должен вырабатывать предписывающих регуляторных документов; однако он должен готовить отчеты и принимать мнения на основе консенсуса для рассмотрения их Государствами-Членами, Членами Секторов и соответствующими собраниями МСЭ</w:t>
      </w:r>
      <w:r w:rsidRPr="003D36EF">
        <w:rPr>
          <w:lang w:val="ru-RU"/>
        </w:rPr>
        <w:t>.</w:t>
      </w:r>
    </w:p>
    <w:p w14:paraId="197F4DAA" w14:textId="30F99F2A" w:rsidR="00DD55FE" w:rsidRPr="003D36EF" w:rsidRDefault="00DD55FE" w:rsidP="00DD55FE">
      <w:pPr>
        <w:rPr>
          <w:lang w:val="ru-RU"/>
        </w:rPr>
      </w:pPr>
      <w:r w:rsidRPr="003D36EF">
        <w:rPr>
          <w:lang w:val="ru-RU"/>
        </w:rPr>
        <w:t>6</w:t>
      </w:r>
      <w:r w:rsidRPr="003D36EF">
        <w:rPr>
          <w:lang w:val="ru-RU"/>
        </w:rPr>
        <w:tab/>
      </w:r>
      <w:r w:rsidR="00DF3838" w:rsidRPr="003D36EF">
        <w:rPr>
          <w:lang w:val="ru-RU"/>
        </w:rPr>
        <w:t>ВФПЭ должен быть открыт для всех Государств-Членов и Членов Секторов; однако, при необходимости, по решению большинства представителей Государств-Членов может быть проведена специальная сессия только для Государств-Членов</w:t>
      </w:r>
      <w:r w:rsidRPr="003D36EF">
        <w:rPr>
          <w:lang w:val="ru-RU"/>
        </w:rPr>
        <w:t>.</w:t>
      </w:r>
    </w:p>
    <w:p w14:paraId="43D34328" w14:textId="2D6C5DD2" w:rsidR="00DD55FE" w:rsidRPr="003D36EF" w:rsidRDefault="00DD55FE" w:rsidP="00DD55FE">
      <w:pPr>
        <w:rPr>
          <w:rFonts w:cs="Calibri"/>
          <w:szCs w:val="24"/>
          <w:lang w:val="ru-RU" w:eastAsia="zh-CN"/>
        </w:rPr>
      </w:pPr>
      <w:r w:rsidRPr="003D36EF">
        <w:rPr>
          <w:lang w:val="ru-RU"/>
        </w:rPr>
        <w:t>7</w:t>
      </w:r>
      <w:r w:rsidRPr="003D36EF">
        <w:rPr>
          <w:lang w:val="ru-RU"/>
        </w:rPr>
        <w:tab/>
      </w:r>
      <w:r w:rsidR="000F1075" w:rsidRPr="003D36EF">
        <w:rPr>
          <w:lang w:val="ru-RU"/>
        </w:rPr>
        <w:t xml:space="preserve">В Резолюции 2 (Пересм. Бухарест, 2022 г.) Полномочной конференции содержится решение о проведении ВФПЭ, желательно приуроченного </w:t>
      </w:r>
      <w:r w:rsidR="000F1075" w:rsidRPr="003D36EF">
        <w:rPr>
          <w:rFonts w:asciiTheme="minorHAnsi" w:hAnsiTheme="minorHAnsi" w:cstheme="minorHAnsi"/>
          <w:color w:val="000000"/>
          <w:szCs w:val="22"/>
          <w:lang w:val="ru-RU"/>
        </w:rPr>
        <w:t>к Форуму Всемирной встречи на высшем уровне по вопросам информационного общества (ВВУИО),</w:t>
      </w:r>
      <w:r w:rsidR="00650601" w:rsidRPr="003D36EF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0F1075" w:rsidRPr="003D36EF">
        <w:rPr>
          <w:lang w:val="ru-RU"/>
        </w:rPr>
        <w:t>с учетом необходимости обеспечить надлежащую подготовку со стороны Государств-Членов.</w:t>
      </w:r>
    </w:p>
    <w:p w14:paraId="1AC42B8D" w14:textId="4432C3EA" w:rsidR="00DD55FE" w:rsidRPr="003D36EF" w:rsidRDefault="00DD55FE" w:rsidP="00DD55FE">
      <w:pPr>
        <w:rPr>
          <w:rFonts w:cs="Calibri"/>
          <w:szCs w:val="24"/>
          <w:lang w:val="ru-RU" w:eastAsia="zh-CN"/>
        </w:rPr>
      </w:pPr>
      <w:r w:rsidRPr="003D36EF">
        <w:rPr>
          <w:rFonts w:cs="Calibri"/>
          <w:szCs w:val="24"/>
          <w:lang w:val="ru-RU" w:eastAsia="zh-CN"/>
        </w:rPr>
        <w:t>8</w:t>
      </w:r>
      <w:r w:rsidRPr="003D36EF">
        <w:rPr>
          <w:rFonts w:cs="Calibri"/>
          <w:szCs w:val="24"/>
          <w:lang w:val="ru-RU" w:eastAsia="zh-CN"/>
        </w:rPr>
        <w:tab/>
      </w:r>
      <w:r w:rsidR="00DF3838" w:rsidRPr="003D36EF">
        <w:rPr>
          <w:rFonts w:cs="Calibri"/>
          <w:szCs w:val="24"/>
          <w:lang w:val="ru-RU" w:eastAsia="zh-CN"/>
        </w:rPr>
        <w:t>Полномочная конференция</w:t>
      </w:r>
      <w:r w:rsidRPr="003D36EF">
        <w:rPr>
          <w:rFonts w:cs="Calibri"/>
          <w:szCs w:val="24"/>
          <w:lang w:val="ru-RU" w:eastAsia="zh-CN"/>
        </w:rPr>
        <w:t xml:space="preserve"> (</w:t>
      </w:r>
      <w:r w:rsidR="00DF3838" w:rsidRPr="003D36EF">
        <w:rPr>
          <w:rFonts w:cs="Calibri"/>
          <w:szCs w:val="24"/>
          <w:lang w:val="ru-RU" w:eastAsia="zh-CN"/>
        </w:rPr>
        <w:t>Бухарест</w:t>
      </w:r>
      <w:r w:rsidRPr="003D36EF">
        <w:rPr>
          <w:rFonts w:cs="Calibri"/>
          <w:szCs w:val="24"/>
          <w:lang w:val="ru-RU" w:eastAsia="zh-CN"/>
        </w:rPr>
        <w:t>, 2022</w:t>
      </w:r>
      <w:r w:rsidR="00DF3838" w:rsidRPr="003D36EF">
        <w:rPr>
          <w:rFonts w:cs="Calibri"/>
          <w:szCs w:val="24"/>
          <w:lang w:val="ru-RU" w:eastAsia="zh-CN"/>
        </w:rPr>
        <w:t> г.</w:t>
      </w:r>
      <w:r w:rsidRPr="003D36EF">
        <w:rPr>
          <w:rFonts w:cs="Calibri"/>
          <w:szCs w:val="24"/>
          <w:lang w:val="ru-RU" w:eastAsia="zh-CN"/>
        </w:rPr>
        <w:t>)</w:t>
      </w:r>
      <w:r w:rsidR="000F1075" w:rsidRPr="003D36EF">
        <w:rPr>
          <w:rFonts w:cs="Calibri"/>
          <w:szCs w:val="24"/>
          <w:lang w:val="ru-RU" w:eastAsia="zh-CN"/>
        </w:rPr>
        <w:t xml:space="preserve"> также поручила Совету запланировать проведение ВФПЭ на 2026 год</w:t>
      </w:r>
      <w:r w:rsidRPr="003D36EF">
        <w:rPr>
          <w:rFonts w:asciiTheme="minorHAnsi" w:hAnsiTheme="minorHAnsi"/>
          <w:szCs w:val="24"/>
          <w:lang w:val="ru-RU"/>
        </w:rPr>
        <w:t>.</w:t>
      </w:r>
    </w:p>
    <w:p w14:paraId="72C787C7" w14:textId="38D77CB8" w:rsidR="00DD55FE" w:rsidRPr="003D36EF" w:rsidRDefault="00DD55FE" w:rsidP="00DD55FE">
      <w:pPr>
        <w:rPr>
          <w:rFonts w:asciiTheme="minorHAnsi" w:hAnsiTheme="minorHAnsi"/>
          <w:szCs w:val="24"/>
          <w:lang w:val="ru-RU"/>
        </w:rPr>
      </w:pPr>
      <w:r w:rsidRPr="003D36EF">
        <w:rPr>
          <w:rFonts w:asciiTheme="minorHAnsi" w:hAnsiTheme="minorHAnsi"/>
          <w:szCs w:val="24"/>
          <w:lang w:val="ru-RU"/>
        </w:rPr>
        <w:t>9</w:t>
      </w:r>
      <w:r w:rsidRPr="003D36EF">
        <w:rPr>
          <w:rFonts w:asciiTheme="minorHAnsi" w:hAnsiTheme="minorHAnsi"/>
          <w:szCs w:val="24"/>
          <w:lang w:val="ru-RU"/>
        </w:rPr>
        <w:tab/>
      </w:r>
      <w:r w:rsidR="000F1075" w:rsidRPr="003D36EF">
        <w:rPr>
          <w:rFonts w:asciiTheme="minorHAnsi" w:hAnsiTheme="minorHAnsi"/>
          <w:szCs w:val="24"/>
          <w:lang w:val="ru-RU"/>
        </w:rPr>
        <w:t xml:space="preserve">В </w:t>
      </w:r>
      <w:r w:rsidR="00DF3838" w:rsidRPr="003D36EF">
        <w:rPr>
          <w:lang w:val="ru-RU"/>
        </w:rPr>
        <w:t>Резолюци</w:t>
      </w:r>
      <w:r w:rsidR="000F1075" w:rsidRPr="003D36EF">
        <w:rPr>
          <w:lang w:val="ru-RU"/>
        </w:rPr>
        <w:t>и</w:t>
      </w:r>
      <w:r w:rsidR="00DF3838" w:rsidRPr="003D36EF">
        <w:rPr>
          <w:lang w:val="ru-RU"/>
        </w:rPr>
        <w:t xml:space="preserve"> 2 (Пересм. Бухарест, 2022 г.)</w:t>
      </w:r>
      <w:r w:rsidR="000F1075" w:rsidRPr="003D36EF">
        <w:rPr>
          <w:lang w:val="ru-RU"/>
        </w:rPr>
        <w:t xml:space="preserve"> Совету поручается</w:t>
      </w:r>
      <w:r w:rsidRPr="003D36EF">
        <w:rPr>
          <w:rFonts w:asciiTheme="minorHAnsi" w:hAnsiTheme="minorHAnsi"/>
          <w:szCs w:val="24"/>
          <w:lang w:val="ru-RU"/>
        </w:rPr>
        <w:t>:</w:t>
      </w:r>
    </w:p>
    <w:p w14:paraId="6BB0C90A" w14:textId="315813F0" w:rsidR="00DD55FE" w:rsidRPr="003D36EF" w:rsidRDefault="00DD55FE" w:rsidP="00DD55FE">
      <w:pPr>
        <w:pStyle w:val="enumlev1"/>
        <w:rPr>
          <w:lang w:val="ru-RU"/>
        </w:rPr>
      </w:pPr>
      <w:r w:rsidRPr="003D36EF">
        <w:rPr>
          <w:lang w:val="ru-RU"/>
        </w:rPr>
        <w:t>1)</w:t>
      </w:r>
      <w:r w:rsidRPr="003D36EF">
        <w:rPr>
          <w:lang w:val="ru-RU"/>
        </w:rPr>
        <w:tab/>
      </w:r>
      <w:r w:rsidR="00DF3838" w:rsidRPr="003D36EF">
        <w:rPr>
          <w:lang w:val="ru-RU"/>
        </w:rPr>
        <w:t>принимать решения относительно продолжительности, сроков, места проведения, повестки дня и тематики любого будущего ВФПЭ</w:t>
      </w:r>
      <w:r w:rsidRPr="003D36EF">
        <w:rPr>
          <w:lang w:val="ru-RU"/>
        </w:rPr>
        <w:t>;</w:t>
      </w:r>
    </w:p>
    <w:p w14:paraId="781D6643" w14:textId="24F0267A" w:rsidR="00DD55FE" w:rsidRPr="003D36EF" w:rsidRDefault="00DD55FE" w:rsidP="00DD55FE">
      <w:pPr>
        <w:pStyle w:val="enumlev1"/>
        <w:rPr>
          <w:lang w:val="ru-RU"/>
        </w:rPr>
      </w:pPr>
      <w:r w:rsidRPr="003D36EF">
        <w:rPr>
          <w:lang w:val="ru-RU"/>
        </w:rPr>
        <w:t>2)</w:t>
      </w:r>
      <w:r w:rsidRPr="003D36EF">
        <w:rPr>
          <w:lang w:val="ru-RU"/>
        </w:rPr>
        <w:tab/>
      </w:r>
      <w:r w:rsidR="00DF3838" w:rsidRPr="003D36EF">
        <w:rPr>
          <w:lang w:val="ru-RU"/>
        </w:rPr>
        <w:t>принять процедуру подготовки отчета Генерального секретаря</w:t>
      </w:r>
      <w:r w:rsidR="004C51B5" w:rsidRPr="003D36EF">
        <w:rPr>
          <w:lang w:val="ru-RU"/>
        </w:rPr>
        <w:t xml:space="preserve"> для ВФПЭ</w:t>
      </w:r>
      <w:r w:rsidRPr="003D36EF">
        <w:rPr>
          <w:lang w:val="ru-RU"/>
        </w:rPr>
        <w:t>;</w:t>
      </w:r>
    </w:p>
    <w:p w14:paraId="1AE90C42" w14:textId="664FCB9A" w:rsidR="00DD55FE" w:rsidRPr="003D36EF" w:rsidRDefault="00DD55FE" w:rsidP="00DD55FE">
      <w:pPr>
        <w:pStyle w:val="enumlev1"/>
        <w:rPr>
          <w:lang w:val="ru-RU"/>
        </w:rPr>
      </w:pPr>
      <w:r w:rsidRPr="003D36EF">
        <w:rPr>
          <w:lang w:val="ru-RU"/>
        </w:rPr>
        <w:t>3)</w:t>
      </w:r>
      <w:r w:rsidRPr="003D36EF">
        <w:rPr>
          <w:lang w:val="ru-RU"/>
        </w:rPr>
        <w:tab/>
      </w:r>
      <w:r w:rsidR="00DF3838" w:rsidRPr="003D36EF">
        <w:rPr>
          <w:lang w:val="ru-RU"/>
        </w:rPr>
        <w:t xml:space="preserve">сделать так, чтобы процедура, упомянутая в пункте 2 раздела </w:t>
      </w:r>
      <w:r w:rsidR="00DF3838" w:rsidRPr="003D36EF">
        <w:rPr>
          <w:i/>
          <w:iCs/>
          <w:lang w:val="ru-RU"/>
        </w:rPr>
        <w:t>поручает Совету МСЭ</w:t>
      </w:r>
      <w:r w:rsidR="00DF3838" w:rsidRPr="003D36EF">
        <w:rPr>
          <w:lang w:val="ru-RU"/>
        </w:rPr>
        <w:t xml:space="preserve">, была открыта, </w:t>
      </w:r>
      <w:r w:rsidR="00DF3838" w:rsidRPr="003D36EF">
        <w:rPr>
          <w:color w:val="000000"/>
          <w:lang w:val="ru-RU"/>
        </w:rPr>
        <w:t>в соответствующих случаях,</w:t>
      </w:r>
      <w:r w:rsidR="00DF3838" w:rsidRPr="003D36EF">
        <w:rPr>
          <w:lang w:val="ru-RU"/>
        </w:rPr>
        <w:t xml:space="preserve"> для участия всех Государств-Членов и Членов Секторов и чтобы она включала </w:t>
      </w:r>
      <w:r w:rsidR="00DF3838" w:rsidRPr="003D36EF">
        <w:rPr>
          <w:color w:val="000000"/>
          <w:lang w:val="ru-RU"/>
        </w:rPr>
        <w:t>онлайновые публичные консультации, открытые для всех заинтересованных сторон</w:t>
      </w:r>
      <w:r w:rsidR="00DF3838" w:rsidRPr="003D36EF">
        <w:rPr>
          <w:lang w:val="ru-RU"/>
        </w:rPr>
        <w:t xml:space="preserve">, </w:t>
      </w:r>
      <w:r w:rsidR="00DF3838" w:rsidRPr="003D36EF">
        <w:rPr>
          <w:color w:val="000000"/>
          <w:lang w:val="ru-RU"/>
        </w:rPr>
        <w:t>с учетом сложившейся практики и накопленного опыта, в том числе в отношении процесса подготовки МСЭ к предыдущим ВФПЭ</w:t>
      </w:r>
      <w:r w:rsidRPr="003D36EF">
        <w:rPr>
          <w:lang w:val="ru-RU"/>
        </w:rPr>
        <w:t>.</w:t>
      </w:r>
    </w:p>
    <w:p w14:paraId="3C992742" w14:textId="1F72C801" w:rsidR="00A93151" w:rsidRPr="003D36EF" w:rsidRDefault="00A93151" w:rsidP="00A93151">
      <w:pPr>
        <w:spacing w:before="720"/>
        <w:jc w:val="center"/>
        <w:rPr>
          <w:lang w:val="ru-RU"/>
        </w:rPr>
      </w:pPr>
      <w:r w:rsidRPr="003D36EF">
        <w:rPr>
          <w:lang w:val="ru-RU"/>
        </w:rPr>
        <w:t>______________</w:t>
      </w:r>
    </w:p>
    <w:sectPr w:rsidR="00A93151" w:rsidRPr="003D36EF" w:rsidSect="00796BD3"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320C" w14:textId="77777777" w:rsidR="00853488" w:rsidRDefault="00853488">
      <w:r>
        <w:separator/>
      </w:r>
    </w:p>
  </w:endnote>
  <w:endnote w:type="continuationSeparator" w:id="0">
    <w:p w14:paraId="1691253E" w14:textId="77777777" w:rsidR="00853488" w:rsidRDefault="0085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53406EAC" w14:textId="77777777" w:rsidTr="00E31DCE">
      <w:trPr>
        <w:jc w:val="center"/>
      </w:trPr>
      <w:tc>
        <w:tcPr>
          <w:tcW w:w="1803" w:type="dxa"/>
          <w:vAlign w:val="center"/>
        </w:tcPr>
        <w:p w14:paraId="2FB1F3EF" w14:textId="71FA867B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1374" w:rsidRPr="003B1374">
            <w:rPr>
              <w:noProof/>
            </w:rPr>
            <w:t>520422</w:t>
          </w:r>
        </w:p>
      </w:tc>
      <w:tc>
        <w:tcPr>
          <w:tcW w:w="8261" w:type="dxa"/>
        </w:tcPr>
        <w:p w14:paraId="58E7E4C6" w14:textId="675331E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37E1C">
            <w:rPr>
              <w:bCs/>
            </w:rPr>
            <w:t>1</w:t>
          </w:r>
          <w:r w:rsidR="003B1374">
            <w:rPr>
              <w:bCs/>
            </w:rPr>
            <w:t>3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9E2A827" w14:textId="77777777" w:rsidR="000E568E" w:rsidRPr="00672F8A" w:rsidRDefault="000E568E" w:rsidP="00537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2B09FEE" w14:textId="77777777" w:rsidTr="00E31DCE">
      <w:trPr>
        <w:jc w:val="center"/>
      </w:trPr>
      <w:tc>
        <w:tcPr>
          <w:tcW w:w="1803" w:type="dxa"/>
          <w:vAlign w:val="center"/>
        </w:tcPr>
        <w:p w14:paraId="702C1C59" w14:textId="77777777" w:rsidR="00672F8A" w:rsidRDefault="00DB45B4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7487B57" w14:textId="630EFF4F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37E1C">
            <w:rPr>
              <w:bCs/>
            </w:rPr>
            <w:t>1</w:t>
          </w:r>
          <w:r w:rsidR="003B1374">
            <w:rPr>
              <w:bCs/>
            </w:rPr>
            <w:t>3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CF459CF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D1D0" w14:textId="77777777" w:rsidR="00853488" w:rsidRPr="00507CAF" w:rsidRDefault="00853488">
      <w:pPr>
        <w:rPr>
          <w:lang w:val="ru-RU"/>
        </w:rPr>
      </w:pPr>
      <w:r>
        <w:t>____________________</w:t>
      </w:r>
    </w:p>
  </w:footnote>
  <w:footnote w:type="continuationSeparator" w:id="0">
    <w:p w14:paraId="54C6A989" w14:textId="77777777" w:rsidR="00853488" w:rsidRDefault="0085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4780CB1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E1B4D06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1DBF2A31" wp14:editId="49C24BB4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866937B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234A74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9024793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7"/>
  <w:p w14:paraId="32FCE2EA" w14:textId="77777777" w:rsidR="00796BD3" w:rsidRDefault="00796BD3" w:rsidP="00DD55F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F112E" wp14:editId="31A2F4EB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041FD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A646C1"/>
    <w:multiLevelType w:val="hybridMultilevel"/>
    <w:tmpl w:val="E3B2C4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84747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8"/>
    <w:rsid w:val="00005BE0"/>
    <w:rsid w:val="0002183E"/>
    <w:rsid w:val="000569B4"/>
    <w:rsid w:val="00080E82"/>
    <w:rsid w:val="000B2DE7"/>
    <w:rsid w:val="000E568E"/>
    <w:rsid w:val="000F1075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93F39"/>
    <w:rsid w:val="002D2F57"/>
    <w:rsid w:val="002D48C5"/>
    <w:rsid w:val="00301B4A"/>
    <w:rsid w:val="0033025A"/>
    <w:rsid w:val="003B1374"/>
    <w:rsid w:val="003D36EF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C51B5"/>
    <w:rsid w:val="004D0129"/>
    <w:rsid w:val="00504E7F"/>
    <w:rsid w:val="00507CAF"/>
    <w:rsid w:val="00537E1C"/>
    <w:rsid w:val="005A64D5"/>
    <w:rsid w:val="005B3DEC"/>
    <w:rsid w:val="005B6F13"/>
    <w:rsid w:val="005D4450"/>
    <w:rsid w:val="00601994"/>
    <w:rsid w:val="00650601"/>
    <w:rsid w:val="00672F8A"/>
    <w:rsid w:val="006935E2"/>
    <w:rsid w:val="006E2D42"/>
    <w:rsid w:val="00703676"/>
    <w:rsid w:val="00707304"/>
    <w:rsid w:val="00732269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53488"/>
    <w:rsid w:val="008B62B4"/>
    <w:rsid w:val="008D2D7B"/>
    <w:rsid w:val="008E0737"/>
    <w:rsid w:val="008F7C2C"/>
    <w:rsid w:val="00940E96"/>
    <w:rsid w:val="0099131E"/>
    <w:rsid w:val="009B0BAE"/>
    <w:rsid w:val="009C1C89"/>
    <w:rsid w:val="009F2BEA"/>
    <w:rsid w:val="009F3448"/>
    <w:rsid w:val="00A01CF9"/>
    <w:rsid w:val="00A71773"/>
    <w:rsid w:val="00A93151"/>
    <w:rsid w:val="00AE2C85"/>
    <w:rsid w:val="00B12A37"/>
    <w:rsid w:val="00B41837"/>
    <w:rsid w:val="00B63EF2"/>
    <w:rsid w:val="00BA7D89"/>
    <w:rsid w:val="00BC0D39"/>
    <w:rsid w:val="00BC7BC0"/>
    <w:rsid w:val="00BD57B7"/>
    <w:rsid w:val="00BE63E2"/>
    <w:rsid w:val="00C73621"/>
    <w:rsid w:val="00CD2009"/>
    <w:rsid w:val="00CF629C"/>
    <w:rsid w:val="00D92EEA"/>
    <w:rsid w:val="00DA5D4E"/>
    <w:rsid w:val="00DB45B4"/>
    <w:rsid w:val="00DD55FE"/>
    <w:rsid w:val="00DF3838"/>
    <w:rsid w:val="00E176BA"/>
    <w:rsid w:val="00E423EC"/>
    <w:rsid w:val="00E55121"/>
    <w:rsid w:val="00EB4FCB"/>
    <w:rsid w:val="00EC6BC5"/>
    <w:rsid w:val="00EE5249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58102"/>
  <w15:docId w15:val="{381C5159-4379-463E-BED8-9260559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35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customStyle="1" w:styleId="FootnoteTextChar">
    <w:name w:val="Footnote Text Char"/>
    <w:basedOn w:val="DefaultParagraphFont"/>
    <w:link w:val="FootnoteText"/>
    <w:rsid w:val="006935E2"/>
    <w:rPr>
      <w:rFonts w:ascii="Calibri" w:hAnsi="Calibri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A93151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A93151"/>
    <w:rPr>
      <w:rFonts w:ascii="Calibri" w:hAnsi="Calibri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DD55F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002-R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L-C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207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E6E60-C9D6-4106-8A00-27E3B266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4164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the 2026 World Telecommunication/ICT Policy Forum (WTPF-26)</dc:title>
  <dc:subject>Council 2023</dc:subject>
  <dc:creator>Russian</dc:creator>
  <cp:keywords>C2023, C23, Council-23</cp:keywords>
  <dc:description/>
  <cp:lastModifiedBy>Xue, Kun</cp:lastModifiedBy>
  <cp:revision>2</cp:revision>
  <cp:lastPrinted>2006-03-28T16:12:00Z</cp:lastPrinted>
  <dcterms:created xsi:type="dcterms:W3CDTF">2023-06-22T12:04:00Z</dcterms:created>
  <dcterms:modified xsi:type="dcterms:W3CDTF">2023-06-22T12:04:00Z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