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3CA5B85B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</w:rPr>
              <w:t xml:space="preserve">Agenda item: </w:t>
            </w:r>
            <w:r w:rsidR="00BE3DA4">
              <w:rPr>
                <w:b/>
              </w:rPr>
              <w:t xml:space="preserve">PL </w:t>
            </w:r>
            <w:r w:rsidR="00F82B08">
              <w:rPr>
                <w:b/>
              </w:rPr>
              <w:t>2</w:t>
            </w:r>
          </w:p>
        </w:tc>
        <w:tc>
          <w:tcPr>
            <w:tcW w:w="5245" w:type="dxa"/>
          </w:tcPr>
          <w:p w14:paraId="2F0CB53A" w14:textId="2003BA35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C23/</w:t>
            </w:r>
            <w:r w:rsidR="00BE3DA4">
              <w:rPr>
                <w:b/>
              </w:rPr>
              <w:t>13</w:t>
            </w:r>
            <w:r>
              <w:rPr>
                <w:b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3FB7DEB2" w:rsidR="00AD3606" w:rsidRPr="00E85629" w:rsidRDefault="00445ED0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16 May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813E5E" w:rsidRDefault="00AD3606" w:rsidP="00AD3606">
            <w:pPr>
              <w:pStyle w:val="Source"/>
              <w:framePr w:hSpace="0" w:wrap="auto" w:vAnchor="margin" w:hAnchor="text" w:yAlign="inline"/>
            </w:pPr>
            <w:bookmarkStart w:id="4" w:name="dsource" w:colFirst="0" w:colLast="0"/>
            <w:bookmarkEnd w:id="3"/>
            <w:r>
              <w:t>Report</w:t>
            </w:r>
            <w:r w:rsidRPr="002C54E2">
              <w:t xml:space="preserve"> </w:t>
            </w:r>
            <w:r>
              <w:t>by</w:t>
            </w:r>
            <w:r w:rsidRPr="002C54E2">
              <w:t xml:space="preserve"> </w:t>
            </w:r>
            <w:r>
              <w:t>the</w:t>
            </w:r>
            <w:r w:rsidRPr="002C54E2">
              <w:t xml:space="preserve"> </w:t>
            </w:r>
            <w:r>
              <w:t>Secretary-</w:t>
            </w:r>
            <w:r w:rsidRPr="002C54E2">
              <w:t>General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61F776DF" w:rsidR="00AD3606" w:rsidRPr="00813E5E" w:rsidRDefault="00CA0518" w:rsidP="00DF0189">
            <w:pPr>
              <w:pStyle w:val="Subtitle"/>
              <w:framePr w:hSpace="0" w:wrap="auto" w:hAnchor="text" w:xAlign="left" w:yAlign="inline"/>
            </w:pPr>
            <w:bookmarkStart w:id="5" w:name="dtitle1" w:colFirst="0" w:colLast="0"/>
            <w:bookmarkEnd w:id="4"/>
            <w:r>
              <w:t>PREPARATION FOR THE 2026 WORLD TELECOMMUNICATION</w:t>
            </w:r>
            <w:r w:rsidR="0054333E">
              <w:t xml:space="preserve">/ICT </w:t>
            </w:r>
            <w:r>
              <w:t>POLICY FORUM (WTPF-26)</w:t>
            </w:r>
          </w:p>
        </w:tc>
      </w:tr>
      <w:tr w:rsidR="00AD3606" w:rsidRPr="00E661E2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2615349D" w:rsidR="00AD3606" w:rsidRPr="00F16BAB" w:rsidRDefault="00F16BAB" w:rsidP="00CA0716">
            <w:pPr>
              <w:spacing w:before="160"/>
              <w:jc w:val="both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73811E51" w14:textId="50A0489B" w:rsidR="00BA5CBA" w:rsidRPr="00BA5CBA" w:rsidRDefault="001062CA" w:rsidP="00CA0716">
            <w:pPr>
              <w:jc w:val="both"/>
            </w:pPr>
            <w:r w:rsidRPr="00BA5CBA">
              <w:t xml:space="preserve">Resolution 2 (Rev. </w:t>
            </w:r>
            <w:r>
              <w:t>Bucharest</w:t>
            </w:r>
            <w:r w:rsidRPr="00BA5CBA">
              <w:t xml:space="preserve">, </w:t>
            </w:r>
            <w:r>
              <w:t>2022</w:t>
            </w:r>
            <w:r w:rsidRPr="00BA5CBA">
              <w:t>)</w:t>
            </w:r>
            <w:r w:rsidRPr="00D829B9">
              <w:t xml:space="preserve"> </w:t>
            </w:r>
            <w:r w:rsidR="00550B7A" w:rsidRPr="00550B7A">
              <w:t xml:space="preserve">of the Plenipotentiary Conference </w:t>
            </w:r>
            <w:r w:rsidRPr="00D829B9">
              <w:rPr>
                <w:rFonts w:ascii="Calibri-Italic" w:hAnsi="Calibri-Italic" w:cs="Calibri-Italic"/>
                <w:szCs w:val="24"/>
                <w:lang w:eastAsia="zh-CN"/>
              </w:rPr>
              <w:t>resolves</w:t>
            </w:r>
            <w:r w:rsidRPr="001E44D9">
              <w:rPr>
                <w:rFonts w:ascii="Calibri-Italic" w:hAnsi="Calibri-Italic" w:cs="Calibri-Italic"/>
                <w:i/>
                <w:iCs/>
                <w:szCs w:val="24"/>
                <w:lang w:eastAsia="zh-CN"/>
              </w:rPr>
              <w:t xml:space="preserve"> </w:t>
            </w:r>
            <w:r>
              <w:rPr>
                <w:rFonts w:cs="Calibri"/>
                <w:szCs w:val="24"/>
                <w:lang w:eastAsia="zh-CN"/>
              </w:rPr>
              <w:t xml:space="preserve">to hold </w:t>
            </w:r>
            <w:r w:rsidR="00445ED0">
              <w:rPr>
                <w:rFonts w:cs="Calibri"/>
                <w:szCs w:val="24"/>
                <w:lang w:eastAsia="zh-CN"/>
              </w:rPr>
              <w:t xml:space="preserve">the </w:t>
            </w:r>
            <w:r w:rsidR="00B12A33">
              <w:rPr>
                <w:rFonts w:cs="Calibri"/>
                <w:szCs w:val="24"/>
                <w:lang w:eastAsia="zh-CN"/>
              </w:rPr>
              <w:t>world telecommunication</w:t>
            </w:r>
            <w:r w:rsidR="0054333E">
              <w:rPr>
                <w:rFonts w:cs="Calibri"/>
                <w:szCs w:val="24"/>
                <w:lang w:eastAsia="zh-CN"/>
              </w:rPr>
              <w:t xml:space="preserve">/ICT </w:t>
            </w:r>
            <w:r w:rsidR="00B12A33">
              <w:rPr>
                <w:rFonts w:cs="Calibri"/>
                <w:szCs w:val="24"/>
                <w:lang w:eastAsia="zh-CN"/>
              </w:rPr>
              <w:t>policy forum (</w:t>
            </w:r>
            <w:r>
              <w:rPr>
                <w:rFonts w:cs="Calibri"/>
                <w:szCs w:val="24"/>
                <w:lang w:eastAsia="zh-CN"/>
              </w:rPr>
              <w:t>WTPF</w:t>
            </w:r>
            <w:r w:rsidR="00B12A33">
              <w:rPr>
                <w:rFonts w:cs="Calibri"/>
                <w:szCs w:val="24"/>
                <w:lang w:eastAsia="zh-CN"/>
              </w:rPr>
              <w:t>)</w:t>
            </w:r>
            <w:r>
              <w:rPr>
                <w:rFonts w:cs="Calibri"/>
                <w:szCs w:val="24"/>
                <w:lang w:eastAsia="zh-CN"/>
              </w:rPr>
              <w:t xml:space="preserve"> preferably back-</w:t>
            </w:r>
            <w:r w:rsidRPr="001E44D9">
              <w:rPr>
                <w:rFonts w:cs="Calibri"/>
                <w:szCs w:val="24"/>
                <w:lang w:eastAsia="zh-CN"/>
              </w:rPr>
              <w:t>to</w:t>
            </w:r>
            <w:r>
              <w:rPr>
                <w:rFonts w:cs="Calibri"/>
                <w:szCs w:val="24"/>
                <w:lang w:eastAsia="zh-CN"/>
              </w:rPr>
              <w:t>-</w:t>
            </w:r>
            <w:r w:rsidRPr="001E44D9">
              <w:rPr>
                <w:rFonts w:cs="Calibri"/>
                <w:szCs w:val="24"/>
                <w:lang w:eastAsia="zh-CN"/>
              </w:rPr>
              <w:t xml:space="preserve">back with the </w:t>
            </w:r>
            <w:r w:rsidR="0079544F">
              <w:rPr>
                <w:rFonts w:cs="Calibri"/>
                <w:szCs w:val="24"/>
                <w:lang w:eastAsia="zh-CN"/>
              </w:rPr>
              <w:t>W</w:t>
            </w:r>
            <w:r w:rsidR="00B12A33">
              <w:rPr>
                <w:rFonts w:cs="Calibri"/>
                <w:szCs w:val="24"/>
                <w:lang w:eastAsia="zh-CN"/>
              </w:rPr>
              <w:t xml:space="preserve">orld </w:t>
            </w:r>
            <w:r w:rsidR="0079544F">
              <w:rPr>
                <w:rFonts w:cs="Calibri"/>
                <w:szCs w:val="24"/>
                <w:lang w:eastAsia="zh-CN"/>
              </w:rPr>
              <w:t>Summit on the I</w:t>
            </w:r>
            <w:r w:rsidR="00B12A33">
              <w:rPr>
                <w:rFonts w:cs="Calibri"/>
                <w:szCs w:val="24"/>
                <w:lang w:eastAsia="zh-CN"/>
              </w:rPr>
              <w:t xml:space="preserve">nformation </w:t>
            </w:r>
            <w:r w:rsidR="0079544F">
              <w:rPr>
                <w:rFonts w:cs="Calibri"/>
                <w:szCs w:val="24"/>
                <w:lang w:eastAsia="zh-CN"/>
              </w:rPr>
              <w:t>S</w:t>
            </w:r>
            <w:r w:rsidR="00B12A33">
              <w:rPr>
                <w:rFonts w:cs="Calibri"/>
                <w:szCs w:val="24"/>
                <w:lang w:eastAsia="zh-CN"/>
              </w:rPr>
              <w:t>ociety</w:t>
            </w:r>
            <w:r w:rsidR="0079544F">
              <w:rPr>
                <w:rFonts w:cs="Calibri"/>
                <w:szCs w:val="24"/>
                <w:lang w:eastAsia="zh-CN"/>
              </w:rPr>
              <w:t xml:space="preserve"> (WSIS)</w:t>
            </w:r>
            <w:r w:rsidR="00B12A33">
              <w:rPr>
                <w:rFonts w:cs="Calibri"/>
                <w:szCs w:val="24"/>
                <w:lang w:eastAsia="zh-CN"/>
              </w:rPr>
              <w:t xml:space="preserve"> forum</w:t>
            </w:r>
            <w:r w:rsidRPr="001E44D9">
              <w:rPr>
                <w:rFonts w:cs="Calibri"/>
                <w:szCs w:val="24"/>
                <w:lang w:eastAsia="zh-CN"/>
              </w:rPr>
              <w:t>, taking account of the need to ensure adequate preparation by Member States.</w:t>
            </w:r>
            <w:r>
              <w:rPr>
                <w:rFonts w:cs="Calibri"/>
                <w:szCs w:val="24"/>
                <w:lang w:eastAsia="zh-CN"/>
              </w:rPr>
              <w:t xml:space="preserve"> </w:t>
            </w:r>
            <w:r w:rsidR="00BA5CBA">
              <w:t>This document</w:t>
            </w:r>
            <w:r w:rsidR="00035960">
              <w:t xml:space="preserve"> </w:t>
            </w:r>
            <w:r w:rsidR="00A349AD">
              <w:t>provides some background information on WTPF and highlights instructions received from the Plenipotentiary Conference</w:t>
            </w:r>
            <w:r w:rsidR="00127EA7">
              <w:t xml:space="preserve"> (Bucharest, 2022)</w:t>
            </w:r>
            <w:r w:rsidR="00BA5CBA">
              <w:t>.</w:t>
            </w:r>
          </w:p>
          <w:p w14:paraId="45B1495A" w14:textId="77777777" w:rsidR="00AD3606" w:rsidRPr="00F16BAB" w:rsidRDefault="00AD3606" w:rsidP="00CA0716">
            <w:pPr>
              <w:spacing w:before="160"/>
              <w:jc w:val="both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3D57EDF8" w14:textId="318E2CA2" w:rsidR="00AD3606" w:rsidRDefault="00BA5CBA" w:rsidP="00CA0716">
            <w:pPr>
              <w:jc w:val="both"/>
            </w:pPr>
            <w:r w:rsidRPr="00BA5CBA">
              <w:t xml:space="preserve">Resolution 2 (Rev. </w:t>
            </w:r>
            <w:r>
              <w:t>Bucharest</w:t>
            </w:r>
            <w:r w:rsidRPr="00BA5CBA">
              <w:t xml:space="preserve">, </w:t>
            </w:r>
            <w:r>
              <w:t>2022</w:t>
            </w:r>
            <w:r w:rsidRPr="00BA5CBA">
              <w:t>)</w:t>
            </w:r>
            <w:r>
              <w:t xml:space="preserve"> instructs </w:t>
            </w:r>
            <w:r w:rsidR="00B12A33">
              <w:t xml:space="preserve">the ITU </w:t>
            </w:r>
            <w:r>
              <w:t>Council to:</w:t>
            </w:r>
          </w:p>
          <w:p w14:paraId="2B6B0E5B" w14:textId="77777777" w:rsidR="00BA5CBA" w:rsidRDefault="00BA5CBA" w:rsidP="00CA0716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b/>
                <w:bCs/>
                <w:szCs w:val="24"/>
                <w:lang w:eastAsia="zh-CN"/>
              </w:rPr>
              <w:t xml:space="preserve"> </w:t>
            </w:r>
            <w:r w:rsidRPr="00BA5CBA">
              <w:rPr>
                <w:rFonts w:cs="Calibri"/>
                <w:b/>
                <w:bCs/>
                <w:szCs w:val="24"/>
                <w:lang w:eastAsia="zh-CN"/>
              </w:rPr>
              <w:t>decide</w:t>
            </w:r>
            <w:r w:rsidRPr="00BA5CBA">
              <w:rPr>
                <w:rFonts w:cs="Calibri"/>
                <w:szCs w:val="24"/>
                <w:lang w:eastAsia="zh-CN"/>
              </w:rPr>
              <w:t xml:space="preserve"> on the duration, date, venue, agenda and themes of any future WTPF;</w:t>
            </w:r>
          </w:p>
          <w:p w14:paraId="76EEC18C" w14:textId="3A550E9C" w:rsidR="00BA5CBA" w:rsidRDefault="00BA5CBA" w:rsidP="00CA0716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 xml:space="preserve"> </w:t>
            </w:r>
            <w:r w:rsidRPr="001062CA">
              <w:rPr>
                <w:rFonts w:cs="Calibri"/>
                <w:b/>
                <w:bCs/>
                <w:szCs w:val="24"/>
                <w:lang w:eastAsia="zh-CN"/>
              </w:rPr>
              <w:t>adopt</w:t>
            </w:r>
            <w:r w:rsidRPr="00BA5CBA">
              <w:rPr>
                <w:rFonts w:cs="Calibri"/>
                <w:szCs w:val="24"/>
                <w:lang w:eastAsia="zh-CN"/>
              </w:rPr>
              <w:t xml:space="preserve"> a procedure for preparation of the report by the Secretary-General to WTPF.</w:t>
            </w:r>
          </w:p>
          <w:p w14:paraId="6C1E3D7A" w14:textId="55BA33BD" w:rsidR="00A349AD" w:rsidRPr="00A349AD" w:rsidRDefault="00B12A33" w:rsidP="00A349AD">
            <w:pPr>
              <w:jc w:val="both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 xml:space="preserve">The </w:t>
            </w:r>
            <w:r w:rsidR="00A349AD">
              <w:rPr>
                <w:rFonts w:cs="Calibri"/>
                <w:szCs w:val="24"/>
                <w:lang w:eastAsia="zh-CN"/>
              </w:rPr>
              <w:t xml:space="preserve">Council is invited </w:t>
            </w:r>
            <w:r w:rsidR="00A349AD" w:rsidRPr="00550B7A">
              <w:rPr>
                <w:rFonts w:cs="Calibri"/>
                <w:b/>
                <w:bCs/>
                <w:szCs w:val="24"/>
                <w:lang w:eastAsia="zh-CN"/>
              </w:rPr>
              <w:t>to provide guidance</w:t>
            </w:r>
            <w:r w:rsidR="00A349AD">
              <w:rPr>
                <w:rFonts w:cs="Calibri"/>
                <w:szCs w:val="24"/>
                <w:lang w:eastAsia="zh-CN"/>
              </w:rPr>
              <w:t xml:space="preserve"> on the </w:t>
            </w:r>
            <w:r w:rsidR="00EB51D2">
              <w:rPr>
                <w:rFonts w:cs="Calibri"/>
                <w:szCs w:val="24"/>
                <w:lang w:eastAsia="zh-CN"/>
              </w:rPr>
              <w:t>above</w:t>
            </w:r>
            <w:r w:rsidR="00A349AD">
              <w:rPr>
                <w:rFonts w:cs="Calibri"/>
                <w:szCs w:val="24"/>
                <w:lang w:eastAsia="zh-CN"/>
              </w:rPr>
              <w:t>.</w:t>
            </w:r>
          </w:p>
          <w:p w14:paraId="71511FA1" w14:textId="1F544385" w:rsidR="00F16BAB" w:rsidRPr="00C57359" w:rsidRDefault="00F16BAB" w:rsidP="00CA0716">
            <w:pPr>
              <w:spacing w:before="160"/>
              <w:jc w:val="both"/>
              <w:rPr>
                <w:b/>
                <w:bCs/>
                <w:sz w:val="26"/>
                <w:szCs w:val="26"/>
              </w:rPr>
            </w:pPr>
            <w:r w:rsidRPr="00C57359">
              <w:rPr>
                <w:b/>
                <w:bCs/>
                <w:sz w:val="26"/>
                <w:szCs w:val="26"/>
              </w:rPr>
              <w:t>Relevant link</w:t>
            </w:r>
            <w:r w:rsidR="00A54171" w:rsidRPr="00C57359">
              <w:rPr>
                <w:b/>
                <w:bCs/>
                <w:sz w:val="26"/>
                <w:szCs w:val="26"/>
              </w:rPr>
              <w:t>(s)</w:t>
            </w:r>
            <w:r w:rsidRPr="00C57359"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503749D7" w14:textId="50C3C73D" w:rsidR="00F16BAB" w:rsidRPr="00600ACD" w:rsidRDefault="009C1060" w:rsidP="00CA0716">
            <w:pPr>
              <w:jc w:val="both"/>
            </w:pPr>
            <w:r>
              <w:t>A</w:t>
            </w:r>
            <w:r w:rsidR="00EA233E" w:rsidRPr="00600ACD">
              <w:t>dvancing universal connectivity and sustainable digital transformation</w:t>
            </w:r>
            <w:r w:rsidR="00317A7E" w:rsidRPr="00600ACD">
              <w:t>; convening platform</w:t>
            </w:r>
            <w:r w:rsidR="00EA233E" w:rsidRPr="00600ACD">
              <w:t>.</w:t>
            </w:r>
          </w:p>
          <w:p w14:paraId="65E98B2B" w14:textId="619D91BE" w:rsidR="00127EA7" w:rsidRDefault="00F16BAB" w:rsidP="00CA0716">
            <w:pPr>
              <w:spacing w:before="160"/>
              <w:jc w:val="both"/>
              <w:rPr>
                <w:b/>
                <w:bCs/>
                <w:sz w:val="26"/>
                <w:szCs w:val="26"/>
              </w:rPr>
            </w:pPr>
            <w:r w:rsidRPr="00641C40">
              <w:rPr>
                <w:b/>
                <w:bCs/>
                <w:sz w:val="26"/>
                <w:szCs w:val="26"/>
              </w:rPr>
              <w:t>Financial implications</w:t>
            </w:r>
          </w:p>
          <w:p w14:paraId="74189BBD" w14:textId="46D30C19" w:rsidR="00F16BAB" w:rsidRPr="00641C40" w:rsidRDefault="00127EA7" w:rsidP="00CA0716">
            <w:pPr>
              <w:spacing w:before="16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Cs w:val="24"/>
              </w:rPr>
              <w:t>CHF 3</w:t>
            </w:r>
            <w:r w:rsidR="00317A7E" w:rsidRPr="00641C40">
              <w:rPr>
                <w:szCs w:val="24"/>
              </w:rPr>
              <w:t>0</w:t>
            </w:r>
            <w:r w:rsidR="00C06E01" w:rsidRPr="00641C40">
              <w:rPr>
                <w:szCs w:val="24"/>
              </w:rPr>
              <w:t>7</w:t>
            </w:r>
            <w:r w:rsidR="009C1060" w:rsidRPr="00641C40">
              <w:rPr>
                <w:szCs w:val="24"/>
              </w:rPr>
              <w:t> </w:t>
            </w:r>
            <w:r w:rsidR="00317A7E" w:rsidRPr="00641C40">
              <w:rPr>
                <w:szCs w:val="24"/>
              </w:rPr>
              <w:t>000</w:t>
            </w:r>
            <w:r>
              <w:rPr>
                <w:szCs w:val="24"/>
              </w:rPr>
              <w:t>.</w:t>
            </w:r>
          </w:p>
          <w:p w14:paraId="6F1B8B4E" w14:textId="77777777" w:rsidR="00AD3606" w:rsidRPr="00641C40" w:rsidRDefault="00AD3606" w:rsidP="00F16BAB">
            <w:pPr>
              <w:spacing w:before="160"/>
              <w:rPr>
                <w:caps/>
                <w:sz w:val="22"/>
              </w:rPr>
            </w:pPr>
            <w:r w:rsidRPr="00641C40">
              <w:rPr>
                <w:sz w:val="22"/>
              </w:rPr>
              <w:t>__________________</w:t>
            </w:r>
          </w:p>
          <w:p w14:paraId="0EBC340A" w14:textId="77777777" w:rsidR="00AD3606" w:rsidRPr="00641C40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641C40">
              <w:rPr>
                <w:b/>
                <w:bCs/>
                <w:sz w:val="26"/>
                <w:szCs w:val="26"/>
              </w:rPr>
              <w:t>References</w:t>
            </w:r>
          </w:p>
          <w:p w14:paraId="65250B1E" w14:textId="06950FBE" w:rsidR="00AD3606" w:rsidRPr="00641C40" w:rsidRDefault="00F72290" w:rsidP="00F16BAB">
            <w:pPr>
              <w:spacing w:after="160"/>
              <w:rPr>
                <w:i/>
                <w:iCs/>
              </w:rPr>
            </w:pPr>
            <w:hyperlink r:id="rId8" w:history="1">
              <w:r w:rsidR="001062CA" w:rsidRPr="00641C40">
                <w:rPr>
                  <w:rStyle w:val="Hyperlink"/>
                  <w:i/>
                  <w:iCs/>
                </w:rPr>
                <w:t>Resolution 2</w:t>
              </w:r>
            </w:hyperlink>
            <w:r w:rsidR="001062CA" w:rsidRPr="00641C40">
              <w:rPr>
                <w:i/>
                <w:iCs/>
              </w:rPr>
              <w:t xml:space="preserve"> (Rev. Bucharest, 2022)</w:t>
            </w:r>
            <w:r w:rsidR="00B12A33" w:rsidRPr="00641C40">
              <w:rPr>
                <w:i/>
                <w:iCs/>
              </w:rPr>
              <w:t xml:space="preserve"> of the Plenipotentiary Conference</w:t>
            </w:r>
            <w:r w:rsidR="003E4A70" w:rsidRPr="00641C40">
              <w:rPr>
                <w:i/>
                <w:iCs/>
              </w:rPr>
              <w:t>;</w:t>
            </w:r>
            <w:r w:rsidR="001062CA" w:rsidRPr="00641C40">
              <w:rPr>
                <w:i/>
                <w:iCs/>
              </w:rPr>
              <w:t xml:space="preserve"> </w:t>
            </w:r>
            <w:r w:rsidR="00127EA7">
              <w:rPr>
                <w:i/>
                <w:iCs/>
              </w:rPr>
              <w:t>D</w:t>
            </w:r>
            <w:r w:rsidR="00BE3DA4" w:rsidRPr="00641C40">
              <w:rPr>
                <w:i/>
                <w:iCs/>
              </w:rPr>
              <w:t>ocument</w:t>
            </w:r>
            <w:r w:rsidR="003E4A70" w:rsidRPr="00641C40">
              <w:rPr>
                <w:i/>
                <w:iCs/>
              </w:rPr>
              <w:t xml:space="preserve"> </w:t>
            </w:r>
            <w:hyperlink r:id="rId9" w:history="1">
              <w:r w:rsidR="00BE3DA4" w:rsidRPr="00641C40">
                <w:rPr>
                  <w:rStyle w:val="Hyperlink"/>
                  <w:i/>
                  <w:iCs/>
                </w:rPr>
                <w:t>PP-22/</w:t>
              </w:r>
              <w:r w:rsidR="001062CA" w:rsidRPr="00641C40">
                <w:rPr>
                  <w:rStyle w:val="Hyperlink"/>
                  <w:i/>
                  <w:iCs/>
                </w:rPr>
                <w:t>207</w:t>
              </w:r>
            </w:hyperlink>
            <w:r w:rsidR="00DE0214" w:rsidRPr="00641C40">
              <w:rPr>
                <w:i/>
                <w:iCs/>
              </w:rPr>
              <w:t xml:space="preserve"> of the Plenipotentiary Conference</w:t>
            </w:r>
          </w:p>
        </w:tc>
      </w:tr>
      <w:bookmarkEnd w:id="5"/>
    </w:tbl>
    <w:p w14:paraId="7FE52F59" w14:textId="77777777" w:rsidR="0090147A" w:rsidRPr="00641C40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641C40">
        <w:br w:type="page"/>
      </w:r>
    </w:p>
    <w:p w14:paraId="16566EB5" w14:textId="2289E51F" w:rsidR="00A514A4" w:rsidRPr="00641C40" w:rsidRDefault="00A514A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1AD08391" w14:textId="7DB82026" w:rsidR="001062CA" w:rsidRPr="00F07C9D" w:rsidRDefault="001062CA" w:rsidP="002751A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 w:rsidRPr="00F07C9D">
        <w:t>1.</w:t>
      </w:r>
      <w:r>
        <w:tab/>
      </w:r>
      <w:r w:rsidRPr="00F07C9D">
        <w:t>The ITU World Telecommunication/ICT Policy Forum (WTPF) was established by the Plenipotentiary Conference</w:t>
      </w:r>
      <w:r w:rsidR="003E4A70">
        <w:t xml:space="preserve"> (Kyoto, 1994)</w:t>
      </w:r>
      <w:r w:rsidRPr="00F07C9D">
        <w:t xml:space="preserve"> and is covered by the provisions of Resolution 2 (Rev. </w:t>
      </w:r>
      <w:r>
        <w:t>Bucharest</w:t>
      </w:r>
      <w:r w:rsidRPr="00F07C9D">
        <w:t xml:space="preserve">, </w:t>
      </w:r>
      <w:r>
        <w:t>2022</w:t>
      </w:r>
      <w:r w:rsidRPr="00F07C9D">
        <w:t>)</w:t>
      </w:r>
      <w:r w:rsidR="00E703F8">
        <w:t xml:space="preserve"> of the Plenipotentiary Conference</w:t>
      </w:r>
      <w:r w:rsidRPr="00F07C9D">
        <w:t>.</w:t>
      </w:r>
      <w:r w:rsidRPr="004F1D6C">
        <w:rPr>
          <w:spacing w:val="-2"/>
        </w:rPr>
        <w:t xml:space="preserve"> WTPF was successfully convened in 1996, 1998, 2001, 2009, 2013</w:t>
      </w:r>
      <w:r>
        <w:rPr>
          <w:spacing w:val="-2"/>
        </w:rPr>
        <w:t xml:space="preserve"> and 2021</w:t>
      </w:r>
      <w:r w:rsidRPr="004F1D6C">
        <w:rPr>
          <w:spacing w:val="-2"/>
        </w:rPr>
        <w:t xml:space="preserve">. </w:t>
      </w:r>
      <w:r w:rsidRPr="004F1D6C">
        <w:rPr>
          <w:spacing w:val="-2"/>
          <w:lang w:val="en-US"/>
        </w:rPr>
        <w:t xml:space="preserve">The report on </w:t>
      </w:r>
      <w:r w:rsidRPr="00F07C9D">
        <w:rPr>
          <w:lang w:val="en-US"/>
        </w:rPr>
        <w:t>WTPF-</w:t>
      </w:r>
      <w:r w:rsidR="004A7FDC">
        <w:rPr>
          <w:lang w:val="en-US"/>
        </w:rPr>
        <w:t>21</w:t>
      </w:r>
      <w:r w:rsidRPr="00F07C9D">
        <w:rPr>
          <w:lang w:val="en-US"/>
        </w:rPr>
        <w:t xml:space="preserve"> is available in </w:t>
      </w:r>
      <w:r w:rsidR="00DE0214">
        <w:rPr>
          <w:lang w:val="en-US"/>
        </w:rPr>
        <w:t>ITU Council D</w:t>
      </w:r>
      <w:r w:rsidR="00DE0214" w:rsidRPr="00F07C9D">
        <w:rPr>
          <w:lang w:val="en-US"/>
        </w:rPr>
        <w:t>ocument</w:t>
      </w:r>
      <w:r w:rsidR="00DE0214">
        <w:t xml:space="preserve"> </w:t>
      </w:r>
      <w:hyperlink r:id="rId10" w:history="1">
        <w:r w:rsidRPr="001062CA">
          <w:rPr>
            <w:rStyle w:val="Hyperlink"/>
            <w:bCs/>
          </w:rPr>
          <w:t>C22/5</w:t>
        </w:r>
      </w:hyperlink>
      <w:r>
        <w:rPr>
          <w:lang w:val="en-US"/>
        </w:rPr>
        <w:t>.</w:t>
      </w:r>
    </w:p>
    <w:p w14:paraId="4C53FFC2" w14:textId="40055695" w:rsidR="001062CA" w:rsidRPr="00F07C9D" w:rsidRDefault="001062CA" w:rsidP="00CA071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cs="Calibri"/>
          <w:lang w:eastAsia="zh-CN"/>
        </w:rPr>
      </w:pPr>
      <w:r w:rsidRPr="00F07C9D">
        <w:t>2.</w:t>
      </w:r>
      <w:r>
        <w:tab/>
      </w:r>
      <w:r w:rsidR="00E667BB">
        <w:t>As per Resolution 2</w:t>
      </w:r>
      <w:r w:rsidR="00837369">
        <w:t xml:space="preserve"> </w:t>
      </w:r>
      <w:r w:rsidR="00837369" w:rsidRPr="00F07C9D">
        <w:t xml:space="preserve">(Rev. </w:t>
      </w:r>
      <w:r w:rsidR="00837369">
        <w:t>Bucharest</w:t>
      </w:r>
      <w:r w:rsidR="00837369" w:rsidRPr="00F07C9D">
        <w:t xml:space="preserve">, </w:t>
      </w:r>
      <w:r w:rsidR="00837369">
        <w:t>2022</w:t>
      </w:r>
      <w:r w:rsidR="00837369" w:rsidRPr="00F07C9D">
        <w:t>)</w:t>
      </w:r>
      <w:r w:rsidR="00E667BB">
        <w:t>, t</w:t>
      </w:r>
      <w:r w:rsidRPr="00F07C9D">
        <w:rPr>
          <w:rFonts w:cs="Calibri"/>
          <w:lang w:eastAsia="zh-CN"/>
        </w:rPr>
        <w:t xml:space="preserve">he purpose of WTPF is to provide a venue for exchanging views and information and thereby creating a shared vision among policy-makers worldwide on </w:t>
      </w:r>
      <w:r w:rsidR="00CA0716" w:rsidRPr="00CA0716">
        <w:rPr>
          <w:rFonts w:cs="Calibri"/>
          <w:lang w:eastAsia="zh-CN"/>
        </w:rPr>
        <w:t>challenges and opportunities</w:t>
      </w:r>
      <w:r w:rsidR="00CA0716">
        <w:rPr>
          <w:rFonts w:cs="Calibri"/>
          <w:lang w:eastAsia="zh-CN"/>
        </w:rPr>
        <w:t xml:space="preserve"> </w:t>
      </w:r>
      <w:r w:rsidR="00CA0716" w:rsidRPr="00CA0716">
        <w:rPr>
          <w:rFonts w:cs="Calibri"/>
          <w:lang w:eastAsia="zh-CN"/>
        </w:rPr>
        <w:t>arising from the new and emerging telecommunication/ICT services and technologies, and to</w:t>
      </w:r>
      <w:r w:rsidR="00CA0716">
        <w:rPr>
          <w:rFonts w:cs="Calibri"/>
          <w:lang w:eastAsia="zh-CN"/>
        </w:rPr>
        <w:t xml:space="preserve"> </w:t>
      </w:r>
      <w:r w:rsidR="00CA0716" w:rsidRPr="00CA0716">
        <w:rPr>
          <w:rFonts w:cs="Calibri"/>
          <w:lang w:eastAsia="zh-CN"/>
        </w:rPr>
        <w:t>consider any other policy issue in telecommunications/ICTs which would benefit from a global</w:t>
      </w:r>
      <w:r w:rsidR="00CA0716">
        <w:rPr>
          <w:rFonts w:cs="Calibri"/>
          <w:lang w:eastAsia="zh-CN"/>
        </w:rPr>
        <w:t xml:space="preserve"> </w:t>
      </w:r>
      <w:r w:rsidR="00CA0716" w:rsidRPr="00CA0716">
        <w:rPr>
          <w:rFonts w:cs="Calibri"/>
          <w:lang w:eastAsia="zh-CN"/>
        </w:rPr>
        <w:t>exchange of views, in addition to the adoption of opinions reflecting common viewpoints</w:t>
      </w:r>
      <w:r>
        <w:rPr>
          <w:rFonts w:cs="Calibri"/>
          <w:lang w:eastAsia="zh-CN"/>
        </w:rPr>
        <w:t>.</w:t>
      </w:r>
      <w:r w:rsidRPr="00F07C9D">
        <w:rPr>
          <w:rFonts w:cs="Calibri"/>
          <w:lang w:eastAsia="zh-CN"/>
        </w:rPr>
        <w:t xml:space="preserve"> </w:t>
      </w:r>
    </w:p>
    <w:p w14:paraId="4D878427" w14:textId="3955806E" w:rsidR="001062CA" w:rsidRPr="00F07C9D" w:rsidRDefault="001062CA" w:rsidP="00CA071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cs="Calibri"/>
          <w:lang w:eastAsia="zh-CN"/>
        </w:rPr>
      </w:pPr>
      <w:r w:rsidRPr="00F07C9D">
        <w:rPr>
          <w:rFonts w:cs="Calibri"/>
          <w:lang w:eastAsia="zh-CN"/>
        </w:rPr>
        <w:t>3.</w:t>
      </w:r>
      <w:r>
        <w:rPr>
          <w:rFonts w:cs="Calibri"/>
          <w:lang w:eastAsia="zh-CN"/>
        </w:rPr>
        <w:tab/>
      </w:r>
      <w:r w:rsidRPr="00F07C9D">
        <w:rPr>
          <w:rFonts w:cs="Calibri"/>
          <w:lang w:eastAsia="zh-CN"/>
        </w:rPr>
        <w:t xml:space="preserve">WTPF should continue to give special attention to the interests and needs of the developing countries, </w:t>
      </w:r>
      <w:r w:rsidR="00CA0716" w:rsidRPr="00CA0716">
        <w:rPr>
          <w:rFonts w:cs="Calibri"/>
          <w:lang w:eastAsia="zh-CN"/>
        </w:rPr>
        <w:t>where new and emerging telecommunication/ICT services and</w:t>
      </w:r>
      <w:r w:rsidR="00CA0716">
        <w:rPr>
          <w:rFonts w:cs="Calibri"/>
          <w:lang w:eastAsia="zh-CN"/>
        </w:rPr>
        <w:t xml:space="preserve"> </w:t>
      </w:r>
      <w:r w:rsidR="00CA0716" w:rsidRPr="00CA0716">
        <w:rPr>
          <w:rFonts w:cs="Calibri"/>
          <w:lang w:eastAsia="zh-CN"/>
        </w:rPr>
        <w:t>technologies can contribute significantly to telecommunication/ICT infrastructure development</w:t>
      </w:r>
      <w:r w:rsidRPr="00F07C9D">
        <w:rPr>
          <w:rFonts w:cs="Calibri"/>
          <w:lang w:eastAsia="zh-CN"/>
        </w:rPr>
        <w:t xml:space="preserve">. </w:t>
      </w:r>
    </w:p>
    <w:p w14:paraId="62E59B5E" w14:textId="2A07E842" w:rsidR="001062CA" w:rsidRPr="00F07C9D" w:rsidRDefault="001062CA" w:rsidP="001062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cs="Calibri"/>
          <w:lang w:eastAsia="zh-CN"/>
        </w:rPr>
      </w:pPr>
      <w:r w:rsidRPr="00F07C9D">
        <w:rPr>
          <w:rFonts w:cs="Calibri"/>
          <w:lang w:eastAsia="zh-CN"/>
        </w:rPr>
        <w:t>4.</w:t>
      </w:r>
      <w:r>
        <w:rPr>
          <w:rFonts w:cs="Calibri"/>
          <w:lang w:eastAsia="zh-CN"/>
        </w:rPr>
        <w:tab/>
        <w:t>In order to ensure that they are well focused, di</w:t>
      </w:r>
      <w:r w:rsidRPr="00F07C9D">
        <w:rPr>
          <w:rFonts w:cs="Calibri"/>
          <w:lang w:eastAsia="zh-CN"/>
        </w:rPr>
        <w:t xml:space="preserve">scussions at WTPF shall be based solely on a single report by the Secretary-General, and contributions from participants based on that report, prepared in accordance with a procedure adopted by the Council and based on the proposals of Member States and Sector Members, and on the </w:t>
      </w:r>
      <w:r w:rsidRPr="0049424C">
        <w:rPr>
          <w:rFonts w:cs="Calibri"/>
          <w:lang w:eastAsia="zh-CN"/>
        </w:rPr>
        <w:t>views of Associates, Academia and stakeholder</w:t>
      </w:r>
      <w:r>
        <w:rPr>
          <w:rFonts w:cs="Calibri"/>
          <w:lang w:eastAsia="zh-CN"/>
        </w:rPr>
        <w:t>s</w:t>
      </w:r>
      <w:r w:rsidRPr="0049424C">
        <w:rPr>
          <w:rFonts w:cs="Calibri"/>
          <w:lang w:eastAsia="zh-CN"/>
        </w:rPr>
        <w:t>.</w:t>
      </w:r>
      <w:r w:rsidRPr="00F07C9D">
        <w:rPr>
          <w:rFonts w:cs="Calibri"/>
          <w:lang w:eastAsia="zh-CN"/>
        </w:rPr>
        <w:t xml:space="preserve"> </w:t>
      </w:r>
    </w:p>
    <w:p w14:paraId="1D863EC4" w14:textId="0C65F8DB" w:rsidR="001062CA" w:rsidRPr="00142438" w:rsidRDefault="001062CA" w:rsidP="001062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 w:rsidRPr="00142438">
        <w:t>5.</w:t>
      </w:r>
      <w:r w:rsidRPr="00142438">
        <w:tab/>
        <w:t>WTPF shall not produce prescriptive regulatory outcomes; however, it shall prepare reports and adopt opinions by consensus for consideration by Member States, Sector Members and relevant ITU meetings.</w:t>
      </w:r>
    </w:p>
    <w:p w14:paraId="4222A1F8" w14:textId="202CE071" w:rsidR="001062CA" w:rsidRDefault="001062CA" w:rsidP="001062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 w:rsidRPr="00142438">
        <w:t>6.</w:t>
      </w:r>
      <w:r w:rsidRPr="00142438">
        <w:tab/>
        <w:t xml:space="preserve">WTPF shall be open to all Member States and Sector Members; however, if appropriate, by decision of a majority of the representatives of Member States, a special session may be held for Member States only. </w:t>
      </w:r>
    </w:p>
    <w:p w14:paraId="26610D79" w14:textId="0D190750" w:rsidR="00CA0716" w:rsidRDefault="00CA0716" w:rsidP="001062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cs="Calibri"/>
          <w:szCs w:val="24"/>
          <w:lang w:eastAsia="zh-CN"/>
        </w:rPr>
      </w:pPr>
      <w:r>
        <w:t>7.</w:t>
      </w:r>
      <w:r>
        <w:tab/>
      </w:r>
      <w:r w:rsidRPr="00BA5CBA">
        <w:t xml:space="preserve">Resolution 2 (Rev. </w:t>
      </w:r>
      <w:r>
        <w:t>Bucharest</w:t>
      </w:r>
      <w:r w:rsidRPr="00BA5CBA">
        <w:t xml:space="preserve">, </w:t>
      </w:r>
      <w:r>
        <w:t>202</w:t>
      </w:r>
      <w:r w:rsidRPr="004A7FDC">
        <w:rPr>
          <w:rFonts w:cs="Calibri"/>
          <w:szCs w:val="24"/>
          <w:lang w:eastAsia="zh-CN"/>
        </w:rPr>
        <w:t xml:space="preserve">2) resolves </w:t>
      </w:r>
      <w:r>
        <w:rPr>
          <w:rFonts w:cs="Calibri"/>
          <w:szCs w:val="24"/>
          <w:lang w:eastAsia="zh-CN"/>
        </w:rPr>
        <w:t>to hold WTPF preferably back-</w:t>
      </w:r>
      <w:r w:rsidRPr="001E44D9">
        <w:rPr>
          <w:rFonts w:cs="Calibri"/>
          <w:szCs w:val="24"/>
          <w:lang w:eastAsia="zh-CN"/>
        </w:rPr>
        <w:t>to</w:t>
      </w:r>
      <w:r>
        <w:rPr>
          <w:rFonts w:cs="Calibri"/>
          <w:szCs w:val="24"/>
          <w:lang w:eastAsia="zh-CN"/>
        </w:rPr>
        <w:t>-</w:t>
      </w:r>
      <w:r w:rsidRPr="001E44D9">
        <w:rPr>
          <w:rFonts w:cs="Calibri"/>
          <w:szCs w:val="24"/>
          <w:lang w:eastAsia="zh-CN"/>
        </w:rPr>
        <w:t xml:space="preserve">back with the </w:t>
      </w:r>
      <w:r w:rsidR="0079544F">
        <w:rPr>
          <w:rFonts w:cs="Calibri"/>
          <w:szCs w:val="24"/>
          <w:lang w:eastAsia="zh-CN"/>
        </w:rPr>
        <w:t>W</w:t>
      </w:r>
      <w:r w:rsidR="00E703F8">
        <w:rPr>
          <w:rFonts w:cs="Calibri"/>
          <w:szCs w:val="24"/>
          <w:lang w:eastAsia="zh-CN"/>
        </w:rPr>
        <w:t xml:space="preserve">orld </w:t>
      </w:r>
      <w:r w:rsidR="0079544F">
        <w:rPr>
          <w:rFonts w:cs="Calibri"/>
          <w:szCs w:val="24"/>
          <w:lang w:eastAsia="zh-CN"/>
        </w:rPr>
        <w:t>Summit on the I</w:t>
      </w:r>
      <w:r w:rsidR="00E703F8">
        <w:rPr>
          <w:rFonts w:cs="Calibri"/>
          <w:szCs w:val="24"/>
          <w:lang w:eastAsia="zh-CN"/>
        </w:rPr>
        <w:t xml:space="preserve">nformation </w:t>
      </w:r>
      <w:r w:rsidR="0079544F">
        <w:rPr>
          <w:rFonts w:cs="Calibri"/>
          <w:szCs w:val="24"/>
          <w:lang w:eastAsia="zh-CN"/>
        </w:rPr>
        <w:t>S</w:t>
      </w:r>
      <w:r w:rsidR="00E703F8">
        <w:rPr>
          <w:rFonts w:cs="Calibri"/>
          <w:szCs w:val="24"/>
          <w:lang w:eastAsia="zh-CN"/>
        </w:rPr>
        <w:t>ociety</w:t>
      </w:r>
      <w:r w:rsidR="0079544F">
        <w:rPr>
          <w:rFonts w:cs="Calibri"/>
          <w:szCs w:val="24"/>
          <w:lang w:eastAsia="zh-CN"/>
        </w:rPr>
        <w:t xml:space="preserve"> (WSIS)</w:t>
      </w:r>
      <w:r w:rsidR="00E703F8">
        <w:rPr>
          <w:rFonts w:cs="Calibri"/>
          <w:szCs w:val="24"/>
          <w:lang w:eastAsia="zh-CN"/>
        </w:rPr>
        <w:t xml:space="preserve"> forum</w:t>
      </w:r>
      <w:r w:rsidRPr="001E44D9">
        <w:rPr>
          <w:rFonts w:cs="Calibri"/>
          <w:szCs w:val="24"/>
          <w:lang w:eastAsia="zh-CN"/>
        </w:rPr>
        <w:t>, taking account of the need to ensure adequate preparation by Member States.</w:t>
      </w:r>
    </w:p>
    <w:p w14:paraId="7DA9A10C" w14:textId="2CFE79D8" w:rsidR="00CA0716" w:rsidRPr="00CE2721" w:rsidRDefault="00CA0716" w:rsidP="001062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cs="Calibri"/>
          <w:szCs w:val="24"/>
          <w:lang w:eastAsia="zh-CN"/>
        </w:rPr>
      </w:pPr>
      <w:r>
        <w:rPr>
          <w:rFonts w:cs="Calibri"/>
          <w:szCs w:val="24"/>
          <w:lang w:eastAsia="zh-CN"/>
        </w:rPr>
        <w:t>8.</w:t>
      </w:r>
      <w:r>
        <w:rPr>
          <w:rFonts w:cs="Calibri"/>
          <w:szCs w:val="24"/>
          <w:lang w:eastAsia="zh-CN"/>
        </w:rPr>
        <w:tab/>
      </w:r>
      <w:r w:rsidR="00E703F8">
        <w:rPr>
          <w:rFonts w:cs="Calibri"/>
          <w:szCs w:val="24"/>
          <w:lang w:eastAsia="zh-CN"/>
        </w:rPr>
        <w:t>The Plenipotentiary Conference (Bucharest, 2022)</w:t>
      </w:r>
      <w:r w:rsidR="00317A7E">
        <w:rPr>
          <w:rFonts w:cs="Calibri"/>
          <w:szCs w:val="24"/>
          <w:lang w:eastAsia="zh-CN"/>
        </w:rPr>
        <w:t xml:space="preserve"> </w:t>
      </w:r>
      <w:r w:rsidR="00CE2721" w:rsidRPr="00600ACD">
        <w:rPr>
          <w:rFonts w:asciiTheme="minorHAnsi" w:hAnsiTheme="minorHAnsi"/>
          <w:szCs w:val="24"/>
          <w:lang w:val="en-CA"/>
        </w:rPr>
        <w:t xml:space="preserve">also </w:t>
      </w:r>
      <w:r w:rsidRPr="00600ACD">
        <w:rPr>
          <w:rFonts w:asciiTheme="minorHAnsi" w:hAnsiTheme="minorHAnsi"/>
          <w:szCs w:val="24"/>
          <w:lang w:val="en-CA"/>
        </w:rPr>
        <w:t>instruct</w:t>
      </w:r>
      <w:r w:rsidR="00CE2721">
        <w:rPr>
          <w:rFonts w:asciiTheme="minorHAnsi" w:hAnsiTheme="minorHAnsi"/>
          <w:szCs w:val="24"/>
          <w:lang w:val="en-CA"/>
        </w:rPr>
        <w:t>ed</w:t>
      </w:r>
      <w:r w:rsidRPr="00600ACD">
        <w:rPr>
          <w:rFonts w:asciiTheme="minorHAnsi" w:hAnsiTheme="minorHAnsi"/>
          <w:szCs w:val="24"/>
          <w:lang w:val="en-CA"/>
        </w:rPr>
        <w:t xml:space="preserve"> the Council to schedule a WTPF in 2026</w:t>
      </w:r>
      <w:r w:rsidR="00501750">
        <w:rPr>
          <w:rFonts w:asciiTheme="minorHAnsi" w:hAnsiTheme="minorHAnsi"/>
          <w:szCs w:val="24"/>
          <w:lang w:val="en-CA"/>
        </w:rPr>
        <w:t>.</w:t>
      </w:r>
    </w:p>
    <w:p w14:paraId="77F8171C" w14:textId="557C92FA" w:rsidR="00CA0716" w:rsidRDefault="00CA0716" w:rsidP="00CA071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9.</w:t>
      </w:r>
      <w:r>
        <w:rPr>
          <w:rFonts w:asciiTheme="minorHAnsi" w:hAnsiTheme="minorHAnsi"/>
          <w:szCs w:val="24"/>
          <w:lang w:val="en-CA"/>
        </w:rPr>
        <w:tab/>
      </w:r>
      <w:r w:rsidRPr="00CA0716">
        <w:rPr>
          <w:rFonts w:asciiTheme="minorHAnsi" w:hAnsiTheme="minorHAnsi"/>
          <w:szCs w:val="24"/>
          <w:lang w:val="en-CA"/>
        </w:rPr>
        <w:t xml:space="preserve">Resolution 2 (Rev. Bucharest, 2022) instructs </w:t>
      </w:r>
      <w:r w:rsidR="00E703F8">
        <w:rPr>
          <w:rFonts w:asciiTheme="minorHAnsi" w:hAnsiTheme="minorHAnsi"/>
          <w:szCs w:val="24"/>
          <w:lang w:val="en-CA"/>
        </w:rPr>
        <w:t xml:space="preserve">the </w:t>
      </w:r>
      <w:r w:rsidRPr="00CA0716">
        <w:rPr>
          <w:rFonts w:asciiTheme="minorHAnsi" w:hAnsiTheme="minorHAnsi"/>
          <w:szCs w:val="24"/>
          <w:lang w:val="en-CA"/>
        </w:rPr>
        <w:t>Council to:</w:t>
      </w:r>
    </w:p>
    <w:p w14:paraId="10C67CF8" w14:textId="77777777" w:rsidR="00CA0716" w:rsidRPr="00CA0716" w:rsidRDefault="00CA0716" w:rsidP="002751AE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20"/>
        <w:ind w:left="714" w:hanging="357"/>
        <w:contextualSpacing w:val="0"/>
        <w:jc w:val="both"/>
      </w:pPr>
      <w:r w:rsidRPr="00CA0716">
        <w:rPr>
          <w:rFonts w:asciiTheme="minorHAnsi" w:hAnsiTheme="minorHAnsi"/>
          <w:szCs w:val="24"/>
          <w:lang w:val="en-CA"/>
        </w:rPr>
        <w:t>decide on the duration, date, venue, agenda and themes of any future WTPF;</w:t>
      </w:r>
    </w:p>
    <w:p w14:paraId="78ABA971" w14:textId="574777D8" w:rsidR="00CA0716" w:rsidRPr="00CA0716" w:rsidRDefault="00CA0716" w:rsidP="002751AE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0" w:after="20"/>
        <w:ind w:left="714" w:hanging="357"/>
        <w:contextualSpacing w:val="0"/>
        <w:jc w:val="both"/>
      </w:pPr>
      <w:r w:rsidRPr="00CA0716">
        <w:rPr>
          <w:rFonts w:asciiTheme="minorHAnsi" w:hAnsiTheme="minorHAnsi"/>
          <w:szCs w:val="24"/>
          <w:lang w:val="en-CA"/>
        </w:rPr>
        <w:t>adopt a procedure for preparation of the report by the Secretary-General to WTPF</w:t>
      </w:r>
      <w:r>
        <w:rPr>
          <w:rFonts w:asciiTheme="minorHAnsi" w:hAnsiTheme="minorHAnsi"/>
          <w:szCs w:val="24"/>
          <w:lang w:val="en-CA"/>
        </w:rPr>
        <w:t>;</w:t>
      </w:r>
    </w:p>
    <w:p w14:paraId="6BD6CB75" w14:textId="23CD16A1" w:rsidR="002751AE" w:rsidRPr="00600ACD" w:rsidRDefault="00CA0716" w:rsidP="002751AE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0" w:after="20"/>
        <w:ind w:left="714" w:hanging="357"/>
        <w:contextualSpacing w:val="0"/>
        <w:jc w:val="both"/>
        <w:textAlignment w:val="auto"/>
      </w:pPr>
      <w:r w:rsidRPr="00CA0716">
        <w:t xml:space="preserve">that the procedure referred to in </w:t>
      </w:r>
      <w:r w:rsidRPr="004A7FDC">
        <w:rPr>
          <w:i/>
          <w:iCs/>
        </w:rPr>
        <w:t xml:space="preserve">instructs the ITU Council </w:t>
      </w:r>
      <w:r w:rsidRPr="00CA0716">
        <w:t>2 should include, as</w:t>
      </w:r>
      <w:r>
        <w:t xml:space="preserve"> </w:t>
      </w:r>
      <w:r w:rsidRPr="00CA0716">
        <w:t>appropriate, participation open to all Member States and Sector Members, and online public</w:t>
      </w:r>
      <w:r>
        <w:t xml:space="preserve"> </w:t>
      </w:r>
      <w:r w:rsidRPr="00CA0716">
        <w:t>consultations open to all interested stakeholders, taking into account the past practices followed</w:t>
      </w:r>
      <w:r>
        <w:t xml:space="preserve"> </w:t>
      </w:r>
      <w:r w:rsidRPr="00CA0716">
        <w:t>and experience acquired by ITU, including in respect of the preparatory process, in the holding</w:t>
      </w:r>
      <w:r>
        <w:t xml:space="preserve"> </w:t>
      </w:r>
      <w:r w:rsidRPr="00CA0716">
        <w:t>of previous WTPFs</w:t>
      </w:r>
      <w:r>
        <w:t>.</w:t>
      </w:r>
    </w:p>
    <w:p w14:paraId="0DE9D1AB" w14:textId="0B728469" w:rsidR="002751AE" w:rsidRPr="002751AE" w:rsidRDefault="002751AE" w:rsidP="002751A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480"/>
        <w:jc w:val="center"/>
        <w:textAlignment w:val="auto"/>
        <w:rPr>
          <w:lang w:val="es-ES"/>
        </w:rPr>
      </w:pPr>
      <w:r>
        <w:rPr>
          <w:lang w:val="es-ES"/>
        </w:rPr>
        <w:t>_______________</w:t>
      </w:r>
    </w:p>
    <w:sectPr w:rsidR="002751AE" w:rsidRPr="002751AE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D3DD" w14:textId="77777777" w:rsidR="00C31A9E" w:rsidRDefault="00C31A9E">
      <w:r>
        <w:separator/>
      </w:r>
    </w:p>
  </w:endnote>
  <w:endnote w:type="continuationSeparator" w:id="0">
    <w:p w14:paraId="34262316" w14:textId="77777777" w:rsidR="00C31A9E" w:rsidRDefault="00C3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135F72E5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CA0518">
            <w:rPr>
              <w:noProof/>
            </w:rPr>
            <w:t>520422</w:t>
          </w:r>
        </w:p>
      </w:tc>
      <w:tc>
        <w:tcPr>
          <w:tcW w:w="8261" w:type="dxa"/>
        </w:tcPr>
        <w:p w14:paraId="35709C74" w14:textId="3585C0EC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2751AE">
            <w:rPr>
              <w:bCs/>
            </w:rPr>
            <w:t>3</w:t>
          </w:r>
          <w:r w:rsidRPr="00623AE3">
            <w:rPr>
              <w:bCs/>
            </w:rPr>
            <w:t>/</w:t>
          </w:r>
          <w:r w:rsidR="002751AE">
            <w:rPr>
              <w:bCs/>
            </w:rPr>
            <w:t>13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F72290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1EAEFFA2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2751AE">
            <w:rPr>
              <w:bCs/>
            </w:rPr>
            <w:t>3</w:t>
          </w:r>
          <w:r w:rsidRPr="00623AE3">
            <w:rPr>
              <w:bCs/>
            </w:rPr>
            <w:t>/</w:t>
          </w:r>
          <w:r w:rsidR="002751AE">
            <w:rPr>
              <w:bCs/>
            </w:rPr>
            <w:t>13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3BB7" w14:textId="77777777" w:rsidR="00C31A9E" w:rsidRDefault="00C31A9E">
      <w:r>
        <w:t>____________________</w:t>
      </w:r>
    </w:p>
  </w:footnote>
  <w:footnote w:type="continuationSeparator" w:id="0">
    <w:p w14:paraId="76C5CAED" w14:textId="77777777" w:rsidR="00C31A9E" w:rsidRDefault="00C31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1F179B"/>
    <w:multiLevelType w:val="hybridMultilevel"/>
    <w:tmpl w:val="8A7C5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1729F"/>
    <w:multiLevelType w:val="hybridMultilevel"/>
    <w:tmpl w:val="8EB0A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975796908">
    <w:abstractNumId w:val="3"/>
  </w:num>
  <w:num w:numId="3" w16cid:durableId="1899317740">
    <w:abstractNumId w:val="1"/>
  </w:num>
  <w:num w:numId="4" w16cid:durableId="191379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35960"/>
    <w:rsid w:val="00063016"/>
    <w:rsid w:val="00066795"/>
    <w:rsid w:val="00076AF6"/>
    <w:rsid w:val="00083D9D"/>
    <w:rsid w:val="00085CF2"/>
    <w:rsid w:val="000B1705"/>
    <w:rsid w:val="000D75B2"/>
    <w:rsid w:val="000E208E"/>
    <w:rsid w:val="000E7496"/>
    <w:rsid w:val="001062CA"/>
    <w:rsid w:val="001121F5"/>
    <w:rsid w:val="00127EA7"/>
    <w:rsid w:val="001400DC"/>
    <w:rsid w:val="00140CE1"/>
    <w:rsid w:val="0015567F"/>
    <w:rsid w:val="0017539C"/>
    <w:rsid w:val="00175AC2"/>
    <w:rsid w:val="0017609F"/>
    <w:rsid w:val="001A7D1D"/>
    <w:rsid w:val="001B51DD"/>
    <w:rsid w:val="001C628E"/>
    <w:rsid w:val="001D62FF"/>
    <w:rsid w:val="001E0F7B"/>
    <w:rsid w:val="002119FD"/>
    <w:rsid w:val="002130E0"/>
    <w:rsid w:val="00264425"/>
    <w:rsid w:val="00265875"/>
    <w:rsid w:val="0027303B"/>
    <w:rsid w:val="002751AE"/>
    <w:rsid w:val="0028109B"/>
    <w:rsid w:val="002A2188"/>
    <w:rsid w:val="002B1F58"/>
    <w:rsid w:val="002C1C7A"/>
    <w:rsid w:val="002C54E2"/>
    <w:rsid w:val="0030160F"/>
    <w:rsid w:val="00317A7E"/>
    <w:rsid w:val="00320223"/>
    <w:rsid w:val="00322D0D"/>
    <w:rsid w:val="00337871"/>
    <w:rsid w:val="0034239F"/>
    <w:rsid w:val="00361465"/>
    <w:rsid w:val="003877F5"/>
    <w:rsid w:val="003942D4"/>
    <w:rsid w:val="003958A8"/>
    <w:rsid w:val="003C2533"/>
    <w:rsid w:val="003D5A7F"/>
    <w:rsid w:val="003E4A70"/>
    <w:rsid w:val="003F2EB2"/>
    <w:rsid w:val="0040435A"/>
    <w:rsid w:val="00416A24"/>
    <w:rsid w:val="00431D9E"/>
    <w:rsid w:val="00433CE8"/>
    <w:rsid w:val="00434A5C"/>
    <w:rsid w:val="00445ED0"/>
    <w:rsid w:val="004475D4"/>
    <w:rsid w:val="004544D9"/>
    <w:rsid w:val="004568F4"/>
    <w:rsid w:val="00465E0F"/>
    <w:rsid w:val="00472BAD"/>
    <w:rsid w:val="00484009"/>
    <w:rsid w:val="00490E72"/>
    <w:rsid w:val="00491157"/>
    <w:rsid w:val="004921C8"/>
    <w:rsid w:val="00495B0B"/>
    <w:rsid w:val="004A1B8B"/>
    <w:rsid w:val="004A7FDC"/>
    <w:rsid w:val="004D1851"/>
    <w:rsid w:val="004D599D"/>
    <w:rsid w:val="004E2EA5"/>
    <w:rsid w:val="004E3AEB"/>
    <w:rsid w:val="00501750"/>
    <w:rsid w:val="0050223C"/>
    <w:rsid w:val="005243FF"/>
    <w:rsid w:val="0054333E"/>
    <w:rsid w:val="00550B7A"/>
    <w:rsid w:val="00564FBC"/>
    <w:rsid w:val="005800BC"/>
    <w:rsid w:val="00582442"/>
    <w:rsid w:val="005948D5"/>
    <w:rsid w:val="005F3269"/>
    <w:rsid w:val="00600ACD"/>
    <w:rsid w:val="00623AE3"/>
    <w:rsid w:val="00641C40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5051B"/>
    <w:rsid w:val="00793188"/>
    <w:rsid w:val="00794D34"/>
    <w:rsid w:val="0079544F"/>
    <w:rsid w:val="00813E5E"/>
    <w:rsid w:val="00824A72"/>
    <w:rsid w:val="0083581B"/>
    <w:rsid w:val="00837369"/>
    <w:rsid w:val="00863874"/>
    <w:rsid w:val="00864AFF"/>
    <w:rsid w:val="00865925"/>
    <w:rsid w:val="008B4A6A"/>
    <w:rsid w:val="008C7E27"/>
    <w:rsid w:val="008F7448"/>
    <w:rsid w:val="0090147A"/>
    <w:rsid w:val="009173EF"/>
    <w:rsid w:val="00932906"/>
    <w:rsid w:val="00961B0B"/>
    <w:rsid w:val="009B38C3"/>
    <w:rsid w:val="009C1060"/>
    <w:rsid w:val="009E17BD"/>
    <w:rsid w:val="009E485A"/>
    <w:rsid w:val="00A04CEC"/>
    <w:rsid w:val="00A27F92"/>
    <w:rsid w:val="00A32257"/>
    <w:rsid w:val="00A349AD"/>
    <w:rsid w:val="00A36D20"/>
    <w:rsid w:val="00A514A4"/>
    <w:rsid w:val="00A54171"/>
    <w:rsid w:val="00A55622"/>
    <w:rsid w:val="00A83502"/>
    <w:rsid w:val="00AD15B3"/>
    <w:rsid w:val="00AD3606"/>
    <w:rsid w:val="00AD4A3D"/>
    <w:rsid w:val="00AF6E49"/>
    <w:rsid w:val="00B04A67"/>
    <w:rsid w:val="00B0583C"/>
    <w:rsid w:val="00B12A33"/>
    <w:rsid w:val="00B40A81"/>
    <w:rsid w:val="00B44910"/>
    <w:rsid w:val="00B72267"/>
    <w:rsid w:val="00B76EB6"/>
    <w:rsid w:val="00B7737B"/>
    <w:rsid w:val="00B824C8"/>
    <w:rsid w:val="00B84B9D"/>
    <w:rsid w:val="00BA5CBA"/>
    <w:rsid w:val="00BC251A"/>
    <w:rsid w:val="00BD032B"/>
    <w:rsid w:val="00BE2640"/>
    <w:rsid w:val="00BE3DA4"/>
    <w:rsid w:val="00C01189"/>
    <w:rsid w:val="00C0506A"/>
    <w:rsid w:val="00C06E01"/>
    <w:rsid w:val="00C31A9E"/>
    <w:rsid w:val="00C374DE"/>
    <w:rsid w:val="00C47AD4"/>
    <w:rsid w:val="00C52D81"/>
    <w:rsid w:val="00C55198"/>
    <w:rsid w:val="00C57359"/>
    <w:rsid w:val="00CA0518"/>
    <w:rsid w:val="00CA0716"/>
    <w:rsid w:val="00CA6393"/>
    <w:rsid w:val="00CB18FF"/>
    <w:rsid w:val="00CD0C08"/>
    <w:rsid w:val="00CE03FB"/>
    <w:rsid w:val="00CE2721"/>
    <w:rsid w:val="00CE433C"/>
    <w:rsid w:val="00CF0161"/>
    <w:rsid w:val="00CF33F3"/>
    <w:rsid w:val="00CF7026"/>
    <w:rsid w:val="00D06183"/>
    <w:rsid w:val="00D062D7"/>
    <w:rsid w:val="00D22C42"/>
    <w:rsid w:val="00D65041"/>
    <w:rsid w:val="00D80B63"/>
    <w:rsid w:val="00D829B9"/>
    <w:rsid w:val="00DB1936"/>
    <w:rsid w:val="00DB384B"/>
    <w:rsid w:val="00DE0214"/>
    <w:rsid w:val="00DF0189"/>
    <w:rsid w:val="00E06FD5"/>
    <w:rsid w:val="00E10E80"/>
    <w:rsid w:val="00E124F0"/>
    <w:rsid w:val="00E346BB"/>
    <w:rsid w:val="00E60F04"/>
    <w:rsid w:val="00E65B24"/>
    <w:rsid w:val="00E661E2"/>
    <w:rsid w:val="00E667BB"/>
    <w:rsid w:val="00E703F8"/>
    <w:rsid w:val="00E854E4"/>
    <w:rsid w:val="00E86DBF"/>
    <w:rsid w:val="00EA233E"/>
    <w:rsid w:val="00EB0D6F"/>
    <w:rsid w:val="00EB2232"/>
    <w:rsid w:val="00EB51D2"/>
    <w:rsid w:val="00EC5337"/>
    <w:rsid w:val="00EE49E8"/>
    <w:rsid w:val="00F16BAB"/>
    <w:rsid w:val="00F2150A"/>
    <w:rsid w:val="00F231D8"/>
    <w:rsid w:val="00F44C00"/>
    <w:rsid w:val="00F46C5F"/>
    <w:rsid w:val="00F632C0"/>
    <w:rsid w:val="00F72290"/>
    <w:rsid w:val="00F82B08"/>
    <w:rsid w:val="00F94A63"/>
    <w:rsid w:val="00FA1C28"/>
    <w:rsid w:val="00FB1279"/>
    <w:rsid w:val="00FB6B76"/>
    <w:rsid w:val="00FB7596"/>
    <w:rsid w:val="00FE4077"/>
    <w:rsid w:val="00FE77D2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BA5C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062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5735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73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7359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7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7359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317A7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02-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2-CL-C-000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207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FOR THE 2026 WORLD TELECOMMUNICATION/ICT POLICY FORUM (WTPF-26)</vt:lpstr>
    </vt:vector>
  </TitlesOfParts>
  <Manager>General Secretariat - Pool</Manager>
  <Company>International Telecommunication Union (ITU)</Company>
  <LinksUpToDate>false</LinksUpToDate>
  <CharactersWithSpaces>4354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FOR THE 2026 WORLD TELECOMMUNICATION/ICT POLICY FORUM (WTPF-26)</dc:title>
  <dc:subject>Council 2023</dc:subject>
  <dc:creator>LING-E</dc:creator>
  <cp:keywords>C2023, C23, Council-23</cp:keywords>
  <dc:description/>
  <cp:lastModifiedBy>Xue, Kun</cp:lastModifiedBy>
  <cp:revision>3</cp:revision>
  <cp:lastPrinted>2000-07-18T13:30:00Z</cp:lastPrinted>
  <dcterms:created xsi:type="dcterms:W3CDTF">2023-05-17T12:44:00Z</dcterms:created>
  <dcterms:modified xsi:type="dcterms:W3CDTF">2023-05-17T12:44:00Z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