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2"/>
        <w:gridCol w:w="3117"/>
      </w:tblGrid>
      <w:tr w:rsidR="007B0AA0" w14:paraId="67F494A4" w14:textId="77777777" w:rsidTr="00F363FE">
        <w:tc>
          <w:tcPr>
            <w:tcW w:w="6512" w:type="dxa"/>
          </w:tcPr>
          <w:p w14:paraId="66DD7DF5" w14:textId="0FE5E023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634D5F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634D5F">
              <w:rPr>
                <w:b/>
                <w:bCs/>
                <w:lang w:bidi="ar-EG"/>
              </w:rPr>
              <w:t>PL 2</w:t>
            </w:r>
          </w:p>
        </w:tc>
        <w:tc>
          <w:tcPr>
            <w:tcW w:w="3117" w:type="dxa"/>
          </w:tcPr>
          <w:p w14:paraId="5A3615F1" w14:textId="693813BF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C23/</w:t>
            </w:r>
            <w:r w:rsidR="00634D5F">
              <w:rPr>
                <w:b/>
                <w:bCs/>
                <w:lang w:bidi="ar-EG"/>
              </w:rPr>
              <w:t>13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1A86AB6B" w14:textId="77777777" w:rsidTr="00F363FE">
        <w:tc>
          <w:tcPr>
            <w:tcW w:w="6512" w:type="dxa"/>
          </w:tcPr>
          <w:p w14:paraId="2CF74C78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263D58DC" w14:textId="563133DD" w:rsidR="007B0AA0" w:rsidRPr="007B0AA0" w:rsidRDefault="00634D5F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16 مايو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B0AA0" w:rsidRPr="007B0AA0">
              <w:rPr>
                <w:b/>
                <w:bCs/>
                <w:lang w:bidi="ar-EG"/>
              </w:rPr>
              <w:t>2023</w:t>
            </w:r>
          </w:p>
        </w:tc>
      </w:tr>
      <w:tr w:rsidR="007B0AA0" w14:paraId="606DA249" w14:textId="77777777" w:rsidTr="00F363FE">
        <w:tc>
          <w:tcPr>
            <w:tcW w:w="6512" w:type="dxa"/>
          </w:tcPr>
          <w:p w14:paraId="3B6AE3E4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0EB56844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45662DBC" w14:textId="77777777" w:rsidTr="00F363FE">
        <w:tc>
          <w:tcPr>
            <w:tcW w:w="6512" w:type="dxa"/>
          </w:tcPr>
          <w:p w14:paraId="68F7C374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0412196D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0DDFA3F2" w14:textId="77777777" w:rsidTr="00EE7446">
        <w:tc>
          <w:tcPr>
            <w:tcW w:w="9629" w:type="dxa"/>
            <w:gridSpan w:val="2"/>
          </w:tcPr>
          <w:p w14:paraId="7BF5558B" w14:textId="77777777" w:rsidR="007B0AA0" w:rsidRDefault="007B0AA0" w:rsidP="007B0AA0">
            <w:pPr>
              <w:pStyle w:val="Source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تقرير من </w:t>
            </w:r>
            <w:r w:rsidR="004B7334">
              <w:rPr>
                <w:rFonts w:hint="cs"/>
                <w:rtl/>
                <w:lang w:bidi="ar-EG"/>
              </w:rPr>
              <w:t>الأمينة العامة</w:t>
            </w:r>
          </w:p>
        </w:tc>
      </w:tr>
      <w:tr w:rsidR="007B0AA0" w14:paraId="5C021512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57A12480" w14:textId="5EDF73A9" w:rsidR="007B0AA0" w:rsidRDefault="00376B7B" w:rsidP="00634D5F">
            <w:pPr>
              <w:pStyle w:val="Subtitle0"/>
            </w:pPr>
            <w:bookmarkStart w:id="0" w:name="_Toc280260232"/>
            <w:bookmarkStart w:id="1" w:name="_Toc414526633"/>
            <w:bookmarkStart w:id="2" w:name="_Toc415560053"/>
            <w:bookmarkStart w:id="3" w:name="_Toc536090453"/>
            <w:r w:rsidRPr="00DA4552">
              <w:rPr>
                <w:rFonts w:hint="cs"/>
                <w:spacing w:val="-2"/>
                <w:rtl/>
                <w:lang w:bidi="ar-SA"/>
              </w:rPr>
              <w:t>الأعمال</w:t>
            </w:r>
            <w:r w:rsidR="0050490D" w:rsidRPr="00DA4552">
              <w:rPr>
                <w:rFonts w:hint="cs"/>
                <w:spacing w:val="-2"/>
                <w:rtl/>
              </w:rPr>
              <w:t xml:space="preserve"> التحضيرية </w:t>
            </w:r>
            <w:r w:rsidR="00472B53" w:rsidRPr="00DA4552">
              <w:rPr>
                <w:rFonts w:hint="cs"/>
                <w:spacing w:val="-2"/>
                <w:rtl/>
              </w:rPr>
              <w:t>للمنتدى</w:t>
            </w:r>
            <w:r w:rsidR="00634D5F" w:rsidRPr="00DA4552">
              <w:rPr>
                <w:spacing w:val="-2"/>
                <w:rtl/>
                <w:lang w:bidi="ar-SA"/>
              </w:rPr>
              <w:t xml:space="preserve"> العالمي لسياسات الاتصالات/تكنولوجيا المعلومات والاتصالات</w:t>
            </w:r>
            <w:bookmarkEnd w:id="0"/>
            <w:bookmarkEnd w:id="1"/>
            <w:bookmarkEnd w:id="2"/>
            <w:bookmarkEnd w:id="3"/>
            <w:r w:rsidR="0050490D">
              <w:rPr>
                <w:rFonts w:hint="cs"/>
                <w:rtl/>
                <w:lang w:bidi="ar-SA"/>
              </w:rPr>
              <w:t xml:space="preserve"> لعام 2026 </w:t>
            </w:r>
            <w:r w:rsidR="0050490D">
              <w:rPr>
                <w:lang w:bidi="ar-SA"/>
              </w:rPr>
              <w:t>(WTPF-26)</w:t>
            </w:r>
            <w:r w:rsidR="0050490D">
              <w:rPr>
                <w:rFonts w:hint="cs"/>
                <w:rtl/>
                <w:lang w:bidi="ar-SA"/>
              </w:rPr>
              <w:t xml:space="preserve"> </w:t>
            </w:r>
          </w:p>
        </w:tc>
      </w:tr>
      <w:tr w:rsidR="007B0AA0" w14:paraId="3F37A45E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EF33D2" w14:textId="21035224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 xml:space="preserve">الغرض </w:t>
            </w:r>
          </w:p>
          <w:p w14:paraId="31A3E8CA" w14:textId="47B59B26" w:rsidR="007B0AA0" w:rsidRPr="008C4217" w:rsidRDefault="00A47EF0" w:rsidP="00634D5F">
            <w:pPr>
              <w:rPr>
                <w:spacing w:val="-4"/>
                <w:rtl/>
                <w:lang w:bidi="ar-EG"/>
              </w:rPr>
            </w:pPr>
            <w:r w:rsidRPr="008C4217">
              <w:rPr>
                <w:rFonts w:hint="cs"/>
                <w:spacing w:val="-4"/>
                <w:rtl/>
                <w:lang w:bidi="ar-EG"/>
              </w:rPr>
              <w:t>قرر مؤتمر المندوبين المفوضين بموجب القرار 2 (المراج</w:t>
            </w:r>
            <w:r w:rsidR="008C4217" w:rsidRPr="008C4217">
              <w:rPr>
                <w:rFonts w:hint="cs"/>
                <w:spacing w:val="-4"/>
                <w:rtl/>
                <w:lang w:bidi="ar-EG"/>
              </w:rPr>
              <w:t>َ</w:t>
            </w:r>
            <w:r w:rsidRPr="008C4217">
              <w:rPr>
                <w:rFonts w:hint="cs"/>
                <w:spacing w:val="-4"/>
                <w:rtl/>
                <w:lang w:bidi="ar-EG"/>
              </w:rPr>
              <w:t xml:space="preserve">ع في بوخارست، 2022) </w:t>
            </w:r>
            <w:r w:rsidR="00634D5F" w:rsidRPr="008C4217">
              <w:rPr>
                <w:rFonts w:hint="cs"/>
                <w:spacing w:val="-4"/>
                <w:rtl/>
              </w:rPr>
              <w:t>عقد المنتدى العالمي لسياسات الاتصالات</w:t>
            </w:r>
            <w:r w:rsidRPr="008C4217">
              <w:rPr>
                <w:rFonts w:hint="cs"/>
                <w:spacing w:val="-4"/>
                <w:rtl/>
              </w:rPr>
              <w:t>/</w:t>
            </w:r>
            <w:r w:rsidRPr="008C4217">
              <w:rPr>
                <w:spacing w:val="-4"/>
                <w:rtl/>
              </w:rPr>
              <w:t>تكنولوجيا المعلومات والاتصالات</w:t>
            </w:r>
            <w:r w:rsidRPr="008C4217">
              <w:rPr>
                <w:rFonts w:hint="cs"/>
                <w:spacing w:val="-4"/>
                <w:rtl/>
              </w:rPr>
              <w:t xml:space="preserve"> </w:t>
            </w:r>
            <w:r w:rsidRPr="008C4217">
              <w:rPr>
                <w:spacing w:val="-4"/>
              </w:rPr>
              <w:t>(WTPF)</w:t>
            </w:r>
            <w:r w:rsidR="00634D5F" w:rsidRPr="008C4217">
              <w:rPr>
                <w:rFonts w:hint="cs"/>
                <w:spacing w:val="-4"/>
                <w:rtl/>
              </w:rPr>
              <w:t xml:space="preserve"> </w:t>
            </w:r>
            <w:r w:rsidR="00CF1120" w:rsidRPr="008C4217">
              <w:rPr>
                <w:rFonts w:hint="cs"/>
                <w:spacing w:val="-4"/>
                <w:rtl/>
                <w:lang w:bidi="ar-EG"/>
              </w:rPr>
              <w:t>و</w:t>
            </w:r>
            <w:r w:rsidRPr="008C4217">
              <w:rPr>
                <w:rFonts w:hint="cs"/>
                <w:spacing w:val="-4"/>
                <w:rtl/>
              </w:rPr>
              <w:t xml:space="preserve">أن </w:t>
            </w:r>
            <w:r w:rsidR="00CF1120" w:rsidRPr="008C4217">
              <w:rPr>
                <w:rFonts w:hint="cs"/>
                <w:spacing w:val="-4"/>
                <w:rtl/>
              </w:rPr>
              <w:t>من الأفضل</w:t>
            </w:r>
            <w:r w:rsidR="00634D5F" w:rsidRPr="008C4217">
              <w:rPr>
                <w:rFonts w:hint="cs"/>
                <w:spacing w:val="-4"/>
                <w:rtl/>
              </w:rPr>
              <w:t xml:space="preserve"> عقده بالتعاقب مع منتدى القمة العالمية لمجتمع المعلومات</w:t>
            </w:r>
            <w:r w:rsidR="008C4217" w:rsidRPr="008C4217">
              <w:rPr>
                <w:rFonts w:hint="eastAsia"/>
                <w:spacing w:val="-4"/>
                <w:rtl/>
              </w:rPr>
              <w:t> </w:t>
            </w:r>
            <w:r w:rsidRPr="008C4217">
              <w:rPr>
                <w:spacing w:val="-4"/>
              </w:rPr>
              <w:t>(WSIS)</w:t>
            </w:r>
            <w:r w:rsidR="00634D5F" w:rsidRPr="008C4217">
              <w:rPr>
                <w:rFonts w:hint="cs"/>
                <w:spacing w:val="-4"/>
                <w:rtl/>
              </w:rPr>
              <w:t>، مع مراعاة الحاجة إلى ضمان ال</w:t>
            </w:r>
            <w:r w:rsidRPr="008C4217">
              <w:rPr>
                <w:rFonts w:hint="cs"/>
                <w:spacing w:val="-4"/>
                <w:rtl/>
              </w:rPr>
              <w:t>تحضير</w:t>
            </w:r>
            <w:r w:rsidR="00634D5F" w:rsidRPr="008C4217">
              <w:rPr>
                <w:rFonts w:hint="cs"/>
                <w:spacing w:val="-4"/>
                <w:rtl/>
              </w:rPr>
              <w:t xml:space="preserve"> الكافي من جانب الدول الأعضاء. </w:t>
            </w:r>
            <w:r w:rsidRPr="008C4217">
              <w:rPr>
                <w:rFonts w:hint="cs"/>
                <w:spacing w:val="-4"/>
                <w:rtl/>
              </w:rPr>
              <w:t>و</w:t>
            </w:r>
            <w:r w:rsidR="00634D5F" w:rsidRPr="008C4217">
              <w:rPr>
                <w:rFonts w:hint="cs"/>
                <w:spacing w:val="-4"/>
                <w:rtl/>
                <w:lang w:bidi="ar-SY"/>
              </w:rPr>
              <w:t xml:space="preserve">تقدم هذه الوثيقة بعض المعلومات الأساسية </w:t>
            </w:r>
            <w:r w:rsidRPr="008C4217">
              <w:rPr>
                <w:rFonts w:hint="cs"/>
                <w:spacing w:val="-4"/>
                <w:rtl/>
                <w:lang w:bidi="ar-SY"/>
              </w:rPr>
              <w:t>عن هذا المنتدى، وتسلط الضوء على التعليمات الصادرة عن مؤتمر المندوبين المفوضين (بوخارست، 2022)</w:t>
            </w:r>
            <w:r w:rsidR="006C7D5F" w:rsidRPr="008C4217">
              <w:rPr>
                <w:rFonts w:hint="cs"/>
                <w:spacing w:val="-4"/>
                <w:rtl/>
                <w:lang w:bidi="ar-SY"/>
              </w:rPr>
              <w:t>.</w:t>
            </w:r>
          </w:p>
          <w:p w14:paraId="78265DA1" w14:textId="77777777" w:rsid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2C3FEB04" w14:textId="1D0DCA3D" w:rsidR="006C7D5F" w:rsidRPr="006C7D5F" w:rsidRDefault="006C7D5F" w:rsidP="007B0AA0">
            <w:pPr>
              <w:rPr>
                <w:rtl/>
              </w:rPr>
            </w:pPr>
            <w:bookmarkStart w:id="4" w:name="_Hlk138251592"/>
            <w:r w:rsidRPr="006C7D5F">
              <w:rPr>
                <w:rFonts w:hint="cs"/>
                <w:rtl/>
              </w:rPr>
              <w:t xml:space="preserve">يكلف </w:t>
            </w:r>
            <w:r w:rsidRPr="006C7D5F">
              <w:rPr>
                <w:rtl/>
              </w:rPr>
              <w:t>القرار 2 (المراج</w:t>
            </w:r>
            <w:r w:rsidR="008C4217">
              <w:rPr>
                <w:rFonts w:hint="cs"/>
                <w:rtl/>
              </w:rPr>
              <w:t>َ</w:t>
            </w:r>
            <w:r w:rsidRPr="006C7D5F">
              <w:rPr>
                <w:rtl/>
              </w:rPr>
              <w:t>ع في بوخارست، 2022)</w:t>
            </w:r>
            <w:r w:rsidRPr="006C7D5F">
              <w:rPr>
                <w:rFonts w:hint="cs"/>
                <w:rtl/>
              </w:rPr>
              <w:t xml:space="preserve"> مجلس الاتحاد بما يلي:</w:t>
            </w:r>
          </w:p>
          <w:p w14:paraId="157531CF" w14:textId="078E04FB" w:rsidR="00634D5F" w:rsidRPr="003931CB" w:rsidRDefault="00634D5F" w:rsidP="008C4217">
            <w:pPr>
              <w:pStyle w:val="enumlev1"/>
              <w:rPr>
                <w:rtl/>
              </w:rPr>
            </w:pPr>
            <w:r w:rsidRPr="003931CB">
              <w:t>1</w:t>
            </w:r>
            <w:r w:rsidRPr="003931CB">
              <w:rPr>
                <w:rtl/>
              </w:rPr>
              <w:tab/>
            </w:r>
            <w:r w:rsidRPr="003931CB">
              <w:rPr>
                <w:rFonts w:hint="cs"/>
                <w:rtl/>
              </w:rPr>
              <w:t>ب</w:t>
            </w:r>
            <w:r w:rsidRPr="003931CB">
              <w:rPr>
                <w:rtl/>
              </w:rPr>
              <w:t xml:space="preserve">أن </w:t>
            </w:r>
            <w:r w:rsidR="004B0166" w:rsidRPr="004B0166">
              <w:rPr>
                <w:rFonts w:hint="cs"/>
                <w:b/>
                <w:bCs/>
                <w:rtl/>
              </w:rPr>
              <w:t>يحدد</w:t>
            </w:r>
            <w:r w:rsidRPr="003931CB">
              <w:rPr>
                <w:rtl/>
              </w:rPr>
              <w:t xml:space="preserve"> مدة انعقاد كل منتدى مقبل من المنتديات العالمية لسياسات الاتصالات/تكنولوجيا المعلومات والاتصالات، وتاريخه ومكان انعقاده وجدول أعماله والمواضيع التي يبحث</w:t>
            </w:r>
            <w:r w:rsidRPr="003931CB">
              <w:rPr>
                <w:rFonts w:hint="cs"/>
                <w:rtl/>
              </w:rPr>
              <w:t> </w:t>
            </w:r>
            <w:proofErr w:type="gramStart"/>
            <w:r w:rsidRPr="003931CB">
              <w:rPr>
                <w:rtl/>
              </w:rPr>
              <w:t>فيها؛</w:t>
            </w:r>
            <w:proofErr w:type="gramEnd"/>
          </w:p>
          <w:p w14:paraId="4C049F9A" w14:textId="3186CCE6" w:rsidR="00634D5F" w:rsidRDefault="00634D5F" w:rsidP="008C4217">
            <w:pPr>
              <w:pStyle w:val="enumlev1"/>
              <w:rPr>
                <w:rtl/>
                <w:lang w:bidi="ar-EG"/>
              </w:rPr>
            </w:pPr>
            <w:r w:rsidRPr="00D02857">
              <w:t>2</w:t>
            </w:r>
            <w:r w:rsidRPr="00D02857">
              <w:rPr>
                <w:rtl/>
              </w:rPr>
              <w:tab/>
            </w:r>
            <w:r w:rsidRPr="00D02857">
              <w:rPr>
                <w:rFonts w:hint="cs"/>
                <w:rtl/>
              </w:rPr>
              <w:t>ب</w:t>
            </w:r>
            <w:r w:rsidRPr="00D02857">
              <w:rPr>
                <w:rtl/>
              </w:rPr>
              <w:t>أن</w:t>
            </w:r>
            <w:r w:rsidRPr="004B0166">
              <w:rPr>
                <w:b/>
                <w:bCs/>
                <w:rtl/>
              </w:rPr>
              <w:t xml:space="preserve"> يعتمد</w:t>
            </w:r>
            <w:r w:rsidRPr="00D02857">
              <w:rPr>
                <w:rtl/>
              </w:rPr>
              <w:t xml:space="preserve"> الإجراءات اللازمة لإعداد تقرير الأمين</w:t>
            </w:r>
            <w:r w:rsidR="004B0166">
              <w:rPr>
                <w:rFonts w:hint="cs"/>
                <w:rtl/>
              </w:rPr>
              <w:t>ة</w:t>
            </w:r>
            <w:r w:rsidRPr="00D02857">
              <w:rPr>
                <w:rtl/>
              </w:rPr>
              <w:t xml:space="preserve"> العام</w:t>
            </w:r>
            <w:r w:rsidR="004B0166">
              <w:rPr>
                <w:rFonts w:hint="cs"/>
                <w:rtl/>
              </w:rPr>
              <w:t>ة</w:t>
            </w:r>
            <w:r w:rsidRPr="00D02857">
              <w:rPr>
                <w:rtl/>
              </w:rPr>
              <w:t xml:space="preserve"> </w:t>
            </w:r>
            <w:r w:rsidR="004B0166">
              <w:rPr>
                <w:rFonts w:hint="cs"/>
                <w:rtl/>
              </w:rPr>
              <w:t xml:space="preserve">المقدم إلى المنتدى </w:t>
            </w:r>
            <w:r w:rsidR="004B0166">
              <w:t>WTPF</w:t>
            </w:r>
            <w:r w:rsidR="004B0166">
              <w:rPr>
                <w:rFonts w:hint="cs"/>
                <w:rtl/>
                <w:lang w:bidi="ar-EG"/>
              </w:rPr>
              <w:t>.</w:t>
            </w:r>
          </w:p>
          <w:bookmarkEnd w:id="4"/>
          <w:p w14:paraId="72E2D7EE" w14:textId="1F35A78A" w:rsidR="007B0AA0" w:rsidRDefault="004B0166" w:rsidP="00634D5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والمجلس مدعو إلى </w:t>
            </w:r>
            <w:r w:rsidRPr="004B0166">
              <w:rPr>
                <w:rFonts w:hint="cs"/>
                <w:b/>
                <w:bCs/>
                <w:rtl/>
              </w:rPr>
              <w:t>تقديم توجيهات</w:t>
            </w:r>
            <w:r>
              <w:rPr>
                <w:rFonts w:hint="cs"/>
                <w:rtl/>
              </w:rPr>
              <w:t xml:space="preserve"> بشأن المذكور أعلاه.</w:t>
            </w:r>
          </w:p>
          <w:p w14:paraId="0382BBC7" w14:textId="21438C4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b/>
                <w:bCs/>
                <w:rtl/>
              </w:rPr>
              <w:t>الصلة بالخطة ال</w:t>
            </w:r>
            <w:r w:rsidRPr="007B0AA0">
              <w:rPr>
                <w:rFonts w:hint="cs"/>
                <w:b/>
                <w:bCs/>
                <w:rtl/>
              </w:rPr>
              <w:t>ا</w:t>
            </w:r>
            <w:r w:rsidRPr="007B0AA0">
              <w:rPr>
                <w:b/>
                <w:bCs/>
                <w:rtl/>
              </w:rPr>
              <w:t>ستراتيجية</w:t>
            </w:r>
          </w:p>
          <w:p w14:paraId="496A6D93" w14:textId="07A5A8A4" w:rsidR="007B0AA0" w:rsidRDefault="004B0166" w:rsidP="00634D5F">
            <w:pPr>
              <w:rPr>
                <w:rtl/>
              </w:rPr>
            </w:pPr>
            <w:r w:rsidRPr="004B0166">
              <w:rPr>
                <w:rtl/>
              </w:rPr>
              <w:t>تعزيز التوصيلية ال</w:t>
            </w:r>
            <w:r>
              <w:rPr>
                <w:rFonts w:hint="cs"/>
                <w:rtl/>
              </w:rPr>
              <w:t>شاملة</w:t>
            </w:r>
            <w:r w:rsidRPr="004B0166">
              <w:rPr>
                <w:rtl/>
              </w:rPr>
              <w:t xml:space="preserve"> والتحول الرقمي المستدام؛ منصة </w:t>
            </w:r>
            <w:r>
              <w:rPr>
                <w:rFonts w:hint="cs"/>
                <w:rtl/>
              </w:rPr>
              <w:t>جامعة</w:t>
            </w:r>
            <w:r w:rsidRPr="004B0166">
              <w:rPr>
                <w:rtl/>
              </w:rPr>
              <w:t>.</w:t>
            </w:r>
          </w:p>
          <w:p w14:paraId="23940160" w14:textId="77777777" w:rsidR="00634D5F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 xml:space="preserve">الآثار المالية: </w:t>
            </w:r>
          </w:p>
          <w:p w14:paraId="12FA87A8" w14:textId="000585B6" w:rsidR="007B0AA0" w:rsidRPr="00634D5F" w:rsidRDefault="00634D5F" w:rsidP="007B0AA0">
            <w:pPr>
              <w:rPr>
                <w:rtl/>
              </w:rPr>
            </w:pPr>
            <w:r w:rsidRPr="00634D5F">
              <w:t>307 000</w:t>
            </w:r>
            <w:r w:rsidR="007B0AA0" w:rsidRPr="00634D5F">
              <w:rPr>
                <w:rFonts w:hint="cs"/>
                <w:rtl/>
              </w:rPr>
              <w:t xml:space="preserve"> فرنك سويسري</w:t>
            </w:r>
            <w:r>
              <w:rPr>
                <w:rFonts w:hint="cs"/>
                <w:rtl/>
              </w:rPr>
              <w:t>.</w:t>
            </w:r>
          </w:p>
          <w:p w14:paraId="3032F70C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2E3C57FC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5C08231B" w14:textId="2A768386" w:rsidR="007B0AA0" w:rsidRPr="00634D5F" w:rsidRDefault="00CD0440" w:rsidP="00A92449">
            <w:pPr>
              <w:spacing w:after="120"/>
              <w:rPr>
                <w:i/>
                <w:iCs/>
                <w:rtl/>
              </w:rPr>
            </w:pPr>
            <w:hyperlink r:id="rId8" w:history="1">
              <w:r w:rsidR="00634D5F" w:rsidRPr="00634D5F">
                <w:rPr>
                  <w:rStyle w:val="Hyperlink"/>
                  <w:rFonts w:hint="cs"/>
                  <w:i/>
                  <w:iCs/>
                  <w:rtl/>
                </w:rPr>
                <w:t>القرار 2</w:t>
              </w:r>
            </w:hyperlink>
            <w:r w:rsidR="00634D5F">
              <w:rPr>
                <w:rFonts w:hint="cs"/>
                <w:i/>
                <w:iCs/>
                <w:rtl/>
              </w:rPr>
              <w:t xml:space="preserve"> (المراجَع في بوخارست، 2022) لمؤتمر المندوبين المفوضين؛ الوثيقة </w:t>
            </w:r>
            <w:hyperlink r:id="rId9" w:history="1">
              <w:r w:rsidR="00634D5F" w:rsidRPr="00B747E4">
                <w:rPr>
                  <w:rStyle w:val="Hyperlink"/>
                  <w:i/>
                  <w:iCs/>
                </w:rPr>
                <w:t>PP-22/207</w:t>
              </w:r>
            </w:hyperlink>
            <w:r w:rsidR="00634D5F" w:rsidRPr="008C4217">
              <w:rPr>
                <w:rFonts w:hint="cs"/>
                <w:rtl/>
              </w:rPr>
              <w:t xml:space="preserve"> </w:t>
            </w:r>
            <w:r w:rsidR="00634D5F">
              <w:rPr>
                <w:rFonts w:hint="cs"/>
                <w:i/>
                <w:iCs/>
                <w:rtl/>
              </w:rPr>
              <w:t>لمؤتمر المندوبين المفوضين</w:t>
            </w:r>
          </w:p>
        </w:tc>
      </w:tr>
    </w:tbl>
    <w:p w14:paraId="54A970A8" w14:textId="77777777" w:rsidR="00E61BE8" w:rsidRDefault="00E61BE8" w:rsidP="00E61BE8">
      <w:pPr>
        <w:rPr>
          <w:rtl/>
          <w:lang w:bidi="ar-EG"/>
        </w:rPr>
      </w:pPr>
    </w:p>
    <w:p w14:paraId="0353B3F4" w14:textId="77777777" w:rsidR="00F50E3F" w:rsidRDefault="00F50E3F" w:rsidP="008C4217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74A73D69" w14:textId="68F5F7CD" w:rsidR="00634D5F" w:rsidRPr="00634D5F" w:rsidRDefault="00634D5F" w:rsidP="00634D5F">
      <w:pPr>
        <w:rPr>
          <w:rtl/>
        </w:rPr>
      </w:pPr>
      <w:r w:rsidRPr="00634D5F">
        <w:rPr>
          <w:lang w:bidi="ar-SY"/>
        </w:rPr>
        <w:lastRenderedPageBreak/>
        <w:t>1</w:t>
      </w:r>
      <w:r w:rsidRPr="00634D5F">
        <w:rPr>
          <w:lang w:bidi="ar-SY"/>
        </w:rPr>
        <w:tab/>
      </w:r>
      <w:r w:rsidRPr="00634D5F">
        <w:rPr>
          <w:rFonts w:hint="cs"/>
          <w:rtl/>
        </w:rPr>
        <w:t xml:space="preserve">أنشأ مؤتمر المندوبين المفوضين </w:t>
      </w:r>
      <w:r w:rsidR="008C4217">
        <w:rPr>
          <w:rFonts w:hint="cs"/>
          <w:rtl/>
        </w:rPr>
        <w:t>(كيوتو،</w:t>
      </w:r>
      <w:r w:rsidRPr="00634D5F">
        <w:rPr>
          <w:rFonts w:hint="eastAsia"/>
          <w:rtl/>
        </w:rPr>
        <w:t> </w:t>
      </w:r>
      <w:r w:rsidRPr="00634D5F">
        <w:rPr>
          <w:lang w:bidi="ar-SY"/>
        </w:rPr>
        <w:t>1994</w:t>
      </w:r>
      <w:r w:rsidR="008C4217">
        <w:rPr>
          <w:rFonts w:hint="cs"/>
          <w:rtl/>
          <w:lang w:bidi="ar-SY"/>
        </w:rPr>
        <w:t>)</w:t>
      </w:r>
      <w:r w:rsidRPr="00634D5F">
        <w:rPr>
          <w:rFonts w:hint="cs"/>
          <w:rtl/>
        </w:rPr>
        <w:t xml:space="preserve"> المنتدى العالمي لسياسات الاتصالات/تكنولوجيا المعلومات والاتصالات</w:t>
      </w:r>
      <w:r w:rsidRPr="00634D5F">
        <w:rPr>
          <w:rFonts w:hint="eastAsia"/>
          <w:rtl/>
        </w:rPr>
        <w:t> </w:t>
      </w:r>
      <w:r w:rsidRPr="00634D5F">
        <w:rPr>
          <w:lang w:bidi="ar-SY"/>
        </w:rPr>
        <w:t>(WTPF)</w:t>
      </w:r>
      <w:r w:rsidRPr="00634D5F">
        <w:rPr>
          <w:rFonts w:hint="cs"/>
          <w:rtl/>
        </w:rPr>
        <w:t xml:space="preserve"> للاتحاد، وتحكم أعماله أحكام </w:t>
      </w:r>
      <w:bookmarkStart w:id="5" w:name="_Hlk138241365"/>
      <w:r w:rsidRPr="00634D5F">
        <w:rPr>
          <w:rFonts w:hint="cs"/>
          <w:rtl/>
        </w:rPr>
        <w:t>القرار </w:t>
      </w:r>
      <w:r w:rsidRPr="00634D5F">
        <w:t>2</w:t>
      </w:r>
      <w:r w:rsidRPr="00634D5F">
        <w:rPr>
          <w:rFonts w:hint="cs"/>
          <w:rtl/>
        </w:rPr>
        <w:t xml:space="preserve"> (المراجَع في </w:t>
      </w:r>
      <w:r>
        <w:rPr>
          <w:rFonts w:hint="cs"/>
          <w:rtl/>
        </w:rPr>
        <w:t>بوخارست، 2022</w:t>
      </w:r>
      <w:r w:rsidRPr="00634D5F">
        <w:rPr>
          <w:rFonts w:hint="cs"/>
          <w:rtl/>
        </w:rPr>
        <w:t>)</w:t>
      </w:r>
      <w:r w:rsidR="00F227D0">
        <w:rPr>
          <w:rFonts w:hint="cs"/>
          <w:rtl/>
        </w:rPr>
        <w:t xml:space="preserve"> </w:t>
      </w:r>
      <w:bookmarkEnd w:id="5"/>
      <w:r w:rsidR="00F227D0">
        <w:rPr>
          <w:rFonts w:hint="cs"/>
          <w:rtl/>
        </w:rPr>
        <w:t>لمؤتمر المندوبين المفوضين</w:t>
      </w:r>
      <w:r w:rsidRPr="00634D5F">
        <w:rPr>
          <w:rFonts w:hint="cs"/>
          <w:rtl/>
        </w:rPr>
        <w:t>. وقد</w:t>
      </w:r>
      <w:r w:rsidR="008C4217">
        <w:rPr>
          <w:rFonts w:hint="eastAsia"/>
          <w:rtl/>
        </w:rPr>
        <w:t> </w:t>
      </w:r>
      <w:r w:rsidRPr="00634D5F">
        <w:rPr>
          <w:rFonts w:hint="cs"/>
          <w:rtl/>
        </w:rPr>
        <w:t>تكلل المنتدى بالنجاح في</w:t>
      </w:r>
      <w:r w:rsidRPr="00634D5F">
        <w:rPr>
          <w:rFonts w:hint="eastAsia"/>
          <w:rtl/>
        </w:rPr>
        <w:t> </w:t>
      </w:r>
      <w:r w:rsidRPr="00634D5F">
        <w:rPr>
          <w:rFonts w:hint="cs"/>
          <w:rtl/>
        </w:rPr>
        <w:t>السنوات</w:t>
      </w:r>
      <w:r w:rsidRPr="00634D5F">
        <w:rPr>
          <w:rFonts w:hint="eastAsia"/>
          <w:rtl/>
        </w:rPr>
        <w:t> </w:t>
      </w:r>
      <w:r w:rsidRPr="00634D5F">
        <w:rPr>
          <w:rFonts w:hint="cs"/>
          <w:rtl/>
        </w:rPr>
        <w:t xml:space="preserve">التي عُقد فيها، أي في الأعوام </w:t>
      </w:r>
      <w:r w:rsidRPr="00634D5F">
        <w:rPr>
          <w:lang w:bidi="ar-SY"/>
        </w:rPr>
        <w:t>1996</w:t>
      </w:r>
      <w:r w:rsidRPr="00634D5F">
        <w:rPr>
          <w:rFonts w:hint="cs"/>
          <w:rtl/>
        </w:rPr>
        <w:t xml:space="preserve"> و</w:t>
      </w:r>
      <w:r w:rsidRPr="00634D5F">
        <w:rPr>
          <w:lang w:bidi="ar-SY"/>
        </w:rPr>
        <w:t>1998</w:t>
      </w:r>
      <w:r w:rsidRPr="00634D5F">
        <w:rPr>
          <w:rFonts w:hint="cs"/>
          <w:rtl/>
        </w:rPr>
        <w:t xml:space="preserve"> و</w:t>
      </w:r>
      <w:r w:rsidRPr="00634D5F">
        <w:rPr>
          <w:lang w:bidi="ar-SY"/>
        </w:rPr>
        <w:t>2001</w:t>
      </w:r>
      <w:r w:rsidRPr="00634D5F">
        <w:rPr>
          <w:rFonts w:hint="cs"/>
          <w:rtl/>
        </w:rPr>
        <w:t xml:space="preserve"> و</w:t>
      </w:r>
      <w:r w:rsidRPr="00634D5F">
        <w:rPr>
          <w:lang w:bidi="ar-SY"/>
        </w:rPr>
        <w:t>2009</w:t>
      </w:r>
      <w:r w:rsidRPr="00634D5F">
        <w:rPr>
          <w:rFonts w:hint="cs"/>
          <w:rtl/>
        </w:rPr>
        <w:t xml:space="preserve"> و</w:t>
      </w:r>
      <w:r w:rsidRPr="00634D5F">
        <w:rPr>
          <w:lang w:bidi="ar-SY"/>
        </w:rPr>
        <w:t>2013</w:t>
      </w:r>
      <w:r>
        <w:rPr>
          <w:rFonts w:hint="cs"/>
          <w:rtl/>
          <w:lang w:bidi="ar-SY"/>
        </w:rPr>
        <w:t xml:space="preserve"> و2021</w:t>
      </w:r>
      <w:r w:rsidRPr="00634D5F">
        <w:rPr>
          <w:rFonts w:hint="cs"/>
          <w:rtl/>
        </w:rPr>
        <w:t xml:space="preserve">. ويرد تقرير عن المنتدى </w:t>
      </w:r>
      <w:r w:rsidRPr="00634D5F">
        <w:t>WTPF</w:t>
      </w:r>
      <w:r w:rsidRPr="00634D5F">
        <w:rPr>
          <w:rFonts w:hint="cs"/>
          <w:rtl/>
        </w:rPr>
        <w:t xml:space="preserve"> لعام </w:t>
      </w:r>
      <w:r>
        <w:rPr>
          <w:rFonts w:hint="cs"/>
          <w:rtl/>
          <w:lang w:bidi="ar-SY"/>
        </w:rPr>
        <w:t>2021</w:t>
      </w:r>
      <w:r w:rsidRPr="00634D5F">
        <w:rPr>
          <w:rFonts w:hint="cs"/>
          <w:rtl/>
        </w:rPr>
        <w:t xml:space="preserve"> في الوثيقة </w:t>
      </w:r>
      <w:hyperlink r:id="rId10" w:history="1">
        <w:r w:rsidRPr="00634D5F">
          <w:rPr>
            <w:rStyle w:val="Hyperlink"/>
            <w:bCs/>
            <w:lang w:val="en-GB"/>
          </w:rPr>
          <w:t>C22/5</w:t>
        </w:r>
      </w:hyperlink>
      <w:r w:rsidR="00F227D0">
        <w:rPr>
          <w:rFonts w:hint="cs"/>
          <w:rtl/>
        </w:rPr>
        <w:t xml:space="preserve"> لمجلس الاتحاد.</w:t>
      </w:r>
    </w:p>
    <w:p w14:paraId="78CBFB72" w14:textId="2AD561A5" w:rsidR="00634D5F" w:rsidRPr="00634D5F" w:rsidRDefault="00634D5F" w:rsidP="00634D5F">
      <w:pPr>
        <w:rPr>
          <w:rtl/>
        </w:rPr>
      </w:pPr>
      <w:r w:rsidRPr="00634D5F">
        <w:t>2</w:t>
      </w:r>
      <w:r w:rsidRPr="00634D5F">
        <w:rPr>
          <w:rtl/>
        </w:rPr>
        <w:tab/>
      </w:r>
      <w:r w:rsidR="00917235">
        <w:rPr>
          <w:rFonts w:hint="cs"/>
          <w:rtl/>
        </w:rPr>
        <w:t>وطبقاً ل</w:t>
      </w:r>
      <w:r w:rsidR="00917235" w:rsidRPr="00917235">
        <w:rPr>
          <w:rtl/>
        </w:rPr>
        <w:t xml:space="preserve">لقرار 2 (المراجَع في بوخارست، </w:t>
      </w:r>
      <w:proofErr w:type="gramStart"/>
      <w:r w:rsidR="00917235" w:rsidRPr="00917235">
        <w:rPr>
          <w:rtl/>
        </w:rPr>
        <w:t>2022)</w:t>
      </w:r>
      <w:r w:rsidR="00917235">
        <w:rPr>
          <w:rFonts w:hint="cs"/>
          <w:rtl/>
        </w:rPr>
        <w:t>،</w:t>
      </w:r>
      <w:proofErr w:type="gramEnd"/>
      <w:r>
        <w:rPr>
          <w:rFonts w:hint="cs"/>
          <w:rtl/>
        </w:rPr>
        <w:t xml:space="preserve"> </w:t>
      </w:r>
      <w:r w:rsidR="00917235">
        <w:rPr>
          <w:rFonts w:hint="cs"/>
          <w:rtl/>
        </w:rPr>
        <w:t>فإ</w:t>
      </w:r>
      <w:r w:rsidRPr="00634D5F">
        <w:rPr>
          <w:rtl/>
        </w:rPr>
        <w:t xml:space="preserve">ن </w:t>
      </w:r>
      <w:r w:rsidRPr="00634D5F">
        <w:rPr>
          <w:rFonts w:hint="cs"/>
          <w:rtl/>
        </w:rPr>
        <w:t>الغرض</w:t>
      </w:r>
      <w:r w:rsidRPr="00634D5F">
        <w:rPr>
          <w:rtl/>
        </w:rPr>
        <w:t xml:space="preserve"> من </w:t>
      </w:r>
      <w:r w:rsidRPr="00634D5F">
        <w:rPr>
          <w:rFonts w:hint="cs"/>
          <w:rtl/>
        </w:rPr>
        <w:t>المنتدى</w:t>
      </w:r>
      <w:r w:rsidRPr="00634D5F">
        <w:rPr>
          <w:rtl/>
        </w:rPr>
        <w:t xml:space="preserve"> هو توفير الإطار اللازم لتبادل الآراء والمعلومات وبالتالي</w:t>
      </w:r>
      <w:r w:rsidRPr="00634D5F">
        <w:rPr>
          <w:rFonts w:hint="cs"/>
          <w:rtl/>
        </w:rPr>
        <w:t xml:space="preserve"> إنشاء</w:t>
      </w:r>
      <w:r w:rsidRPr="00634D5F">
        <w:rPr>
          <w:rtl/>
        </w:rPr>
        <w:t xml:space="preserve"> رؤية مشتركة بين المسؤولين عن وضع السياسات بشأن التحديات </w:t>
      </w:r>
      <w:r w:rsidRPr="00634D5F">
        <w:rPr>
          <w:rFonts w:hint="cs"/>
          <w:rtl/>
        </w:rPr>
        <w:t>والفرص</w:t>
      </w:r>
      <w:r w:rsidRPr="00634D5F">
        <w:rPr>
          <w:rtl/>
        </w:rPr>
        <w:t xml:space="preserve"> </w:t>
      </w:r>
      <w:r w:rsidRPr="00634D5F">
        <w:rPr>
          <w:rFonts w:hint="cs"/>
          <w:rtl/>
        </w:rPr>
        <w:t>الناشئة عن</w:t>
      </w:r>
      <w:r w:rsidRPr="00634D5F">
        <w:rPr>
          <w:rtl/>
        </w:rPr>
        <w:t xml:space="preserve"> </w:t>
      </w:r>
      <w:r w:rsidRPr="00634D5F">
        <w:rPr>
          <w:rFonts w:hint="cs"/>
          <w:rtl/>
        </w:rPr>
        <w:t>الخدمات و</w:t>
      </w:r>
      <w:r w:rsidRPr="00634D5F">
        <w:rPr>
          <w:rtl/>
        </w:rPr>
        <w:t>التكنولوجيات الجديدة والناشئة</w:t>
      </w:r>
      <w:r w:rsidRPr="00634D5F">
        <w:rPr>
          <w:rFonts w:hint="cs"/>
          <w:rtl/>
        </w:rPr>
        <w:t xml:space="preserve"> في</w:t>
      </w:r>
      <w:r w:rsidRPr="00634D5F">
        <w:rPr>
          <w:rFonts w:hint="eastAsia"/>
          <w:rtl/>
        </w:rPr>
        <w:t> </w:t>
      </w:r>
      <w:r w:rsidRPr="00634D5F">
        <w:rPr>
          <w:rFonts w:hint="cs"/>
          <w:rtl/>
        </w:rPr>
        <w:t>مجال الاتصالات/تكنولوجيا المعلومات والاتصالات</w:t>
      </w:r>
      <w:r w:rsidR="00917235">
        <w:rPr>
          <w:rFonts w:hint="cs"/>
          <w:rtl/>
        </w:rPr>
        <w:t>، و</w:t>
      </w:r>
      <w:r w:rsidRPr="00634D5F">
        <w:rPr>
          <w:rtl/>
        </w:rPr>
        <w:t xml:space="preserve">النظر في أي مسائل أخرى تتعلق بالسياسة العامة في ميدان الاتصالات/تكنولوجيا المعلومات والاتصالات ويكون تبادل وجهات النظر بشأنها مفيداً على المستوى العالمي إضافة إلى اعتماد آراء تعكس </w:t>
      </w:r>
      <w:r w:rsidRPr="00634D5F">
        <w:rPr>
          <w:rFonts w:hint="cs"/>
          <w:rtl/>
        </w:rPr>
        <w:t xml:space="preserve">وجهات </w:t>
      </w:r>
      <w:r w:rsidR="000753A6">
        <w:rPr>
          <w:rFonts w:hint="cs"/>
          <w:rtl/>
        </w:rPr>
        <w:t>ال</w:t>
      </w:r>
      <w:r w:rsidRPr="00634D5F">
        <w:rPr>
          <w:rFonts w:hint="cs"/>
          <w:rtl/>
        </w:rPr>
        <w:t>نظر</w:t>
      </w:r>
      <w:r w:rsidRPr="00634D5F">
        <w:rPr>
          <w:rtl/>
        </w:rPr>
        <w:t xml:space="preserve"> </w:t>
      </w:r>
      <w:r w:rsidR="000753A6">
        <w:rPr>
          <w:rFonts w:hint="cs"/>
          <w:rtl/>
        </w:rPr>
        <w:t>ال</w:t>
      </w:r>
      <w:r w:rsidRPr="00634D5F">
        <w:rPr>
          <w:rtl/>
        </w:rPr>
        <w:t>مشتركة</w:t>
      </w:r>
      <w:r>
        <w:rPr>
          <w:rFonts w:hint="cs"/>
          <w:rtl/>
          <w:lang w:bidi="ar-EG"/>
        </w:rPr>
        <w:t>.</w:t>
      </w:r>
    </w:p>
    <w:p w14:paraId="447A30D6" w14:textId="7ED1FF31" w:rsidR="00634D5F" w:rsidRPr="00045635" w:rsidRDefault="00634D5F" w:rsidP="00634D5F">
      <w:pPr>
        <w:rPr>
          <w:rtl/>
        </w:rPr>
      </w:pPr>
      <w:r w:rsidRPr="00634D5F">
        <w:t>3</w:t>
      </w:r>
      <w:r w:rsidRPr="00045635">
        <w:rPr>
          <w:i/>
          <w:iCs/>
          <w:rtl/>
        </w:rPr>
        <w:tab/>
      </w:r>
      <w:r w:rsidR="006F5AF3">
        <w:rPr>
          <w:rFonts w:hint="cs"/>
          <w:rtl/>
        </w:rPr>
        <w:t>و</w:t>
      </w:r>
      <w:r w:rsidRPr="00045635">
        <w:rPr>
          <w:rtl/>
        </w:rPr>
        <w:t xml:space="preserve">ينبغي أن يستمر المنتدى في إيلاء اهتمام خاص لمصالح البلدان النامية </w:t>
      </w:r>
      <w:r w:rsidRPr="00045635">
        <w:rPr>
          <w:rFonts w:hint="cs"/>
          <w:rtl/>
        </w:rPr>
        <w:t>واحتياجاتها</w:t>
      </w:r>
      <w:r w:rsidRPr="00045635">
        <w:rPr>
          <w:rtl/>
        </w:rPr>
        <w:t>، حيث إن</w:t>
      </w:r>
      <w:r>
        <w:rPr>
          <w:rFonts w:hint="cs"/>
          <w:rtl/>
        </w:rPr>
        <w:t xml:space="preserve"> الخدمات</w:t>
      </w:r>
      <w:r w:rsidRPr="00045635">
        <w:rPr>
          <w:rtl/>
        </w:rPr>
        <w:t xml:space="preserve"> </w:t>
      </w:r>
      <w:r>
        <w:rPr>
          <w:rFonts w:hint="cs"/>
          <w:rtl/>
        </w:rPr>
        <w:t>و</w:t>
      </w:r>
      <w:r w:rsidRPr="00045635">
        <w:rPr>
          <w:rtl/>
        </w:rPr>
        <w:t xml:space="preserve">التكنولوجيات </w:t>
      </w:r>
      <w:r w:rsidRPr="004D0622">
        <w:rPr>
          <w:rtl/>
        </w:rPr>
        <w:t>الجديدة والناشئة</w:t>
      </w:r>
      <w:r w:rsidRPr="004D0622" w:rsidDel="004D0622">
        <w:rPr>
          <w:rtl/>
        </w:rPr>
        <w:t xml:space="preserve"> </w:t>
      </w:r>
      <w:r>
        <w:rPr>
          <w:rFonts w:hint="cs"/>
          <w:rtl/>
        </w:rPr>
        <w:t xml:space="preserve">في مجال الاتصالات/تكنولوجيا المعلومات والاتصالات </w:t>
      </w:r>
      <w:r w:rsidRPr="00045635">
        <w:rPr>
          <w:rtl/>
        </w:rPr>
        <w:t xml:space="preserve">يمكن أن تساهم كثيراً في تطوير البنية </w:t>
      </w:r>
      <w:r w:rsidRPr="00045635">
        <w:rPr>
          <w:rFonts w:hint="cs"/>
          <w:rtl/>
        </w:rPr>
        <w:t>التحتية للاتصالات</w:t>
      </w:r>
      <w:r w:rsidRPr="000D6C7C">
        <w:rPr>
          <w:rFonts w:hint="cs"/>
          <w:rtl/>
        </w:rPr>
        <w:t>/</w:t>
      </w:r>
      <w:r w:rsidRPr="000D6C7C">
        <w:rPr>
          <w:rtl/>
        </w:rPr>
        <w:t>تكنولوجيا المعلومات والاتصالات</w:t>
      </w:r>
      <w:r w:rsidRPr="00045635">
        <w:rPr>
          <w:rtl/>
        </w:rPr>
        <w:t xml:space="preserve"> في هذه</w:t>
      </w:r>
      <w:r w:rsidRPr="00045635">
        <w:rPr>
          <w:rFonts w:hint="cs"/>
          <w:rtl/>
        </w:rPr>
        <w:t> </w:t>
      </w:r>
      <w:r w:rsidRPr="00045635">
        <w:rPr>
          <w:rtl/>
        </w:rPr>
        <w:t>البلدان</w:t>
      </w:r>
      <w:r>
        <w:rPr>
          <w:rFonts w:hint="cs"/>
          <w:rtl/>
          <w:lang w:bidi="ar-EG"/>
        </w:rPr>
        <w:t>.</w:t>
      </w:r>
    </w:p>
    <w:p w14:paraId="1EB0554A" w14:textId="29693754" w:rsidR="00634D5F" w:rsidRPr="00965FA9" w:rsidRDefault="00634D5F" w:rsidP="00634D5F">
      <w:pPr>
        <w:rPr>
          <w:rtl/>
        </w:rPr>
      </w:pPr>
      <w:r>
        <w:t>4</w:t>
      </w:r>
      <w:r>
        <w:tab/>
      </w:r>
      <w:r w:rsidR="00004EBF">
        <w:rPr>
          <w:rFonts w:hint="cs"/>
          <w:rtl/>
        </w:rPr>
        <w:t>و</w:t>
      </w:r>
      <w:r w:rsidR="006F5AF3">
        <w:rPr>
          <w:rFonts w:hint="cs"/>
          <w:rtl/>
        </w:rPr>
        <w:t>لضمان</w:t>
      </w:r>
      <w:r w:rsidRPr="00965FA9">
        <w:rPr>
          <w:rtl/>
        </w:rPr>
        <w:t xml:space="preserve"> </w:t>
      </w:r>
      <w:r w:rsidR="006F5AF3">
        <w:rPr>
          <w:rFonts w:hint="cs"/>
          <w:rtl/>
        </w:rPr>
        <w:t xml:space="preserve">أن </w:t>
      </w:r>
      <w:r w:rsidRPr="00965FA9">
        <w:rPr>
          <w:rtl/>
        </w:rPr>
        <w:t xml:space="preserve">تركز المداولات التي تجري في المنتدى العالمي لسياسات الاتصالات/تكنولوجيا المعلومات والاتصالات </w:t>
      </w:r>
      <w:r w:rsidR="006F5AF3">
        <w:rPr>
          <w:rFonts w:hint="cs"/>
          <w:rtl/>
        </w:rPr>
        <w:t xml:space="preserve">بشكل جيد، يتعين أن تستند إلى </w:t>
      </w:r>
      <w:r w:rsidRPr="00965FA9">
        <w:rPr>
          <w:rtl/>
        </w:rPr>
        <w:t>تقرير واحد فقط من الأمين</w:t>
      </w:r>
      <w:r w:rsidR="006F5AF3">
        <w:rPr>
          <w:rFonts w:hint="cs"/>
          <w:rtl/>
        </w:rPr>
        <w:t>ة</w:t>
      </w:r>
      <w:r w:rsidRPr="00965FA9">
        <w:rPr>
          <w:rtl/>
        </w:rPr>
        <w:t xml:space="preserve"> العام</w:t>
      </w:r>
      <w:r w:rsidR="006F5AF3">
        <w:rPr>
          <w:rFonts w:hint="cs"/>
          <w:rtl/>
        </w:rPr>
        <w:t>ة</w:t>
      </w:r>
      <w:r w:rsidRPr="00965FA9">
        <w:rPr>
          <w:rtl/>
        </w:rPr>
        <w:t xml:space="preserve"> ومساهمات من المشاركين تعتمد على </w:t>
      </w:r>
      <w:r w:rsidR="006F5AF3">
        <w:rPr>
          <w:rFonts w:hint="cs"/>
          <w:rtl/>
        </w:rPr>
        <w:t xml:space="preserve">هذا </w:t>
      </w:r>
      <w:r w:rsidRPr="00965FA9">
        <w:rPr>
          <w:rtl/>
        </w:rPr>
        <w:t xml:space="preserve">التقرير الذي </w:t>
      </w:r>
      <w:r w:rsidR="006F5AF3">
        <w:rPr>
          <w:rFonts w:hint="cs"/>
          <w:rtl/>
        </w:rPr>
        <w:t>تعده</w:t>
      </w:r>
      <w:r w:rsidRPr="00965FA9">
        <w:rPr>
          <w:rtl/>
        </w:rPr>
        <w:t xml:space="preserve"> الأمين</w:t>
      </w:r>
      <w:r w:rsidR="006F5AF3">
        <w:rPr>
          <w:rFonts w:hint="cs"/>
          <w:rtl/>
        </w:rPr>
        <w:t>ة</w:t>
      </w:r>
      <w:r w:rsidRPr="00965FA9">
        <w:rPr>
          <w:rtl/>
        </w:rPr>
        <w:t xml:space="preserve"> العام</w:t>
      </w:r>
      <w:r w:rsidR="006F5AF3">
        <w:rPr>
          <w:rFonts w:hint="cs"/>
          <w:rtl/>
        </w:rPr>
        <w:t>ة</w:t>
      </w:r>
      <w:r w:rsidRPr="00965FA9">
        <w:rPr>
          <w:rtl/>
        </w:rPr>
        <w:t xml:space="preserve"> وفقاً لإجراء يعتمده </w:t>
      </w:r>
      <w:r w:rsidRPr="00965FA9">
        <w:rPr>
          <w:rFonts w:hint="cs"/>
          <w:rtl/>
        </w:rPr>
        <w:t xml:space="preserve">المجلس </w:t>
      </w:r>
      <w:r w:rsidRPr="00965FA9">
        <w:rPr>
          <w:rtl/>
        </w:rPr>
        <w:t xml:space="preserve">وعلى أساس </w:t>
      </w:r>
      <w:r w:rsidRPr="00965FA9">
        <w:rPr>
          <w:rFonts w:hint="cs"/>
          <w:rtl/>
        </w:rPr>
        <w:t xml:space="preserve">المقترحات المقدمة من </w:t>
      </w:r>
      <w:r w:rsidRPr="00965FA9">
        <w:rPr>
          <w:rtl/>
        </w:rPr>
        <w:t>الدول الأعضاء وأعضاء القطاعات و</w:t>
      </w:r>
      <w:r w:rsidRPr="00965FA9">
        <w:rPr>
          <w:rFonts w:hint="cs"/>
          <w:rtl/>
        </w:rPr>
        <w:t xml:space="preserve">آراء </w:t>
      </w:r>
      <w:r w:rsidRPr="00965FA9">
        <w:rPr>
          <w:rtl/>
        </w:rPr>
        <w:t>المنتسبين والهيئات الأكاديمية وأصحاب المصلحة</w:t>
      </w:r>
      <w:r w:rsidR="006F5AF3">
        <w:rPr>
          <w:rFonts w:hint="cs"/>
          <w:rtl/>
        </w:rPr>
        <w:t>.</w:t>
      </w:r>
    </w:p>
    <w:p w14:paraId="1CCC2C44" w14:textId="4BB143AF" w:rsidR="00634D5F" w:rsidRPr="003931CB" w:rsidRDefault="00634D5F" w:rsidP="00634D5F">
      <w:r>
        <w:t>5</w:t>
      </w:r>
      <w:r>
        <w:tab/>
      </w:r>
      <w:r w:rsidR="00831BC4">
        <w:rPr>
          <w:rFonts w:hint="cs"/>
          <w:rtl/>
          <w:lang w:bidi="ar-EG"/>
        </w:rPr>
        <w:t xml:space="preserve">يجب </w:t>
      </w:r>
      <w:r w:rsidRPr="00831BC4">
        <w:rPr>
          <w:rtl/>
        </w:rPr>
        <w:t xml:space="preserve">ألا ينتج </w:t>
      </w:r>
      <w:r w:rsidRPr="00831BC4">
        <w:rPr>
          <w:rFonts w:hint="cs"/>
          <w:rtl/>
        </w:rPr>
        <w:t>عن</w:t>
      </w:r>
      <w:r w:rsidRPr="00831BC4">
        <w:rPr>
          <w:rtl/>
        </w:rPr>
        <w:t xml:space="preserve"> المنتدى العالمي لسياسات الاتصالات/تكنولوجيا المعلومات والاتصالات أي قواعد تنظيمية؛ إلا أن</w:t>
      </w:r>
      <w:r w:rsidR="00831BC4">
        <w:rPr>
          <w:rFonts w:hint="cs"/>
          <w:rtl/>
        </w:rPr>
        <w:t>ه</w:t>
      </w:r>
      <w:r w:rsidRPr="00831BC4">
        <w:rPr>
          <w:rtl/>
        </w:rPr>
        <w:t xml:space="preserve"> </w:t>
      </w:r>
      <w:r w:rsidR="00831BC4">
        <w:rPr>
          <w:rFonts w:hint="cs"/>
          <w:rtl/>
        </w:rPr>
        <w:t xml:space="preserve">يجب أن </w:t>
      </w:r>
      <w:r w:rsidRPr="00831BC4">
        <w:rPr>
          <w:rtl/>
        </w:rPr>
        <w:t xml:space="preserve">يعمل على إعداد </w:t>
      </w:r>
      <w:r w:rsidRPr="00831BC4">
        <w:rPr>
          <w:rFonts w:hint="cs"/>
          <w:rtl/>
        </w:rPr>
        <w:t>ال</w:t>
      </w:r>
      <w:r w:rsidRPr="00831BC4">
        <w:rPr>
          <w:rtl/>
        </w:rPr>
        <w:t xml:space="preserve">تقارير </w:t>
      </w:r>
      <w:r w:rsidRPr="00831BC4">
        <w:rPr>
          <w:rFonts w:hint="cs"/>
          <w:rtl/>
        </w:rPr>
        <w:t xml:space="preserve">واعتماد الآراء </w:t>
      </w:r>
      <w:r w:rsidRPr="00831BC4">
        <w:rPr>
          <w:rtl/>
        </w:rPr>
        <w:t xml:space="preserve">بتوافق الآراء لتنظر فيها الدول الأعضاء وأعضاء القطاعات واجتماعات </w:t>
      </w:r>
      <w:r w:rsidRPr="00831BC4">
        <w:rPr>
          <w:rFonts w:hint="cs"/>
          <w:rtl/>
        </w:rPr>
        <w:t>الاتحاد </w:t>
      </w:r>
      <w:r w:rsidRPr="00831BC4">
        <w:rPr>
          <w:rtl/>
        </w:rPr>
        <w:t>الم</w:t>
      </w:r>
      <w:r w:rsidR="00831BC4">
        <w:rPr>
          <w:rFonts w:hint="cs"/>
          <w:rtl/>
        </w:rPr>
        <w:t>عنية</w:t>
      </w:r>
      <w:r w:rsidRPr="00831BC4">
        <w:rPr>
          <w:rFonts w:hint="cs"/>
          <w:rtl/>
          <w:lang w:bidi="ar-EG"/>
        </w:rPr>
        <w:t>.</w:t>
      </w:r>
    </w:p>
    <w:p w14:paraId="5FCAEFB0" w14:textId="4F3593FD" w:rsidR="00634D5F" w:rsidRDefault="00634D5F" w:rsidP="00634D5F">
      <w:pPr>
        <w:rPr>
          <w:rtl/>
        </w:rPr>
      </w:pPr>
      <w:r>
        <w:t>6</w:t>
      </w:r>
      <w:r w:rsidRPr="003931CB">
        <w:rPr>
          <w:rtl/>
        </w:rPr>
        <w:tab/>
      </w:r>
      <w:r w:rsidR="00004EBF">
        <w:rPr>
          <w:rFonts w:hint="cs"/>
          <w:rtl/>
        </w:rPr>
        <w:t xml:space="preserve">يتعين </w:t>
      </w:r>
      <w:r w:rsidRPr="003931CB">
        <w:rPr>
          <w:rtl/>
        </w:rPr>
        <w:t>أن يكون المنتدى العالمي لسياسات الاتصالات/تكنولوجيا المعلومات والاتصالات مفتوحاً لجميع الدول الأعضاء وأعضاء القطاعات</w:t>
      </w:r>
      <w:r w:rsidRPr="003931CB">
        <w:rPr>
          <w:rFonts w:hint="cs"/>
          <w:rtl/>
        </w:rPr>
        <w:t>،</w:t>
      </w:r>
      <w:r w:rsidRPr="003931CB">
        <w:rPr>
          <w:rtl/>
        </w:rPr>
        <w:t xml:space="preserve"> </w:t>
      </w:r>
      <w:r w:rsidR="00004EBF">
        <w:rPr>
          <w:rFonts w:hint="cs"/>
          <w:rtl/>
        </w:rPr>
        <w:t xml:space="preserve">بيد أنه </w:t>
      </w:r>
      <w:r w:rsidRPr="003931CB">
        <w:rPr>
          <w:rtl/>
        </w:rPr>
        <w:t>يمكن عند الاقتضاء عقد جلسة خاصة للدول الأعضاء فقط إذا قرر ذلك أغلبية ممثلي الدول الأعضاء</w:t>
      </w:r>
      <w:r>
        <w:rPr>
          <w:rFonts w:hint="cs"/>
          <w:rtl/>
          <w:lang w:bidi="ar-EG"/>
        </w:rPr>
        <w:t>.</w:t>
      </w:r>
    </w:p>
    <w:p w14:paraId="5BBA66EB" w14:textId="3F305328" w:rsidR="00634D5F" w:rsidRPr="003931CB" w:rsidRDefault="00634D5F" w:rsidP="00634D5F">
      <w:pPr>
        <w:rPr>
          <w:rtl/>
          <w:lang w:bidi="ar-EG"/>
        </w:rPr>
      </w:pPr>
      <w:r>
        <w:t>7</w:t>
      </w:r>
      <w:r>
        <w:rPr>
          <w:rtl/>
        </w:rPr>
        <w:tab/>
      </w:r>
      <w:r w:rsidR="00004EBF">
        <w:rPr>
          <w:rFonts w:hint="cs"/>
          <w:rtl/>
        </w:rPr>
        <w:t xml:space="preserve">ينص القرار </w:t>
      </w:r>
      <w:r w:rsidR="00004EBF" w:rsidRPr="00004EBF">
        <w:rPr>
          <w:rtl/>
        </w:rPr>
        <w:t>2 (المراجَع في بوخارست، 2022)</w:t>
      </w:r>
      <w:r w:rsidR="00004EBF">
        <w:rPr>
          <w:rFonts w:hint="cs"/>
          <w:rtl/>
        </w:rPr>
        <w:t xml:space="preserve"> على أنه يفضل أن يُ</w:t>
      </w:r>
      <w:r w:rsidRPr="003931CB">
        <w:rPr>
          <w:rFonts w:hint="cs"/>
          <w:rtl/>
        </w:rPr>
        <w:t>عقد المنتدى العالمي لسياسات الاتصالات بالتعاقب مع منتدى القمة العالمية لمجتمع المعلومات</w:t>
      </w:r>
      <w:r w:rsidR="00004EBF">
        <w:rPr>
          <w:rFonts w:hint="cs"/>
          <w:rtl/>
        </w:rPr>
        <w:t xml:space="preserve"> </w:t>
      </w:r>
      <w:r w:rsidR="00004EBF" w:rsidRPr="00004EBF">
        <w:rPr>
          <w:rtl/>
        </w:rPr>
        <w:t>(</w:t>
      </w:r>
      <w:r w:rsidR="00004EBF" w:rsidRPr="00004EBF">
        <w:t>WSIS</w:t>
      </w:r>
      <w:r w:rsidR="00004EBF" w:rsidRPr="00004EBF">
        <w:rPr>
          <w:rtl/>
        </w:rPr>
        <w:t>)</w:t>
      </w:r>
      <w:r w:rsidRPr="003931CB">
        <w:rPr>
          <w:rFonts w:hint="cs"/>
          <w:rtl/>
        </w:rPr>
        <w:t>، مع مراعاة الحاجة إلى ضمان الاستعداد الكافي من جانب الدول الأعضاء</w:t>
      </w:r>
      <w:r>
        <w:rPr>
          <w:rFonts w:hint="cs"/>
          <w:rtl/>
          <w:lang w:bidi="ar-EG"/>
        </w:rPr>
        <w:t>.</w:t>
      </w:r>
    </w:p>
    <w:p w14:paraId="3D2B3FBA" w14:textId="7CE03BF0" w:rsidR="00F50E3F" w:rsidRDefault="00634D5F" w:rsidP="00E61BE8">
      <w:pPr>
        <w:rPr>
          <w:rtl/>
          <w:lang w:bidi="ar-EG"/>
        </w:rPr>
      </w:pPr>
      <w:r>
        <w:rPr>
          <w:rFonts w:hint="cs"/>
          <w:rtl/>
        </w:rPr>
        <w:t>8</w:t>
      </w:r>
      <w:r>
        <w:rPr>
          <w:rtl/>
        </w:rPr>
        <w:tab/>
      </w:r>
      <w:r w:rsidR="00004EBF">
        <w:rPr>
          <w:rFonts w:hint="cs"/>
          <w:rtl/>
        </w:rPr>
        <w:t xml:space="preserve">كما كلف مؤتمر المندوبين المفوضين (بوخارست، 2022) المجلس بتحديد موعد لعقد دورة للمنتدى </w:t>
      </w:r>
      <w:r w:rsidR="00004EBF">
        <w:t>WTPF</w:t>
      </w:r>
      <w:r w:rsidR="00004EBF">
        <w:rPr>
          <w:rFonts w:hint="cs"/>
          <w:rtl/>
        </w:rPr>
        <w:t xml:space="preserve"> في</w:t>
      </w:r>
      <w:r w:rsidR="008C4217">
        <w:rPr>
          <w:rFonts w:hint="eastAsia"/>
          <w:rtl/>
        </w:rPr>
        <w:t> </w:t>
      </w:r>
      <w:r w:rsidR="00004EBF">
        <w:rPr>
          <w:rFonts w:hint="cs"/>
          <w:rtl/>
        </w:rPr>
        <w:t>عام</w:t>
      </w:r>
      <w:r w:rsidR="008C4217">
        <w:rPr>
          <w:rFonts w:hint="eastAsia"/>
          <w:rtl/>
        </w:rPr>
        <w:t> </w:t>
      </w:r>
      <w:r w:rsidR="00004EBF">
        <w:rPr>
          <w:rFonts w:hint="cs"/>
          <w:rtl/>
        </w:rPr>
        <w:t>2026</w:t>
      </w:r>
      <w:r w:rsidR="00004EBF">
        <w:rPr>
          <w:rFonts w:hint="cs"/>
          <w:rtl/>
          <w:lang w:bidi="ar-EG"/>
        </w:rPr>
        <w:t>.</w:t>
      </w:r>
    </w:p>
    <w:p w14:paraId="5C35E34F" w14:textId="3D318B86" w:rsidR="00004EBF" w:rsidRDefault="00634D5F" w:rsidP="00004EBF">
      <w:pPr>
        <w:rPr>
          <w:rtl/>
        </w:rPr>
      </w:pPr>
      <w:r>
        <w:rPr>
          <w:rFonts w:hint="cs"/>
          <w:rtl/>
        </w:rPr>
        <w:t>9</w:t>
      </w:r>
      <w:r>
        <w:rPr>
          <w:rtl/>
        </w:rPr>
        <w:tab/>
      </w:r>
      <w:r w:rsidR="00004EBF">
        <w:rPr>
          <w:rtl/>
        </w:rPr>
        <w:t xml:space="preserve">يكلف القرار 2 (المراجع في بوخارست، 2022) </w:t>
      </w:r>
      <w:r w:rsidR="00004EBF">
        <w:rPr>
          <w:rFonts w:hint="cs"/>
          <w:rtl/>
        </w:rPr>
        <w:t>ال</w:t>
      </w:r>
      <w:r w:rsidR="00004EBF">
        <w:rPr>
          <w:rtl/>
        </w:rPr>
        <w:t>مجلس بما يلي:</w:t>
      </w:r>
    </w:p>
    <w:p w14:paraId="1A5E4330" w14:textId="77777777" w:rsidR="00004EBF" w:rsidRDefault="00004EBF" w:rsidP="00004EBF">
      <w:pPr>
        <w:ind w:left="819" w:hanging="819"/>
        <w:rPr>
          <w:rtl/>
        </w:rPr>
      </w:pPr>
      <w:r>
        <w:rPr>
          <w:rtl/>
        </w:rPr>
        <w:t>1</w:t>
      </w:r>
      <w:r>
        <w:rPr>
          <w:rtl/>
        </w:rPr>
        <w:tab/>
        <w:t>بأن يحدد مدة انعقاد كل منتدى مقبل من المنتديات العالمية لسياسات الاتصالات/تكنولوجيا المعلومات والاتصالات، وتاريخه ومكان انعقاده وجدول أعماله والمواضيع التي يبحث فيها؛</w:t>
      </w:r>
    </w:p>
    <w:p w14:paraId="653AC9F0" w14:textId="2D9C171B" w:rsidR="00634D5F" w:rsidRDefault="00004EBF" w:rsidP="00004EBF">
      <w:pPr>
        <w:rPr>
          <w:rtl/>
        </w:rPr>
      </w:pPr>
      <w:r>
        <w:rPr>
          <w:rtl/>
        </w:rPr>
        <w:t>2</w:t>
      </w:r>
      <w:r>
        <w:rPr>
          <w:rtl/>
        </w:rPr>
        <w:tab/>
        <w:t xml:space="preserve">بأن يعتمد الإجراءات اللازمة لإعداد تقرير الأمينة العامة المقدم إلى المنتدى </w:t>
      </w:r>
      <w:r>
        <w:t>WTPF</w:t>
      </w:r>
      <w:r w:rsidR="00AB1065">
        <w:rPr>
          <w:rFonts w:hint="cs"/>
          <w:rtl/>
        </w:rPr>
        <w:t>؛</w:t>
      </w:r>
    </w:p>
    <w:p w14:paraId="0AE877DA" w14:textId="7F3CE1A0" w:rsidR="00634D5F" w:rsidRPr="00634D5F" w:rsidRDefault="00634D5F" w:rsidP="00634D5F">
      <w:pPr>
        <w:pStyle w:val="enumlev1"/>
        <w:rPr>
          <w:rtl/>
          <w:lang w:bidi="ar-EG"/>
        </w:rPr>
      </w:pPr>
      <w:r w:rsidRPr="00634D5F">
        <w:rPr>
          <w:lang w:val="en-GB"/>
        </w:rPr>
        <w:t>3</w:t>
      </w:r>
      <w:r w:rsidRPr="00634D5F">
        <w:rPr>
          <w:rtl/>
          <w:lang w:bidi="ar-EG"/>
        </w:rPr>
        <w:tab/>
        <w:t xml:space="preserve">بأن </w:t>
      </w:r>
      <w:r w:rsidRPr="00634D5F">
        <w:rPr>
          <w:rFonts w:hint="cs"/>
          <w:rtl/>
          <w:lang w:bidi="ar-EG"/>
        </w:rPr>
        <w:t xml:space="preserve">تشمل الإجراءات </w:t>
      </w:r>
      <w:r w:rsidRPr="00634D5F">
        <w:rPr>
          <w:rtl/>
          <w:lang w:bidi="ar-EG"/>
        </w:rPr>
        <w:t>المشار إليه</w:t>
      </w:r>
      <w:r w:rsidRPr="00634D5F">
        <w:rPr>
          <w:rFonts w:hint="cs"/>
          <w:rtl/>
          <w:lang w:bidi="ar-EG"/>
        </w:rPr>
        <w:t>ا</w:t>
      </w:r>
      <w:r w:rsidRPr="00634D5F">
        <w:rPr>
          <w:rtl/>
          <w:lang w:bidi="ar-EG"/>
        </w:rPr>
        <w:t xml:space="preserve"> في الفقرة </w:t>
      </w:r>
      <w:r w:rsidRPr="00634D5F">
        <w:rPr>
          <w:lang w:val="en-GB"/>
        </w:rPr>
        <w:t>2</w:t>
      </w:r>
      <w:r w:rsidRPr="00634D5F">
        <w:rPr>
          <w:rtl/>
          <w:lang w:bidi="ar-EG"/>
        </w:rPr>
        <w:t xml:space="preserve"> من </w:t>
      </w:r>
      <w:r w:rsidRPr="00634D5F">
        <w:rPr>
          <w:rFonts w:hint="cs"/>
          <w:rtl/>
          <w:lang w:bidi="ar-EG"/>
        </w:rPr>
        <w:t>"</w:t>
      </w:r>
      <w:r w:rsidRPr="00634D5F">
        <w:rPr>
          <w:i/>
          <w:iCs/>
          <w:rtl/>
          <w:lang w:bidi="ar-EG"/>
        </w:rPr>
        <w:t xml:space="preserve">يكلف </w:t>
      </w:r>
      <w:r w:rsidRPr="00634D5F">
        <w:rPr>
          <w:rFonts w:hint="cs"/>
          <w:i/>
          <w:iCs/>
          <w:rtl/>
          <w:lang w:bidi="ar-EG"/>
        </w:rPr>
        <w:t>مجلس الاتحاد</w:t>
      </w:r>
      <w:r w:rsidRPr="00634D5F">
        <w:rPr>
          <w:rFonts w:hint="cs"/>
          <w:rtl/>
          <w:lang w:bidi="ar-EG"/>
        </w:rPr>
        <w:t>"</w:t>
      </w:r>
      <w:r w:rsidRPr="00634D5F">
        <w:rPr>
          <w:rtl/>
          <w:lang w:bidi="ar-EG"/>
        </w:rPr>
        <w:t>، حسب الاقتضاء، المشاركة المفتوحة أمام جميع الدول الأعضاء وأعضاء القطاعات، ومشاورات عامة على الإنترنت مفتوحة أمام جميع أصحاب المصلحة المهتمين،</w:t>
      </w:r>
      <w:r w:rsidRPr="00634D5F">
        <w:rPr>
          <w:rFonts w:hint="cs"/>
          <w:rtl/>
          <w:lang w:bidi="ar-EG"/>
        </w:rPr>
        <w:t xml:space="preserve"> مع مراعاة الممارسات السابقة للاتحاد والخبرة التي اكتسبها، بما في ذلك عملية التحضير، بشأن عقد المنتديات العالمية السابقة لسياسات الاتصالات</w:t>
      </w:r>
      <w:r w:rsidR="00AB1065">
        <w:rPr>
          <w:rFonts w:hint="cs"/>
          <w:rtl/>
          <w:lang w:bidi="ar-EG"/>
        </w:rPr>
        <w:t>/تكنولوجيا المعلومات والاتصالات.</w:t>
      </w:r>
    </w:p>
    <w:p w14:paraId="0D96D09D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C3242">
      <w:footerReference w:type="default" r:id="rId11"/>
      <w:headerReference w:type="firs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7640" w14:textId="77777777" w:rsidR="00634D5F" w:rsidRDefault="00634D5F" w:rsidP="006C3242">
      <w:pPr>
        <w:spacing w:before="0" w:line="240" w:lineRule="auto"/>
      </w:pPr>
      <w:r>
        <w:separator/>
      </w:r>
    </w:p>
  </w:endnote>
  <w:endnote w:type="continuationSeparator" w:id="0">
    <w:p w14:paraId="36327ADB" w14:textId="77777777" w:rsidR="00634D5F" w:rsidRDefault="00634D5F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  <w:gridCol w:w="7542"/>
      <w:gridCol w:w="424"/>
    </w:tblGrid>
    <w:tr w:rsidR="00F50E3F" w:rsidRPr="007B0AA0" w14:paraId="17279460" w14:textId="77777777" w:rsidTr="00357086">
      <w:trPr>
        <w:jc w:val="center"/>
      </w:trPr>
      <w:tc>
        <w:tcPr>
          <w:tcW w:w="868" w:type="pct"/>
          <w:vAlign w:val="center"/>
        </w:tcPr>
        <w:p w14:paraId="371BA2E5" w14:textId="07DE2140" w:rsidR="00F50E3F" w:rsidRPr="007B0AA0" w:rsidRDefault="00F50E3F" w:rsidP="00750D58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F50E3F">
            <w:rPr>
              <w:rFonts w:ascii="Calibri" w:hAnsi="Calibri" w:cs="Arial"/>
              <w:sz w:val="18"/>
              <w:szCs w:val="14"/>
            </w:rPr>
            <w:t xml:space="preserve">DPS </w:t>
          </w:r>
          <w:r w:rsidR="00634D5F">
            <w:rPr>
              <w:rFonts w:ascii="Calibri" w:hAnsi="Calibri" w:cs="Arial"/>
              <w:sz w:val="18"/>
              <w:szCs w:val="14"/>
            </w:rPr>
            <w:t>520422</w:t>
          </w:r>
        </w:p>
      </w:tc>
      <w:tc>
        <w:tcPr>
          <w:tcW w:w="3912" w:type="pct"/>
        </w:tcPr>
        <w:p w14:paraId="3A4504E2" w14:textId="43597D87" w:rsidR="00F50E3F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</w:t>
          </w:r>
          <w:r w:rsidR="00634D5F">
            <w:rPr>
              <w:rFonts w:ascii="Calibri" w:hAnsi="Calibri" w:cs="Arial"/>
              <w:bCs/>
              <w:color w:val="7F7F7F"/>
              <w:sz w:val="18"/>
            </w:rPr>
            <w:t>13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04D915D7" w14:textId="77777777" w:rsidR="00F50E3F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6473F459" w14:textId="4AD01999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B26F4A">
      <w:rPr>
        <w:color w:val="F2F2F2" w:themeColor="background1" w:themeShade="F2"/>
        <w:sz w:val="16"/>
        <w:szCs w:val="16"/>
        <w:lang w:val="fr-FR"/>
      </w:rPr>
      <w:fldChar w:fldCharType="begin"/>
    </w:r>
    <w:r w:rsidRPr="00B26F4A">
      <w:rPr>
        <w:color w:val="F2F2F2" w:themeColor="background1" w:themeShade="F2"/>
        <w:sz w:val="16"/>
        <w:szCs w:val="16"/>
        <w:lang w:val="fr-FR"/>
      </w:rPr>
      <w:instrText xml:space="preserve"> FILENAME \p \* MERGEFORMAT </w:instrText>
    </w:r>
    <w:r w:rsidRPr="00B26F4A">
      <w:rPr>
        <w:color w:val="F2F2F2" w:themeColor="background1" w:themeShade="F2"/>
        <w:sz w:val="16"/>
        <w:szCs w:val="16"/>
        <w:lang w:val="fr-FR"/>
      </w:rPr>
      <w:fldChar w:fldCharType="separate"/>
    </w:r>
    <w:r w:rsidR="008C4217" w:rsidRPr="00B26F4A">
      <w:rPr>
        <w:noProof/>
        <w:color w:val="F2F2F2" w:themeColor="background1" w:themeShade="F2"/>
        <w:sz w:val="16"/>
        <w:szCs w:val="16"/>
        <w:lang w:val="fr-FR"/>
      </w:rPr>
      <w:t>P:\ARA\SG\CONSEIL\C23\000\013A.docx</w:t>
    </w:r>
    <w:r w:rsidRPr="00B26F4A">
      <w:rPr>
        <w:color w:val="F2F2F2" w:themeColor="background1" w:themeShade="F2"/>
        <w:sz w:val="16"/>
        <w:szCs w:val="16"/>
      </w:rPr>
      <w:fldChar w:fldCharType="end"/>
    </w:r>
    <w:proofErr w:type="gramStart"/>
    <w:r w:rsidRPr="00B26F4A">
      <w:rPr>
        <w:color w:val="F2F2F2" w:themeColor="background1" w:themeShade="F2"/>
        <w:sz w:val="16"/>
        <w:szCs w:val="16"/>
        <w:lang w:val="fr-CH"/>
      </w:rPr>
      <w:t xml:space="preserve">  </w:t>
    </w:r>
    <w:r w:rsidRPr="00B26F4A">
      <w:rPr>
        <w:color w:val="F2F2F2" w:themeColor="background1" w:themeShade="F2"/>
        <w:sz w:val="16"/>
        <w:szCs w:val="16"/>
        <w:lang w:val="fr-FR"/>
      </w:rPr>
      <w:t xml:space="preserve"> (</w:t>
    </w:r>
    <w:proofErr w:type="gramEnd"/>
    <w:r w:rsidR="00634D5F" w:rsidRPr="00B26F4A">
      <w:rPr>
        <w:color w:val="F2F2F2" w:themeColor="background1" w:themeShade="F2"/>
        <w:sz w:val="16"/>
        <w:szCs w:val="16"/>
        <w:lang w:val="fr-FR"/>
      </w:rPr>
      <w:t>520422</w:t>
    </w:r>
    <w:r w:rsidRPr="00B26F4A">
      <w:rPr>
        <w:color w:val="F2F2F2" w:themeColor="background1" w:themeShade="F2"/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4"/>
      <w:gridCol w:w="7541"/>
      <w:gridCol w:w="424"/>
    </w:tblGrid>
    <w:tr w:rsidR="007B0AA0" w:rsidRPr="007B0AA0" w14:paraId="099F14E4" w14:textId="77777777" w:rsidTr="00F50E3F">
      <w:trPr>
        <w:jc w:val="center"/>
      </w:trPr>
      <w:tc>
        <w:tcPr>
          <w:tcW w:w="868" w:type="pct"/>
          <w:vAlign w:val="center"/>
        </w:tcPr>
        <w:p w14:paraId="2407B538" w14:textId="77777777" w:rsidR="007B0AA0" w:rsidRPr="007B0AA0" w:rsidRDefault="00CD0440" w:rsidP="00750D58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lef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="007B0AA0" w:rsidRPr="007B0AA0">
              <w:rPr>
                <w:rFonts w:ascii="Calibri" w:hAnsi="Calibri" w:cs="Arial"/>
                <w:color w:val="0563C1"/>
                <w:sz w:val="18"/>
                <w:szCs w:val="14"/>
              </w:rPr>
              <w:t>www.itu.int/council</w:t>
            </w:r>
          </w:hyperlink>
        </w:p>
      </w:tc>
      <w:tc>
        <w:tcPr>
          <w:tcW w:w="3912" w:type="pct"/>
        </w:tcPr>
        <w:p w14:paraId="56BFE302" w14:textId="25225D94" w:rsidR="007B0AA0" w:rsidRPr="007B0AA0" w:rsidRDefault="007B0AA0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</w:t>
          </w:r>
          <w:r w:rsidR="00634D5F">
            <w:rPr>
              <w:rFonts w:ascii="Calibri" w:hAnsi="Calibri" w:cs="Arial"/>
              <w:bCs/>
              <w:color w:val="7F7F7F"/>
              <w:sz w:val="18"/>
            </w:rPr>
            <w:t>13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1A74B060" w14:textId="77777777" w:rsidR="007B0AA0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36F12347" w14:textId="4A3E097C" w:rsidR="0006468A" w:rsidRPr="00000322" w:rsidRDefault="0006468A" w:rsidP="0006468A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CH"/>
      </w:rPr>
    </w:pPr>
    <w:r w:rsidRPr="00B26F4A">
      <w:rPr>
        <w:color w:val="F2F2F2" w:themeColor="background1" w:themeShade="F2"/>
        <w:sz w:val="16"/>
        <w:szCs w:val="16"/>
        <w:lang w:val="fr-FR"/>
      </w:rPr>
      <w:fldChar w:fldCharType="begin"/>
    </w:r>
    <w:r w:rsidRPr="00B26F4A">
      <w:rPr>
        <w:color w:val="F2F2F2" w:themeColor="background1" w:themeShade="F2"/>
        <w:sz w:val="16"/>
        <w:szCs w:val="16"/>
        <w:lang w:val="fr-FR"/>
      </w:rPr>
      <w:instrText xml:space="preserve"> FILENAME \p \* MERGEFORMAT </w:instrText>
    </w:r>
    <w:r w:rsidRPr="00B26F4A">
      <w:rPr>
        <w:color w:val="F2F2F2" w:themeColor="background1" w:themeShade="F2"/>
        <w:sz w:val="16"/>
        <w:szCs w:val="16"/>
        <w:lang w:val="fr-FR"/>
      </w:rPr>
      <w:fldChar w:fldCharType="separate"/>
    </w:r>
    <w:r w:rsidR="008C4217" w:rsidRPr="00B26F4A">
      <w:rPr>
        <w:noProof/>
        <w:color w:val="F2F2F2" w:themeColor="background1" w:themeShade="F2"/>
        <w:sz w:val="16"/>
        <w:szCs w:val="16"/>
        <w:lang w:val="fr-FR"/>
      </w:rPr>
      <w:t>P:\ARA\SG\CONSEIL\C23\000\013A.docx</w:t>
    </w:r>
    <w:r w:rsidRPr="00B26F4A">
      <w:rPr>
        <w:color w:val="F2F2F2" w:themeColor="background1" w:themeShade="F2"/>
        <w:sz w:val="16"/>
        <w:szCs w:val="16"/>
      </w:rPr>
      <w:fldChar w:fldCharType="end"/>
    </w:r>
    <w:r w:rsidRPr="00B26F4A">
      <w:rPr>
        <w:color w:val="F2F2F2" w:themeColor="background1" w:themeShade="F2"/>
        <w:sz w:val="16"/>
        <w:szCs w:val="16"/>
        <w:lang w:val="fr-CH"/>
      </w:rPr>
      <w:t xml:space="preserve">  </w:t>
    </w:r>
    <w:r w:rsidRPr="00B26F4A">
      <w:rPr>
        <w:color w:val="F2F2F2" w:themeColor="background1" w:themeShade="F2"/>
        <w:sz w:val="16"/>
        <w:szCs w:val="16"/>
        <w:lang w:val="fr-FR"/>
      </w:rPr>
      <w:t xml:space="preserve"> (</w:t>
    </w:r>
    <w:r w:rsidR="00000322" w:rsidRPr="00B26F4A">
      <w:rPr>
        <w:color w:val="F2F2F2" w:themeColor="background1" w:themeShade="F2"/>
        <w:sz w:val="16"/>
        <w:szCs w:val="16"/>
        <w:lang w:val="fr-FR"/>
      </w:rPr>
      <w:t>520422</w:t>
    </w:r>
    <w:r w:rsidRPr="00B26F4A">
      <w:rPr>
        <w:color w:val="F2F2F2" w:themeColor="background1" w:themeShade="F2"/>
        <w:sz w:val="16"/>
        <w:szCs w:val="16"/>
        <w:lang w:val="fr-F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DC1E" w14:textId="77777777" w:rsidR="00634D5F" w:rsidRDefault="00634D5F" w:rsidP="006C3242">
      <w:pPr>
        <w:spacing w:before="0" w:line="240" w:lineRule="auto"/>
      </w:pPr>
      <w:r>
        <w:separator/>
      </w:r>
    </w:p>
  </w:footnote>
  <w:footnote w:type="continuationSeparator" w:id="0">
    <w:p w14:paraId="5C4B791C" w14:textId="77777777" w:rsidR="00634D5F" w:rsidRDefault="00634D5F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F799" w14:textId="77777777" w:rsidR="007B0AA0" w:rsidRDefault="00D13941" w:rsidP="007B0AA0">
    <w:pPr>
      <w:pStyle w:val="Header"/>
      <w:spacing w:before="120" w:after="240"/>
    </w:pPr>
    <w:r>
      <w:rPr>
        <w:noProof/>
      </w:rPr>
      <w:drawing>
        <wp:inline distT="0" distB="0" distL="0" distR="0" wp14:anchorId="64D9E9C2" wp14:editId="16E9A22D">
          <wp:extent cx="1908000" cy="53640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5F"/>
    <w:rsid w:val="00000322"/>
    <w:rsid w:val="00004EBF"/>
    <w:rsid w:val="0006468A"/>
    <w:rsid w:val="000753A6"/>
    <w:rsid w:val="00090574"/>
    <w:rsid w:val="000933EF"/>
    <w:rsid w:val="000C1C0E"/>
    <w:rsid w:val="000C548A"/>
    <w:rsid w:val="00185601"/>
    <w:rsid w:val="001C0169"/>
    <w:rsid w:val="001D1D50"/>
    <w:rsid w:val="001D6745"/>
    <w:rsid w:val="001E446E"/>
    <w:rsid w:val="002154EE"/>
    <w:rsid w:val="002276D2"/>
    <w:rsid w:val="0023283D"/>
    <w:rsid w:val="0026373E"/>
    <w:rsid w:val="00271C43"/>
    <w:rsid w:val="00290728"/>
    <w:rsid w:val="002978F4"/>
    <w:rsid w:val="002B028D"/>
    <w:rsid w:val="002E6541"/>
    <w:rsid w:val="00334924"/>
    <w:rsid w:val="003409BC"/>
    <w:rsid w:val="00357185"/>
    <w:rsid w:val="0036353B"/>
    <w:rsid w:val="00376B7B"/>
    <w:rsid w:val="00383829"/>
    <w:rsid w:val="003F4B29"/>
    <w:rsid w:val="0042686F"/>
    <w:rsid w:val="004317D8"/>
    <w:rsid w:val="00434183"/>
    <w:rsid w:val="00443869"/>
    <w:rsid w:val="00447F32"/>
    <w:rsid w:val="00472B53"/>
    <w:rsid w:val="004B0166"/>
    <w:rsid w:val="004B7334"/>
    <w:rsid w:val="004E11DC"/>
    <w:rsid w:val="0050490D"/>
    <w:rsid w:val="00525DDD"/>
    <w:rsid w:val="005409AC"/>
    <w:rsid w:val="0055516A"/>
    <w:rsid w:val="0058491B"/>
    <w:rsid w:val="00592EA5"/>
    <w:rsid w:val="005A3170"/>
    <w:rsid w:val="00634D5F"/>
    <w:rsid w:val="00677396"/>
    <w:rsid w:val="0069200F"/>
    <w:rsid w:val="006A65CB"/>
    <w:rsid w:val="006C3242"/>
    <w:rsid w:val="006C7CC0"/>
    <w:rsid w:val="006C7D5F"/>
    <w:rsid w:val="006E55F4"/>
    <w:rsid w:val="006F5AF3"/>
    <w:rsid w:val="006F63F7"/>
    <w:rsid w:val="007025C7"/>
    <w:rsid w:val="00706D7A"/>
    <w:rsid w:val="00722F0D"/>
    <w:rsid w:val="0074420E"/>
    <w:rsid w:val="00750D58"/>
    <w:rsid w:val="00753A0E"/>
    <w:rsid w:val="00783E26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1BC4"/>
    <w:rsid w:val="008339C0"/>
    <w:rsid w:val="0084079D"/>
    <w:rsid w:val="00840B10"/>
    <w:rsid w:val="008513CB"/>
    <w:rsid w:val="008A7F84"/>
    <w:rsid w:val="008C4217"/>
    <w:rsid w:val="0091702E"/>
    <w:rsid w:val="00917235"/>
    <w:rsid w:val="00923B0C"/>
    <w:rsid w:val="0094021C"/>
    <w:rsid w:val="00952F86"/>
    <w:rsid w:val="00982B28"/>
    <w:rsid w:val="009D313F"/>
    <w:rsid w:val="00A47A5A"/>
    <w:rsid w:val="00A47EF0"/>
    <w:rsid w:val="00A6683B"/>
    <w:rsid w:val="00A92449"/>
    <w:rsid w:val="00A97F94"/>
    <w:rsid w:val="00AA7EA2"/>
    <w:rsid w:val="00AB1065"/>
    <w:rsid w:val="00AC6CF3"/>
    <w:rsid w:val="00B03099"/>
    <w:rsid w:val="00B05BC8"/>
    <w:rsid w:val="00B26F4A"/>
    <w:rsid w:val="00B64B47"/>
    <w:rsid w:val="00B95654"/>
    <w:rsid w:val="00C002DE"/>
    <w:rsid w:val="00C53BF8"/>
    <w:rsid w:val="00C66157"/>
    <w:rsid w:val="00C674FE"/>
    <w:rsid w:val="00C67501"/>
    <w:rsid w:val="00C75633"/>
    <w:rsid w:val="00CE2EE1"/>
    <w:rsid w:val="00CE3349"/>
    <w:rsid w:val="00CE36E5"/>
    <w:rsid w:val="00CF1120"/>
    <w:rsid w:val="00CF27F5"/>
    <w:rsid w:val="00CF3FFD"/>
    <w:rsid w:val="00CF7DDF"/>
    <w:rsid w:val="00D10CCF"/>
    <w:rsid w:val="00D13941"/>
    <w:rsid w:val="00D63735"/>
    <w:rsid w:val="00D77D0F"/>
    <w:rsid w:val="00DA1CF0"/>
    <w:rsid w:val="00DA4552"/>
    <w:rsid w:val="00DC1E02"/>
    <w:rsid w:val="00DC24B4"/>
    <w:rsid w:val="00DC5FB0"/>
    <w:rsid w:val="00DF16DC"/>
    <w:rsid w:val="00E45211"/>
    <w:rsid w:val="00E473C5"/>
    <w:rsid w:val="00E61BE8"/>
    <w:rsid w:val="00E92863"/>
    <w:rsid w:val="00EB796D"/>
    <w:rsid w:val="00F058DC"/>
    <w:rsid w:val="00F227D0"/>
    <w:rsid w:val="00F24FC4"/>
    <w:rsid w:val="00F2676C"/>
    <w:rsid w:val="00F363FE"/>
    <w:rsid w:val="00F50E3F"/>
    <w:rsid w:val="00F84366"/>
    <w:rsid w:val="00F85089"/>
    <w:rsid w:val="00F974C5"/>
    <w:rsid w:val="00FA6F46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283DF"/>
  <w15:chartTrackingRefBased/>
  <w15:docId w15:val="{581C3EF0-88B1-4478-B679-0A9BEC2D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aliases w:val="ACMA Footnote Text,ALTS FOOTNOTE,Footnote Text Char Char1,Footnote Text Char4 Char Char,Footnote Text Char1 Char1 Char1 Char,Footnote Text Char Char1 Char1 Char Char,Footnote Text Char1 Char1 Char1 Char Char Char1,DNV-,footnote text,DNV-FT"/>
    <w:basedOn w:val="Normal"/>
    <w:link w:val="FootnoteTextChar"/>
    <w:uiPriority w:val="99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Appel note de bas de p,Footnote Reference/,Footnote symbol,Ref,de nota al pi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aliases w:val="ACMA Footnote Text Char,ALTS FOOTNOTE Char,Footnote Text Char Char1 Char,Footnote Text Char4 Char Char Char,Footnote Text Char1 Char1 Char1 Char Char,Footnote Text Char Char1 Char1 Char Char Char,DNV- Char,footnote text Char"/>
    <w:basedOn w:val="DefaultParagraphFont"/>
    <w:link w:val="FootnoteText"/>
    <w:uiPriority w:val="99"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pPr>
      <w:spacing w:after="120"/>
    </w:pPr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4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002-A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S22-CL-C-0005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2-PP-C-0207/en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for the 2026 World Telecommunication/ICT Policy Forum (WTPF-26)</dc:title>
  <dc:subject>Council 2023</dc:subject>
  <dc:creator>Arabic_GE</dc:creator>
  <cp:keywords>C23, C2023, Council-23</cp:keywords>
  <dc:description/>
  <cp:lastModifiedBy>Xue, Kun</cp:lastModifiedBy>
  <cp:revision>5</cp:revision>
  <dcterms:created xsi:type="dcterms:W3CDTF">2023-06-26T12:43:00Z</dcterms:created>
  <dcterms:modified xsi:type="dcterms:W3CDTF">2023-06-26T12:46:00Z</dcterms:modified>
</cp:coreProperties>
</file>