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0333ED9" w:rsidR="00796BD3" w:rsidRPr="006F3216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дня:</w:t>
            </w:r>
            <w:r w:rsidR="006F3216">
              <w:rPr>
                <w:b/>
                <w:lang w:val="en-US"/>
              </w:rPr>
              <w:t xml:space="preserve"> ADM 1</w:t>
            </w:r>
          </w:p>
        </w:tc>
        <w:tc>
          <w:tcPr>
            <w:tcW w:w="5245" w:type="dxa"/>
          </w:tcPr>
          <w:p w14:paraId="7E14BEB2" w14:textId="0A025B08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 xml:space="preserve">Документ </w:t>
            </w:r>
            <w:r w:rsidR="00796BD3" w:rsidRPr="0099131E">
              <w:rPr>
                <w:b/>
                <w:lang w:val="ru-RU"/>
              </w:rPr>
              <w:t>C23/</w:t>
            </w:r>
            <w:r w:rsidR="001368E6">
              <w:rPr>
                <w:b/>
                <w:lang w:val="ru-RU"/>
              </w:rPr>
              <w:t>1</w:t>
            </w:r>
            <w:r w:rsidR="009F6969">
              <w:rPr>
                <w:b/>
                <w:lang w:val="ru-RU"/>
              </w:rPr>
              <w:t>1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358D147" w:rsidR="00796BD3" w:rsidRPr="006F3216" w:rsidRDefault="001368E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en-US"/>
              </w:rPr>
            </w:pPr>
            <w:r>
              <w:rPr>
                <w:b/>
                <w:lang w:val="ru-RU"/>
              </w:rPr>
              <w:t>1</w:t>
            </w:r>
            <w:r w:rsidR="00D20D5D">
              <w:rPr>
                <w:b/>
                <w:lang w:val="ru-RU"/>
              </w:rPr>
              <w:t>6</w:t>
            </w:r>
            <w:r w:rsidR="00796BD3" w:rsidRPr="0099131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мая</w:t>
            </w:r>
            <w:r w:rsidR="00796BD3" w:rsidRPr="0099131E">
              <w:rPr>
                <w:b/>
                <w:lang w:val="ru-RU"/>
              </w:rPr>
              <w:t xml:space="preserve"> 2023</w:t>
            </w:r>
            <w:r>
              <w:rPr>
                <w:b/>
                <w:lang w:val="ru-RU"/>
              </w:rPr>
              <w:t> 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25FFC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64917EDB" w:rsidR="00796BD3" w:rsidRPr="00290586" w:rsidRDefault="00290586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90586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tr w:rsidR="00796BD3" w:rsidRPr="008B678C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4B7E7F3D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231249" w14:textId="38C14FF3" w:rsidR="00796BD3" w:rsidRPr="0099131E" w:rsidRDefault="00E50AA5" w:rsidP="0099131E">
            <w:pPr>
              <w:rPr>
                <w:lang w:val="ru-RU"/>
              </w:rPr>
            </w:pPr>
            <w:r>
              <w:rPr>
                <w:lang w:val="ru-RU"/>
              </w:rPr>
              <w:t xml:space="preserve">Полномочная конференция (Дубай, 2018 г.) поручила Генеральному секретарю ежегодно представлять Совету МСЭ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 любом случае несоблюдения согласованных условий погашения. </w:t>
            </w:r>
            <w:r w:rsidR="00641BD2">
              <w:rPr>
                <w:lang w:val="ru-RU"/>
              </w:rPr>
              <w:t>Ранее</w:t>
            </w:r>
            <w:r>
              <w:rPr>
                <w:lang w:val="ru-RU"/>
              </w:rPr>
              <w:t>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05813D22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48D9861" w14:textId="77777777" w:rsidR="00E50AA5" w:rsidRDefault="00E50AA5" w:rsidP="00E50AA5">
            <w:pPr>
              <w:rPr>
                <w:lang w:val="ru-RU"/>
              </w:rPr>
            </w:pPr>
            <w:r>
              <w:rPr>
                <w:lang w:val="ru-RU"/>
              </w:rPr>
              <w:t>Совету предлагается:</w:t>
            </w:r>
          </w:p>
          <w:p w14:paraId="171B8979" w14:textId="1151FBEB" w:rsidR="00E50AA5" w:rsidRDefault="00E50AA5" w:rsidP="00E50AA5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1)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принять</w:t>
            </w:r>
            <w:r>
              <w:rPr>
                <w:lang w:val="ru-RU"/>
              </w:rPr>
              <w:t xml:space="preserve"> </w:t>
            </w:r>
            <w:r w:rsidR="00641BD2">
              <w:rPr>
                <w:b/>
                <w:bCs/>
                <w:lang w:val="ru-RU"/>
              </w:rPr>
              <w:t>к сведению</w:t>
            </w:r>
            <w:r w:rsidR="00641B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настоящий документ;</w:t>
            </w:r>
          </w:p>
          <w:p w14:paraId="16759E55" w14:textId="74DF1E1F" w:rsidR="00E50AA5" w:rsidRDefault="00E50AA5" w:rsidP="00E50AA5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2)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уполномочить</w:t>
            </w:r>
            <w:r>
              <w:rPr>
                <w:lang w:val="ru-RU"/>
              </w:rPr>
              <w:t xml:space="preserve"> Генерального секретаря списать сумму в размере</w:t>
            </w:r>
            <w:r>
              <w:rPr>
                <w:b/>
                <w:bCs/>
                <w:lang w:val="ru-RU"/>
              </w:rPr>
              <w:t xml:space="preserve"> </w:t>
            </w:r>
            <w:r w:rsidRPr="00E50AA5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 </w:t>
            </w:r>
            <w:r w:rsidRPr="00E50AA5">
              <w:rPr>
                <w:b/>
                <w:bCs/>
                <w:lang w:val="ru-RU"/>
              </w:rPr>
              <w:t>969</w:t>
            </w:r>
            <w:r>
              <w:rPr>
                <w:b/>
                <w:bCs/>
                <w:lang w:val="ru-RU"/>
              </w:rPr>
              <w:t> </w:t>
            </w:r>
            <w:r w:rsidRPr="00E50AA5">
              <w:rPr>
                <w:b/>
                <w:bCs/>
                <w:lang w:val="ru-RU"/>
              </w:rPr>
              <w:t>139</w:t>
            </w:r>
            <w:r>
              <w:rPr>
                <w:b/>
                <w:bCs/>
                <w:lang w:val="ru-RU"/>
              </w:rPr>
              <w:t>,</w:t>
            </w:r>
            <w:r w:rsidRPr="00E50AA5">
              <w:rPr>
                <w:b/>
                <w:bCs/>
                <w:lang w:val="ru-RU"/>
              </w:rPr>
              <w:t>02</w:t>
            </w:r>
            <w:r w:rsidR="00C648B7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швейцарского франка</w:t>
            </w:r>
            <w:r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4A13072F" w14:textId="3947DF46" w:rsidR="00796BD3" w:rsidRPr="0099131E" w:rsidRDefault="00E50AA5" w:rsidP="00E50AA5">
            <w:pPr>
              <w:rPr>
                <w:lang w:val="ru-RU"/>
              </w:rPr>
            </w:pPr>
            <w:r>
              <w:rPr>
                <w:lang w:val="ru-RU"/>
              </w:rPr>
              <w:t>3)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принять</w:t>
            </w:r>
            <w:r>
              <w:rPr>
                <w:lang w:val="ru-RU"/>
              </w:rPr>
              <w:t xml:space="preserve"> проект Решения, содержащийся в Приложении В</w:t>
            </w:r>
            <w:r>
              <w:rPr>
                <w:rFonts w:cs="Calibri"/>
                <w:szCs w:val="24"/>
                <w:lang w:val="ru-RU"/>
              </w:rPr>
              <w:t>.</w:t>
            </w:r>
          </w:p>
          <w:p w14:paraId="57077B00" w14:textId="77777777" w:rsidR="00796BD3" w:rsidRPr="00D25FF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</w:t>
            </w:r>
            <w:r w:rsidRPr="00D25F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увязка</w:t>
            </w:r>
            <w:r w:rsidRPr="00D25F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со</w:t>
            </w:r>
            <w:r w:rsidRPr="00D25F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Стратегическим</w:t>
            </w:r>
            <w:r w:rsidRPr="00D25F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планом</w:t>
            </w:r>
          </w:p>
          <w:p w14:paraId="5506A28A" w14:textId="6D03E9DB" w:rsidR="00796BD3" w:rsidRPr="00290586" w:rsidRDefault="00290586" w:rsidP="006F3216">
            <w:pPr>
              <w:rPr>
                <w:lang w:val="ru-RU"/>
              </w:rPr>
            </w:pPr>
            <w:r w:rsidRPr="00290586">
              <w:rPr>
                <w:lang w:val="ru-RU"/>
              </w:rPr>
              <w:t>Финансовое управление задолженностью способствует реализации двух стратегических целей</w:t>
            </w:r>
            <w:r>
              <w:rPr>
                <w:lang w:val="ru-RU"/>
              </w:rPr>
              <w:t>, а также</w:t>
            </w:r>
            <w:r w:rsidRPr="00290586">
              <w:rPr>
                <w:lang w:val="ru-RU"/>
              </w:rPr>
              <w:t xml:space="preserve"> тематических приоритетов </w:t>
            </w:r>
            <w:r w:rsidR="00C648B7">
              <w:rPr>
                <w:lang w:val="ru-RU"/>
              </w:rPr>
              <w:t>С</w:t>
            </w:r>
            <w:r w:rsidRPr="00290586">
              <w:rPr>
                <w:lang w:val="ru-RU"/>
              </w:rPr>
              <w:t>тратегического плана.</w:t>
            </w:r>
          </w:p>
          <w:p w14:paraId="7A96656A" w14:textId="080C657F" w:rsidR="00796BD3" w:rsidRPr="00D25FF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</w:t>
            </w:r>
            <w:r w:rsidRPr="00D25F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последствия</w:t>
            </w:r>
          </w:p>
          <w:p w14:paraId="7EC23451" w14:textId="3378C4D4" w:rsidR="006F3216" w:rsidRPr="00BD6685" w:rsidRDefault="00290586" w:rsidP="0099131E">
            <w:pPr>
              <w:spacing w:before="160"/>
              <w:rPr>
                <w:szCs w:val="22"/>
                <w:lang w:val="ru-RU"/>
              </w:rPr>
            </w:pPr>
            <w:r w:rsidRPr="00BD6685">
              <w:rPr>
                <w:szCs w:val="22"/>
                <w:lang w:val="ru-RU"/>
              </w:rPr>
              <w:t>Списание процентов по просроченным платежам и безнадежных долг</w:t>
            </w:r>
            <w:r w:rsidR="00BD6685">
              <w:rPr>
                <w:szCs w:val="22"/>
                <w:lang w:val="ru-RU"/>
              </w:rPr>
              <w:t>ов</w:t>
            </w:r>
            <w:r w:rsidRPr="00BD6685">
              <w:rPr>
                <w:szCs w:val="22"/>
                <w:lang w:val="ru-RU"/>
              </w:rPr>
              <w:t xml:space="preserve"> в </w:t>
            </w:r>
            <w:r w:rsidR="00BD6685">
              <w:rPr>
                <w:szCs w:val="22"/>
                <w:lang w:val="ru-RU"/>
              </w:rPr>
              <w:t>сумме</w:t>
            </w:r>
            <w:r w:rsidRPr="00BD6685">
              <w:rPr>
                <w:szCs w:val="22"/>
                <w:lang w:val="ru-RU"/>
              </w:rPr>
              <w:t xml:space="preserve"> 2</w:t>
            </w:r>
            <w:r w:rsidR="00BD6685">
              <w:rPr>
                <w:szCs w:val="22"/>
                <w:lang w:val="ru-RU"/>
              </w:rPr>
              <w:t> </w:t>
            </w:r>
            <w:r w:rsidRPr="00BD6685">
              <w:rPr>
                <w:szCs w:val="22"/>
                <w:lang w:val="ru-RU"/>
              </w:rPr>
              <w:t>969</w:t>
            </w:r>
            <w:r w:rsidR="00BD6685">
              <w:rPr>
                <w:szCs w:val="22"/>
                <w:lang w:val="ru-RU"/>
              </w:rPr>
              <w:t> </w:t>
            </w:r>
            <w:r w:rsidRPr="00BD6685">
              <w:rPr>
                <w:szCs w:val="22"/>
                <w:lang w:val="ru-RU"/>
              </w:rPr>
              <w:t>139,02</w:t>
            </w:r>
            <w:r w:rsidR="00BD6685">
              <w:rPr>
                <w:szCs w:val="22"/>
                <w:lang w:val="ru-RU"/>
              </w:rPr>
              <w:t> </w:t>
            </w:r>
            <w:r w:rsidRPr="00BD6685">
              <w:rPr>
                <w:szCs w:val="22"/>
                <w:lang w:val="ru-RU"/>
              </w:rPr>
              <w:t>швейцарск</w:t>
            </w:r>
            <w:r w:rsidR="00BD6685">
              <w:rPr>
                <w:szCs w:val="22"/>
                <w:lang w:val="ru-RU"/>
              </w:rPr>
              <w:t>ого</w:t>
            </w:r>
            <w:r w:rsidRPr="00BD6685">
              <w:rPr>
                <w:szCs w:val="22"/>
                <w:lang w:val="ru-RU"/>
              </w:rPr>
              <w:t xml:space="preserve"> франк</w:t>
            </w:r>
            <w:r w:rsidR="00BD6685">
              <w:rPr>
                <w:szCs w:val="22"/>
                <w:lang w:val="ru-RU"/>
              </w:rPr>
              <w:t>а</w:t>
            </w:r>
            <w:r w:rsidRPr="00BD6685">
              <w:rPr>
                <w:szCs w:val="22"/>
                <w:lang w:val="ru-RU"/>
              </w:rPr>
              <w:t xml:space="preserve"> </w:t>
            </w:r>
            <w:r w:rsidR="00BD6685" w:rsidRPr="00BD6685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путем снятия соответствующей суммы из средств Резервного фонда для счетов должников.</w:t>
            </w:r>
          </w:p>
          <w:p w14:paraId="76BD992D" w14:textId="77777777" w:rsidR="00796BD3" w:rsidRPr="0099131E" w:rsidRDefault="00796BD3" w:rsidP="00190613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9131E">
              <w:rPr>
                <w:sz w:val="20"/>
                <w:szCs w:val="18"/>
                <w:lang w:val="ru-RU"/>
              </w:rPr>
              <w:t>__________________</w:t>
            </w:r>
          </w:p>
          <w:p w14:paraId="62AA5559" w14:textId="77777777" w:rsidR="00796BD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AB86F93" w14:textId="6921713F" w:rsidR="006F3216" w:rsidRPr="0099131E" w:rsidRDefault="008B678C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hyperlink r:id="rId8" w:history="1">
              <w:r w:rsidR="008164CE">
                <w:rPr>
                  <w:rStyle w:val="Hyperlink"/>
                  <w:i/>
                  <w:iCs/>
                  <w:lang w:val="ru-RU"/>
                </w:rPr>
                <w:t>У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169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hyperlink r:id="rId9" w:history="1">
              <w:r w:rsidR="008164CE">
                <w:rPr>
                  <w:rStyle w:val="Hyperlink"/>
                  <w:i/>
                  <w:iCs/>
                  <w:lang w:val="ru-RU"/>
                </w:rPr>
                <w:t>К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474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hyperlink r:id="rId10" w:history="1">
              <w:r w:rsidR="00FD54A4">
                <w:rPr>
                  <w:rStyle w:val="Hyperlink"/>
                  <w:i/>
                  <w:iCs/>
                  <w:lang w:val="ru-RU"/>
                </w:rPr>
                <w:t>Резолюции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 xml:space="preserve"> 41 (</w:t>
              </w:r>
              <w:r w:rsidR="00FD54A4">
                <w:rPr>
                  <w:rStyle w:val="Hyperlink"/>
                  <w:i/>
                  <w:iCs/>
                  <w:lang w:val="ru-RU"/>
                </w:rPr>
                <w:t>Пересм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FD54A4">
                <w:rPr>
                  <w:rStyle w:val="Hyperlink"/>
                  <w:i/>
                  <w:iCs/>
                  <w:lang w:val="ru-RU"/>
                </w:rPr>
                <w:t>Дубай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, 2018</w:t>
              </w:r>
              <w:r w:rsidR="00FD54A4">
                <w:rPr>
                  <w:rStyle w:val="Hyperlink"/>
                  <w:i/>
                  <w:iCs/>
                  <w:lang w:val="ru-RU"/>
                </w:rPr>
                <w:t> г.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8164CE">
              <w:rPr>
                <w:lang w:val="ru-RU"/>
              </w:rPr>
              <w:t xml:space="preserve"> и </w:t>
            </w:r>
            <w:hyperlink r:id="rId11" w:history="1">
              <w:r w:rsidR="00190613" w:rsidRPr="00641BD2">
                <w:rPr>
                  <w:rStyle w:val="Hyperlink"/>
                  <w:i/>
                  <w:iCs/>
                  <w:lang w:val="ru-RU"/>
                </w:rPr>
                <w:t>152 (</w:t>
              </w:r>
              <w:proofErr w:type="spellStart"/>
              <w:r w:rsidR="00190613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190613" w:rsidRPr="00641BD2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190613">
                <w:rPr>
                  <w:rStyle w:val="Hyperlink"/>
                  <w:i/>
                  <w:iCs/>
                  <w:lang w:val="ru-RU"/>
                </w:rPr>
                <w:t>Пусан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, 2014</w:t>
              </w:r>
              <w:r w:rsidR="00FD54A4">
                <w:rPr>
                  <w:rStyle w:val="Hyperlink"/>
                  <w:i/>
                  <w:iCs/>
                  <w:lang w:val="ru-RU"/>
                </w:rPr>
                <w:t> г.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190613" w:rsidRPr="00641BD2">
              <w:rPr>
                <w:rStyle w:val="Hyperlink"/>
                <w:i/>
                <w:iCs/>
                <w:lang w:val="ru-RU"/>
              </w:rPr>
              <w:t xml:space="preserve"> </w:t>
            </w:r>
            <w:r w:rsidR="00190613">
              <w:rPr>
                <w:rStyle w:val="Hyperlink"/>
                <w:i/>
                <w:iCs/>
                <w:lang w:val="ru-RU"/>
              </w:rPr>
              <w:t>Полномочной конференции</w:t>
            </w:r>
            <w:r w:rsidR="008164CE">
              <w:rPr>
                <w:lang w:val="ru-RU"/>
              </w:rPr>
              <w:t>;</w:t>
            </w:r>
            <w:r w:rsidR="008164CE">
              <w:rPr>
                <w:i/>
                <w:iCs/>
                <w:lang w:val="ru-RU"/>
              </w:rPr>
              <w:t xml:space="preserve"> </w:t>
            </w:r>
            <w:hyperlink r:id="rId12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99/27</w:t>
              </w:r>
            </w:hyperlink>
            <w:r w:rsidR="008164CE">
              <w:rPr>
                <w:lang w:val="ru-RU"/>
              </w:rPr>
              <w:t>,</w:t>
            </w:r>
            <w:r w:rsidR="008164CE">
              <w:rPr>
                <w:i/>
                <w:iCs/>
                <w:lang w:val="ru-RU"/>
              </w:rPr>
              <w:t xml:space="preserve"> </w:t>
            </w:r>
            <w:hyperlink r:id="rId13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14/26</w:t>
              </w:r>
            </w:hyperlink>
            <w:r w:rsidR="008164CE">
              <w:rPr>
                <w:lang w:val="ru-RU"/>
              </w:rPr>
              <w:t>,</w:t>
            </w:r>
            <w:r w:rsidR="008164CE">
              <w:rPr>
                <w:i/>
                <w:iCs/>
                <w:lang w:val="ru-RU"/>
              </w:rPr>
              <w:t xml:space="preserve"> </w:t>
            </w:r>
            <w:hyperlink r:id="rId14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15/50</w:t>
              </w:r>
            </w:hyperlink>
            <w:r w:rsidR="008164CE">
              <w:rPr>
                <w:lang w:val="ru-RU"/>
              </w:rPr>
              <w:t>,</w:t>
            </w:r>
            <w:r w:rsidR="008164CE">
              <w:rPr>
                <w:i/>
                <w:iCs/>
                <w:lang w:val="ru-RU"/>
              </w:rPr>
              <w:t xml:space="preserve"> </w:t>
            </w:r>
            <w:hyperlink r:id="rId15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16/42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lang w:val="ru-RU"/>
              </w:rPr>
              <w:t xml:space="preserve"> </w:t>
            </w:r>
            <w:hyperlink r:id="rId16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17/42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17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18/42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18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19/42</w:t>
              </w:r>
            </w:hyperlink>
            <w:r w:rsidR="008164CE">
              <w:rPr>
                <w:lang w:val="ru-RU"/>
              </w:rPr>
              <w:t>,</w:t>
            </w:r>
            <w:r w:rsidR="008164CE">
              <w:rPr>
                <w:i/>
                <w:iCs/>
                <w:lang w:val="ru-RU"/>
              </w:rPr>
              <w:t xml:space="preserve"> </w:t>
            </w:r>
            <w:hyperlink r:id="rId19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20/42</w:t>
              </w:r>
            </w:hyperlink>
            <w:r w:rsidR="008164CE">
              <w:rPr>
                <w:lang w:val="ru-RU"/>
              </w:rPr>
              <w:t>,</w:t>
            </w:r>
            <w:r w:rsidR="00190613" w:rsidRPr="00641BD2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20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21/42</w:t>
              </w:r>
            </w:hyperlink>
            <w:r w:rsidR="008164CE" w:rsidRPr="008164CE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r w:rsidR="008164CE">
              <w:rPr>
                <w:lang w:val="ru-RU"/>
              </w:rPr>
              <w:t xml:space="preserve">и </w:t>
            </w:r>
            <w:hyperlink r:id="rId21" w:history="1">
              <w:r w:rsidR="00190613" w:rsidRPr="009A00AB">
                <w:rPr>
                  <w:rStyle w:val="Hyperlink"/>
                  <w:i/>
                  <w:iCs/>
                  <w:lang w:val="en-US"/>
                </w:rPr>
                <w:t>C</w:t>
              </w:r>
              <w:r w:rsidR="00190613" w:rsidRPr="00641BD2">
                <w:rPr>
                  <w:rStyle w:val="Hyperlink"/>
                  <w:i/>
                  <w:iCs/>
                  <w:lang w:val="ru-RU"/>
                </w:rPr>
                <w:t>22/43</w:t>
              </w:r>
            </w:hyperlink>
          </w:p>
          <w:p w14:paraId="3B9916DE" w14:textId="55A799C0" w:rsidR="00796BD3" w:rsidRPr="0099131E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6EE8FEA4" w14:textId="0BBB2A59" w:rsidR="00105597" w:rsidRDefault="00165D06" w:rsidP="008D4915">
      <w:pPr>
        <w:pStyle w:val="Title1"/>
        <w:rPr>
          <w:lang w:val="ru-RU"/>
        </w:rPr>
      </w:pPr>
      <w:r w:rsidRPr="0099131E">
        <w:rPr>
          <w:lang w:val="ru-RU"/>
        </w:rPr>
        <w:br w:type="page"/>
      </w:r>
      <w:r w:rsidR="008D4915">
        <w:rPr>
          <w:lang w:val="ru-RU"/>
        </w:rPr>
        <w:lastRenderedPageBreak/>
        <w:t>Задолженности и специальные счета задолженностей</w:t>
      </w:r>
    </w:p>
    <w:p w14:paraId="7B7DD189" w14:textId="12DAB40E" w:rsidR="00105597" w:rsidRDefault="00105597" w:rsidP="00105597">
      <w:pPr>
        <w:pStyle w:val="Heading1"/>
        <w:rPr>
          <w:rFonts w:eastAsia="SimSun"/>
          <w:lang w:val="ru-RU"/>
        </w:rPr>
      </w:pPr>
      <w:r>
        <w:rPr>
          <w:rFonts w:eastAsia="SimSun"/>
          <w:lang w:val="ru-RU"/>
        </w:rPr>
        <w:t>1</w:t>
      </w:r>
      <w:r>
        <w:rPr>
          <w:rFonts w:eastAsia="SimSun"/>
          <w:lang w:val="ru-RU"/>
        </w:rPr>
        <w:tab/>
        <w:t>Состояние задолженностей и специальных счетов задолженностей на 31 декабря 2022 года</w:t>
      </w:r>
    </w:p>
    <w:p w14:paraId="24DC6DA1" w14:textId="213D0FEA" w:rsidR="00105597" w:rsidRDefault="00105597" w:rsidP="00105597">
      <w:pPr>
        <w:rPr>
          <w:rFonts w:eastAsia="SimSun"/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r w:rsidR="00C648B7">
        <w:rPr>
          <w:lang w:val="ru-RU"/>
        </w:rPr>
        <w:t>Динамика</w:t>
      </w:r>
      <w:r>
        <w:rPr>
          <w:lang w:val="ru-RU"/>
        </w:rPr>
        <w:t xml:space="preserve"> задолженностей и специальных счетов задолженностей </w:t>
      </w:r>
      <w:r w:rsidR="00BD6685">
        <w:rPr>
          <w:lang w:val="ru-RU"/>
        </w:rPr>
        <w:t>за период с</w:t>
      </w:r>
      <w:r w:rsidR="00F97CC6" w:rsidRPr="00F97CC6">
        <w:rPr>
          <w:lang w:val="ru-RU"/>
        </w:rPr>
        <w:t xml:space="preserve"> 2014</w:t>
      </w:r>
      <w:r w:rsidR="00BD6685">
        <w:rPr>
          <w:lang w:val="ru-RU"/>
        </w:rPr>
        <w:t> года</w:t>
      </w:r>
      <w:r w:rsidR="00F97CC6" w:rsidRPr="00F97CC6">
        <w:rPr>
          <w:lang w:val="ru-RU"/>
        </w:rPr>
        <w:t xml:space="preserve"> </w:t>
      </w:r>
      <w:r w:rsidR="00D25FFC">
        <w:rPr>
          <w:lang w:val="ru-RU"/>
        </w:rPr>
        <w:t>п</w:t>
      </w:r>
      <w:r w:rsidR="00BD6685">
        <w:rPr>
          <w:lang w:val="ru-RU"/>
        </w:rPr>
        <w:t xml:space="preserve">о </w:t>
      </w:r>
      <w:r>
        <w:rPr>
          <w:lang w:val="ru-RU"/>
        </w:rPr>
        <w:t>31 декабря 202</w:t>
      </w:r>
      <w:r w:rsidR="00F97CC6">
        <w:rPr>
          <w:lang w:val="ru-RU"/>
        </w:rPr>
        <w:t>2</w:t>
      </w:r>
      <w:r>
        <w:rPr>
          <w:lang w:val="ru-RU"/>
        </w:rPr>
        <w:t xml:space="preserve"> года </w:t>
      </w:r>
      <w:r w:rsidR="008E6391">
        <w:rPr>
          <w:lang w:val="ru-RU"/>
        </w:rPr>
        <w:t>представлен</w:t>
      </w:r>
      <w:r w:rsidR="00C648B7">
        <w:rPr>
          <w:lang w:val="ru-RU"/>
        </w:rPr>
        <w:t>а</w:t>
      </w:r>
      <w:r>
        <w:rPr>
          <w:lang w:val="ru-RU"/>
        </w:rPr>
        <w:t xml:space="preserve"> в Приложении А к настоящему документу.</w:t>
      </w:r>
    </w:p>
    <w:p w14:paraId="376692E1" w14:textId="6E41EB4E" w:rsidR="00105597" w:rsidRDefault="00105597" w:rsidP="00105597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D25FFC">
        <w:rPr>
          <w:lang w:val="ru-RU"/>
        </w:rPr>
        <w:t>Введенные</w:t>
      </w:r>
      <w:r>
        <w:rPr>
          <w:lang w:val="ru-RU"/>
        </w:rPr>
        <w:t xml:space="preserve"> санкции и</w:t>
      </w:r>
      <w:r w:rsidR="00D25FFC">
        <w:rPr>
          <w:lang w:val="ru-RU"/>
        </w:rPr>
        <w:t xml:space="preserve"> предпринятые </w:t>
      </w:r>
      <w:r>
        <w:rPr>
          <w:lang w:val="ru-RU"/>
        </w:rPr>
        <w:t>усилия</w:t>
      </w:r>
      <w:r w:rsidR="00D25FFC">
        <w:rPr>
          <w:lang w:val="ru-RU"/>
        </w:rPr>
        <w:t xml:space="preserve"> для</w:t>
      </w:r>
      <w:r>
        <w:rPr>
          <w:lang w:val="ru-RU"/>
        </w:rPr>
        <w:t xml:space="preserve"> взыскани</w:t>
      </w:r>
      <w:r w:rsidR="00D25FFC">
        <w:rPr>
          <w:lang w:val="ru-RU"/>
        </w:rPr>
        <w:t>я</w:t>
      </w:r>
      <w:r>
        <w:rPr>
          <w:lang w:val="ru-RU"/>
        </w:rPr>
        <w:t xml:space="preserve"> причитающихся сумм и списани</w:t>
      </w:r>
      <w:r w:rsidR="00BD7F88">
        <w:rPr>
          <w:lang w:val="ru-RU"/>
        </w:rPr>
        <w:t>я</w:t>
      </w:r>
      <w:r>
        <w:rPr>
          <w:lang w:val="ru-RU"/>
        </w:rPr>
        <w:t xml:space="preserve"> безвозвратных долгов позволили замедлить рост задолженностей и добиться заметного и постоянного сокращения объема задолженностей в период между </w:t>
      </w:r>
      <w:r w:rsidR="00F97CC6" w:rsidRPr="00F97CC6">
        <w:rPr>
          <w:lang w:val="ru-RU"/>
        </w:rPr>
        <w:t xml:space="preserve">2015 </w:t>
      </w:r>
      <w:r w:rsidR="00BD7F88">
        <w:rPr>
          <w:lang w:val="ru-RU"/>
        </w:rPr>
        <w:t>и</w:t>
      </w:r>
      <w:r w:rsidR="00F97CC6" w:rsidRPr="00F97CC6">
        <w:rPr>
          <w:lang w:val="ru-RU"/>
        </w:rPr>
        <w:t xml:space="preserve"> 2022</w:t>
      </w:r>
      <w:r w:rsidR="00F97CC6">
        <w:rPr>
          <w:lang w:val="ru-RU"/>
        </w:rPr>
        <w:t> годами</w:t>
      </w:r>
      <w:r w:rsidR="00F97CC6" w:rsidRPr="00F97CC6">
        <w:rPr>
          <w:lang w:val="ru-RU"/>
        </w:rPr>
        <w:t xml:space="preserve"> (</w:t>
      </w:r>
      <w:r w:rsidR="00F97CC6">
        <w:rPr>
          <w:lang w:val="ru-RU"/>
        </w:rPr>
        <w:t>см. Приложение</w:t>
      </w:r>
      <w:r w:rsidR="00F97CC6" w:rsidRPr="00641BD2">
        <w:t> A</w:t>
      </w:r>
      <w:r w:rsidR="00F97CC6" w:rsidRPr="008B678C">
        <w:rPr>
          <w:lang w:val="ru-RU"/>
        </w:rPr>
        <w:t xml:space="preserve">). </w:t>
      </w:r>
      <w:r w:rsidR="00D25FFC">
        <w:rPr>
          <w:lang w:val="ru-RU"/>
        </w:rPr>
        <w:t>Коэффициент</w:t>
      </w:r>
      <w:r w:rsidR="00D25FFC" w:rsidRPr="00D25FFC">
        <w:rPr>
          <w:lang w:val="ru-RU"/>
        </w:rPr>
        <w:t xml:space="preserve"> </w:t>
      </w:r>
      <w:r w:rsidR="00D25FFC">
        <w:rPr>
          <w:lang w:val="ru-RU"/>
        </w:rPr>
        <w:t>взыскания</w:t>
      </w:r>
      <w:r w:rsidR="00D25FFC" w:rsidRPr="00D25FFC">
        <w:rPr>
          <w:lang w:val="ru-RU"/>
        </w:rPr>
        <w:t xml:space="preserve"> </w:t>
      </w:r>
      <w:r w:rsidR="00D25FFC">
        <w:rPr>
          <w:lang w:val="ru-RU"/>
        </w:rPr>
        <w:t>составил</w:t>
      </w:r>
      <w:r w:rsidR="00D25FFC" w:rsidRPr="00D25FFC">
        <w:rPr>
          <w:lang w:val="ru-RU"/>
        </w:rPr>
        <w:t xml:space="preserve"> </w:t>
      </w:r>
      <w:r w:rsidR="00F97CC6" w:rsidRPr="00D25FFC">
        <w:rPr>
          <w:lang w:val="ru-RU"/>
        </w:rPr>
        <w:t>14</w:t>
      </w:r>
      <w:r w:rsidR="008D4915" w:rsidRPr="00D25FFC">
        <w:rPr>
          <w:lang w:val="ru-RU"/>
        </w:rPr>
        <w:t>%</w:t>
      </w:r>
      <w:r w:rsidR="00F97CC6" w:rsidRPr="00D25FFC">
        <w:rPr>
          <w:lang w:val="ru-RU"/>
        </w:rPr>
        <w:t xml:space="preserve"> </w:t>
      </w:r>
      <w:r w:rsidR="00D25FFC">
        <w:rPr>
          <w:lang w:val="ru-RU"/>
        </w:rPr>
        <w:t>в</w:t>
      </w:r>
      <w:r w:rsidR="00F97CC6" w:rsidRPr="00D25FFC">
        <w:rPr>
          <w:lang w:val="ru-RU"/>
        </w:rPr>
        <w:t xml:space="preserve"> 2022</w:t>
      </w:r>
      <w:r w:rsidR="00F97CC6" w:rsidRPr="00641BD2">
        <w:t> </w:t>
      </w:r>
      <w:r w:rsidR="00F97CC6">
        <w:rPr>
          <w:lang w:val="ru-RU"/>
        </w:rPr>
        <w:t>году</w:t>
      </w:r>
      <w:r w:rsidR="00F97CC6" w:rsidRPr="00D25FFC">
        <w:rPr>
          <w:lang w:val="ru-RU"/>
        </w:rPr>
        <w:t xml:space="preserve"> </w:t>
      </w:r>
      <w:r w:rsidR="00D25FFC">
        <w:rPr>
          <w:lang w:val="ru-RU"/>
        </w:rPr>
        <w:t>по сравнению</w:t>
      </w:r>
      <w:r w:rsidR="00F97CC6" w:rsidRPr="00D25FFC">
        <w:rPr>
          <w:lang w:val="ru-RU"/>
        </w:rPr>
        <w:t xml:space="preserve"> </w:t>
      </w:r>
      <w:r w:rsidR="00D25FFC">
        <w:rPr>
          <w:lang w:val="ru-RU"/>
        </w:rPr>
        <w:t xml:space="preserve">с </w:t>
      </w:r>
      <w:r w:rsidR="00F97CC6" w:rsidRPr="00D25FFC">
        <w:rPr>
          <w:lang w:val="ru-RU"/>
        </w:rPr>
        <w:t>7</w:t>
      </w:r>
      <w:r w:rsidR="008D4915" w:rsidRPr="00D25FFC">
        <w:rPr>
          <w:lang w:val="ru-RU"/>
        </w:rPr>
        <w:t>%</w:t>
      </w:r>
      <w:r w:rsidR="00D25FFC">
        <w:rPr>
          <w:lang w:val="ru-RU"/>
        </w:rPr>
        <w:t xml:space="preserve"> в</w:t>
      </w:r>
      <w:r w:rsidR="00F97CC6" w:rsidRPr="00D25FFC">
        <w:rPr>
          <w:lang w:val="ru-RU"/>
        </w:rPr>
        <w:t xml:space="preserve"> 2021</w:t>
      </w:r>
      <w:r w:rsidR="00F97CC6" w:rsidRPr="00641BD2">
        <w:t> </w:t>
      </w:r>
      <w:r w:rsidR="00F97CC6">
        <w:rPr>
          <w:lang w:val="ru-RU"/>
        </w:rPr>
        <w:t>году</w:t>
      </w:r>
      <w:r w:rsidR="008D4915" w:rsidRPr="00D25FFC">
        <w:rPr>
          <w:lang w:val="ru-RU"/>
        </w:rPr>
        <w:t xml:space="preserve"> </w:t>
      </w:r>
      <w:r w:rsidR="00F97CC6" w:rsidRPr="00D25FFC">
        <w:rPr>
          <w:lang w:val="ru-RU"/>
        </w:rPr>
        <w:t>(</w:t>
      </w:r>
      <w:r w:rsidR="00D25FFC">
        <w:rPr>
          <w:lang w:val="ru-RU"/>
        </w:rPr>
        <w:t>уплаченные суммы, под которые были созданы резервы</w:t>
      </w:r>
      <w:r w:rsidR="00F97CC6" w:rsidRPr="00D25FFC">
        <w:rPr>
          <w:lang w:val="ru-RU"/>
        </w:rPr>
        <w:t xml:space="preserve">). </w:t>
      </w:r>
      <w:r w:rsidR="00BD7F88">
        <w:rPr>
          <w:lang w:val="ru-RU"/>
        </w:rPr>
        <w:t>Вследствие этого</w:t>
      </w:r>
      <w:r>
        <w:rPr>
          <w:lang w:val="ru-RU"/>
        </w:rPr>
        <w:t>, общая сумма задолженностей, специальных счетов задолженностей и аннулированных специальных счетов задолженностей сократилась с 5</w:t>
      </w:r>
      <w:r w:rsidR="00F97CC6">
        <w:rPr>
          <w:lang w:val="ru-RU"/>
        </w:rPr>
        <w:t>1</w:t>
      </w:r>
      <w:r>
        <w:rPr>
          <w:lang w:val="ru-RU"/>
        </w:rPr>
        <w:t>,</w:t>
      </w:r>
      <w:r w:rsidR="00F97CC6">
        <w:rPr>
          <w:lang w:val="ru-RU"/>
        </w:rPr>
        <w:t>7</w:t>
      </w:r>
      <w:r>
        <w:rPr>
          <w:lang w:val="ru-RU"/>
        </w:rPr>
        <w:t> млн. швейцарских франков по состоянию на 31 декабря 201</w:t>
      </w:r>
      <w:r w:rsidR="00F97CC6">
        <w:rPr>
          <w:lang w:val="ru-RU"/>
        </w:rPr>
        <w:t>5</w:t>
      </w:r>
      <w:r>
        <w:rPr>
          <w:lang w:val="ru-RU"/>
        </w:rPr>
        <w:t> года до 3</w:t>
      </w:r>
      <w:r w:rsidR="00F97CC6">
        <w:rPr>
          <w:lang w:val="ru-RU"/>
        </w:rPr>
        <w:t>4</w:t>
      </w:r>
      <w:r>
        <w:rPr>
          <w:lang w:val="ru-RU"/>
        </w:rPr>
        <w:t>,</w:t>
      </w:r>
      <w:r w:rsidR="00F97CC6">
        <w:rPr>
          <w:lang w:val="ru-RU"/>
        </w:rPr>
        <w:t>1</w:t>
      </w:r>
      <w:r>
        <w:rPr>
          <w:lang w:val="ru-RU"/>
        </w:rPr>
        <w:t> млн. швейцарских франков на 31 декабря 202</w:t>
      </w:r>
      <w:r w:rsidR="00F97CC6">
        <w:rPr>
          <w:lang w:val="ru-RU"/>
        </w:rPr>
        <w:t>2</w:t>
      </w:r>
      <w:r>
        <w:rPr>
          <w:lang w:val="ru-RU"/>
        </w:rPr>
        <w:t xml:space="preserve"> года, т. е. уменьшилась на </w:t>
      </w:r>
      <w:r w:rsidR="00F97CC6">
        <w:rPr>
          <w:lang w:val="ru-RU"/>
        </w:rPr>
        <w:t>34</w:t>
      </w:r>
      <w:r>
        <w:rPr>
          <w:lang w:val="ru-RU"/>
        </w:rPr>
        <w:t>%.</w:t>
      </w:r>
    </w:p>
    <w:p w14:paraId="751D8FF6" w14:textId="799BC042" w:rsidR="00105597" w:rsidRPr="00BD7F88" w:rsidRDefault="00105597" w:rsidP="00105597">
      <w:pPr>
        <w:rPr>
          <w:lang w:val="ru-RU"/>
        </w:rPr>
      </w:pPr>
      <w:r w:rsidRPr="00BD7F88">
        <w:rPr>
          <w:lang w:val="ru-RU"/>
        </w:rPr>
        <w:t>1.3</w:t>
      </w:r>
      <w:r w:rsidRPr="00BD7F88">
        <w:rPr>
          <w:lang w:val="ru-RU"/>
        </w:rPr>
        <w:tab/>
      </w:r>
      <w:r w:rsidR="00BD7F88">
        <w:rPr>
          <w:lang w:val="ru-RU"/>
        </w:rPr>
        <w:t>Обращаем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внимание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также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на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улучшение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состояния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задолженностей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за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последний</w:t>
      </w:r>
      <w:r w:rsidR="00BD7F88" w:rsidRPr="00BD7F88">
        <w:rPr>
          <w:lang w:val="ru-RU"/>
        </w:rPr>
        <w:t xml:space="preserve"> </w:t>
      </w:r>
      <w:r w:rsidR="00BD7F88">
        <w:rPr>
          <w:lang w:val="ru-RU"/>
        </w:rPr>
        <w:t>год</w:t>
      </w:r>
      <w:r w:rsidR="00F97CC6" w:rsidRPr="00BD7F88">
        <w:rPr>
          <w:lang w:val="ru-RU"/>
        </w:rPr>
        <w:t xml:space="preserve">. </w:t>
      </w:r>
      <w:r w:rsidR="00BD7F88">
        <w:rPr>
          <w:lang w:val="ru-RU"/>
        </w:rPr>
        <w:t>На</w:t>
      </w:r>
      <w:r w:rsidR="00F97CC6" w:rsidRPr="00BD7F88">
        <w:rPr>
          <w:lang w:val="ru-RU"/>
        </w:rPr>
        <w:t xml:space="preserve"> 31</w:t>
      </w:r>
      <w:r w:rsidR="00F97CC6" w:rsidRPr="00D64F84">
        <w:rPr>
          <w:lang w:val="en-US"/>
        </w:rPr>
        <w:t> </w:t>
      </w:r>
      <w:r w:rsidR="003A6F2A">
        <w:rPr>
          <w:lang w:val="ru-RU"/>
        </w:rPr>
        <w:t>декабря</w:t>
      </w:r>
      <w:r w:rsidR="00F97CC6" w:rsidRPr="00BD7F88">
        <w:rPr>
          <w:lang w:val="ru-RU"/>
        </w:rPr>
        <w:t xml:space="preserve"> 2021</w:t>
      </w:r>
      <w:r w:rsidR="003A6F2A" w:rsidRPr="00641BD2">
        <w:t> </w:t>
      </w:r>
      <w:r w:rsidR="003A6F2A">
        <w:rPr>
          <w:lang w:val="ru-RU"/>
        </w:rPr>
        <w:t>года</w:t>
      </w:r>
      <w:r w:rsidR="00BD7F88">
        <w:rPr>
          <w:lang w:val="ru-RU"/>
        </w:rPr>
        <w:t xml:space="preserve"> общая сумма задолженностей составила</w:t>
      </w:r>
      <w:r w:rsidR="00F97CC6" w:rsidRPr="00BD7F88">
        <w:rPr>
          <w:lang w:val="ru-RU"/>
        </w:rPr>
        <w:t xml:space="preserve"> 39</w:t>
      </w:r>
      <w:r w:rsidR="003A6F2A" w:rsidRPr="00BD7F88">
        <w:rPr>
          <w:lang w:val="ru-RU"/>
        </w:rPr>
        <w:t>,</w:t>
      </w:r>
      <w:r w:rsidR="00F97CC6" w:rsidRPr="00BD7F88">
        <w:rPr>
          <w:lang w:val="ru-RU"/>
        </w:rPr>
        <w:t>9</w:t>
      </w:r>
      <w:r w:rsidR="00BD7F88">
        <w:rPr>
          <w:lang w:val="ru-RU"/>
        </w:rPr>
        <w:t> </w:t>
      </w:r>
      <w:r w:rsidR="003A6F2A">
        <w:rPr>
          <w:lang w:val="ru-RU"/>
        </w:rPr>
        <w:t>млн</w:t>
      </w:r>
      <w:r w:rsidR="003A6F2A" w:rsidRPr="00BD7F88">
        <w:rPr>
          <w:lang w:val="ru-RU"/>
        </w:rPr>
        <w:t xml:space="preserve">. </w:t>
      </w:r>
      <w:r w:rsidR="003A6F2A">
        <w:rPr>
          <w:lang w:val="ru-RU"/>
        </w:rPr>
        <w:t>швейцарских</w:t>
      </w:r>
      <w:r w:rsidR="003A6F2A" w:rsidRPr="00BD7F88">
        <w:rPr>
          <w:lang w:val="ru-RU"/>
        </w:rPr>
        <w:t xml:space="preserve"> </w:t>
      </w:r>
      <w:r w:rsidR="003A6F2A">
        <w:rPr>
          <w:lang w:val="ru-RU"/>
        </w:rPr>
        <w:t>франков</w:t>
      </w:r>
      <w:r w:rsidR="003A6F2A" w:rsidRPr="00BD7F88">
        <w:rPr>
          <w:lang w:val="ru-RU"/>
        </w:rPr>
        <w:t xml:space="preserve"> </w:t>
      </w:r>
      <w:r w:rsidR="00BD7F88">
        <w:rPr>
          <w:lang w:val="ru-RU"/>
        </w:rPr>
        <w:t xml:space="preserve">по сравнению с </w:t>
      </w:r>
      <w:r w:rsidR="00F97CC6" w:rsidRPr="00BD7F88">
        <w:rPr>
          <w:lang w:val="ru-RU"/>
        </w:rPr>
        <w:t>34</w:t>
      </w:r>
      <w:r w:rsidR="003A6F2A" w:rsidRPr="00BD7F88">
        <w:rPr>
          <w:lang w:val="ru-RU"/>
        </w:rPr>
        <w:t>,</w:t>
      </w:r>
      <w:r w:rsidR="00F97CC6" w:rsidRPr="00BD7F88">
        <w:rPr>
          <w:lang w:val="ru-RU"/>
        </w:rPr>
        <w:t>1</w:t>
      </w:r>
      <w:r w:rsidR="00F97CC6">
        <w:rPr>
          <w:lang w:val="en-US"/>
        </w:rPr>
        <w:t> </w:t>
      </w:r>
      <w:r w:rsidR="003A6F2A">
        <w:rPr>
          <w:lang w:val="ru-RU"/>
        </w:rPr>
        <w:t>млн</w:t>
      </w:r>
      <w:r w:rsidR="003A6F2A" w:rsidRPr="00BD7F88">
        <w:rPr>
          <w:lang w:val="ru-RU"/>
        </w:rPr>
        <w:t xml:space="preserve">. </w:t>
      </w:r>
      <w:r w:rsidR="003A6F2A">
        <w:rPr>
          <w:lang w:val="ru-RU"/>
        </w:rPr>
        <w:t>швейцарских</w:t>
      </w:r>
      <w:r w:rsidR="003A6F2A" w:rsidRPr="00BD7F88">
        <w:rPr>
          <w:lang w:val="ru-RU"/>
        </w:rPr>
        <w:t xml:space="preserve"> </w:t>
      </w:r>
      <w:r w:rsidR="003A6F2A">
        <w:rPr>
          <w:lang w:val="ru-RU"/>
        </w:rPr>
        <w:t>франков</w:t>
      </w:r>
      <w:r w:rsidR="00F97CC6" w:rsidRPr="00BD7F88">
        <w:rPr>
          <w:lang w:val="ru-RU"/>
        </w:rPr>
        <w:t xml:space="preserve"> </w:t>
      </w:r>
      <w:r w:rsidR="00BD7F88">
        <w:rPr>
          <w:lang w:val="ru-RU"/>
        </w:rPr>
        <w:t>на</w:t>
      </w:r>
      <w:r w:rsidR="00F97CC6" w:rsidRPr="00BD7F88">
        <w:rPr>
          <w:lang w:val="ru-RU"/>
        </w:rPr>
        <w:t xml:space="preserve"> 31</w:t>
      </w:r>
      <w:r w:rsidR="00BD7F88">
        <w:rPr>
          <w:lang w:val="ru-RU"/>
        </w:rPr>
        <w:t> </w:t>
      </w:r>
      <w:r w:rsidR="003A6F2A">
        <w:rPr>
          <w:lang w:val="ru-RU"/>
        </w:rPr>
        <w:t>декабря</w:t>
      </w:r>
      <w:r w:rsidR="00F97CC6" w:rsidRPr="00BD7F88">
        <w:rPr>
          <w:lang w:val="ru-RU"/>
        </w:rPr>
        <w:t xml:space="preserve"> 2022</w:t>
      </w:r>
      <w:r w:rsidR="003A6F2A" w:rsidRPr="00641BD2">
        <w:t> </w:t>
      </w:r>
      <w:r w:rsidR="003A6F2A">
        <w:rPr>
          <w:lang w:val="ru-RU"/>
        </w:rPr>
        <w:t>года</w:t>
      </w:r>
      <w:r w:rsidR="00F97CC6" w:rsidRPr="00BD7F88">
        <w:rPr>
          <w:lang w:val="ru-RU"/>
        </w:rPr>
        <w:t xml:space="preserve">, </w:t>
      </w:r>
      <w:r w:rsidR="00BD7F88">
        <w:rPr>
          <w:lang w:val="ru-RU"/>
        </w:rPr>
        <w:t xml:space="preserve">что представляет собой уменьшение на </w:t>
      </w:r>
      <w:r w:rsidR="00F97CC6" w:rsidRPr="00BD7F88">
        <w:rPr>
          <w:lang w:val="ru-RU"/>
        </w:rPr>
        <w:t>15</w:t>
      </w:r>
      <w:r w:rsidR="003A6F2A" w:rsidRPr="00BD7F88">
        <w:rPr>
          <w:lang w:val="ru-RU"/>
        </w:rPr>
        <w:t>%</w:t>
      </w:r>
      <w:r w:rsidR="00F97CC6" w:rsidRPr="00BD7F88">
        <w:rPr>
          <w:lang w:val="ru-RU"/>
        </w:rPr>
        <w:t>.</w:t>
      </w:r>
    </w:p>
    <w:p w14:paraId="0A28C27D" w14:textId="5192515D" w:rsidR="00105597" w:rsidRDefault="00105597" w:rsidP="00105597">
      <w:pPr>
        <w:pStyle w:val="Heading1"/>
        <w:numPr>
          <w:ilvl w:val="0"/>
          <w:numId w:val="3"/>
        </w:numPr>
        <w:tabs>
          <w:tab w:val="clear" w:pos="795"/>
          <w:tab w:val="num" w:pos="360"/>
          <w:tab w:val="left" w:pos="794"/>
        </w:tabs>
        <w:ind w:left="360" w:hanging="360"/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r w:rsidR="008B678C">
        <w:fldChar w:fldCharType="begin"/>
      </w:r>
      <w:r w:rsidR="008B678C">
        <w:instrText>HYPERLINK</w:instrText>
      </w:r>
      <w:r w:rsidR="008B678C" w:rsidRPr="008B678C">
        <w:rPr>
          <w:lang w:val="ru-RU"/>
        </w:rPr>
        <w:instrText xml:space="preserve"> "</w:instrText>
      </w:r>
      <w:r w:rsidR="008B678C">
        <w:instrText>https</w:instrText>
      </w:r>
      <w:r w:rsidR="008B678C" w:rsidRPr="008B678C">
        <w:rPr>
          <w:lang w:val="ru-RU"/>
        </w:rPr>
        <w:instrText>://</w:instrText>
      </w:r>
      <w:r w:rsidR="008B678C">
        <w:instrText>www</w:instrText>
      </w:r>
      <w:r w:rsidR="008B678C" w:rsidRPr="008B678C">
        <w:rPr>
          <w:lang w:val="ru-RU"/>
        </w:rPr>
        <w:instrText>.</w:instrText>
      </w:r>
      <w:r w:rsidR="008B678C">
        <w:instrText>itu</w:instrText>
      </w:r>
      <w:r w:rsidR="008B678C" w:rsidRPr="008B678C">
        <w:rPr>
          <w:lang w:val="ru-RU"/>
        </w:rPr>
        <w:instrText>.</w:instrText>
      </w:r>
      <w:r w:rsidR="008B678C">
        <w:instrText>int</w:instrText>
      </w:r>
      <w:r w:rsidR="008B678C" w:rsidRPr="008B678C">
        <w:rPr>
          <w:lang w:val="ru-RU"/>
        </w:rPr>
        <w:instrText>/</w:instrText>
      </w:r>
      <w:r w:rsidR="008B678C">
        <w:instrText>en</w:instrText>
      </w:r>
      <w:r w:rsidR="008B678C" w:rsidRPr="008B678C">
        <w:rPr>
          <w:lang w:val="ru-RU"/>
        </w:rPr>
        <w:instrText>/</w:instrText>
      </w:r>
      <w:r w:rsidR="008B678C">
        <w:instrText>council</w:instrText>
      </w:r>
      <w:r w:rsidR="008B678C" w:rsidRPr="008B678C">
        <w:rPr>
          <w:lang w:val="ru-RU"/>
        </w:rPr>
        <w:instrText>/</w:instrText>
      </w:r>
      <w:r w:rsidR="008B678C">
        <w:instrText>Documents</w:instrText>
      </w:r>
      <w:r w:rsidR="008B678C" w:rsidRPr="008B678C">
        <w:rPr>
          <w:lang w:val="ru-RU"/>
        </w:rPr>
        <w:instrText>/</w:instrText>
      </w:r>
      <w:r w:rsidR="008B678C">
        <w:instrText>basic</w:instrText>
      </w:r>
      <w:r w:rsidR="008B678C" w:rsidRPr="008B678C">
        <w:rPr>
          <w:lang w:val="ru-RU"/>
        </w:rPr>
        <w:instrText>-</w:instrText>
      </w:r>
      <w:r w:rsidR="008B678C">
        <w:instrText>texts</w:instrText>
      </w:r>
      <w:r w:rsidR="008B678C" w:rsidRPr="008B678C">
        <w:rPr>
          <w:lang w:val="ru-RU"/>
        </w:rPr>
        <w:instrText>-2023/</w:instrText>
      </w:r>
      <w:r w:rsidR="008B678C">
        <w:instrText>RES</w:instrText>
      </w:r>
      <w:r w:rsidR="008B678C" w:rsidRPr="008B678C">
        <w:rPr>
          <w:lang w:val="ru-RU"/>
        </w:rPr>
        <w:instrText>-041-</w:instrText>
      </w:r>
      <w:r w:rsidR="008B678C">
        <w:instrText>R</w:instrText>
      </w:r>
      <w:r w:rsidR="008B678C" w:rsidRPr="008B678C">
        <w:rPr>
          <w:lang w:val="ru-RU"/>
        </w:rPr>
        <w:instrText>.</w:instrText>
      </w:r>
      <w:r w:rsidR="008B678C">
        <w:instrText>pdf</w:instrText>
      </w:r>
      <w:r w:rsidR="008B678C" w:rsidRPr="008B678C">
        <w:rPr>
          <w:lang w:val="ru-RU"/>
        </w:rPr>
        <w:instrText>"</w:instrText>
      </w:r>
      <w:r w:rsidR="008B678C">
        <w:fldChar w:fldCharType="separate"/>
      </w:r>
      <w:r>
        <w:rPr>
          <w:rStyle w:val="Hyperlink"/>
          <w:rFonts w:eastAsia="SimSun"/>
          <w:lang w:val="ru-RU"/>
        </w:rPr>
        <w:t>Резолюции 41 (</w:t>
      </w:r>
      <w:proofErr w:type="spellStart"/>
      <w:r>
        <w:rPr>
          <w:rStyle w:val="Hyperlink"/>
          <w:rFonts w:eastAsia="SimSun"/>
          <w:lang w:val="ru-RU"/>
        </w:rPr>
        <w:t>Пересм</w:t>
      </w:r>
      <w:proofErr w:type="spellEnd"/>
      <w:r>
        <w:rPr>
          <w:rStyle w:val="Hyperlink"/>
          <w:rFonts w:eastAsia="SimSun"/>
          <w:lang w:val="ru-RU"/>
        </w:rPr>
        <w:t>. Дубай, 2018 г.</w:t>
      </w:r>
      <w:r w:rsidR="003A6F2A">
        <w:rPr>
          <w:rStyle w:val="Hyperlink"/>
          <w:rFonts w:eastAsia="SimSun"/>
          <w:lang w:val="ru-RU"/>
        </w:rPr>
        <w:t>) Полномочной конференции</w:t>
      </w:r>
      <w:r w:rsidR="008B678C">
        <w:rPr>
          <w:rStyle w:val="Hyperlink"/>
          <w:rFonts w:eastAsia="SimSun"/>
          <w:lang w:val="ru-RU"/>
        </w:rPr>
        <w:fldChar w:fldCharType="end"/>
      </w:r>
    </w:p>
    <w:p w14:paraId="58B9DB19" w14:textId="5D859E6C" w:rsidR="00105597" w:rsidRDefault="00105597" w:rsidP="00105597">
      <w:pPr>
        <w:rPr>
          <w:rFonts w:eastAsia="SimSun"/>
          <w:lang w:val="ru-RU" w:eastAsia="zh-CN"/>
        </w:rPr>
      </w:pPr>
      <w:r>
        <w:rPr>
          <w:lang w:val="ru-RU" w:eastAsia="zh-CN"/>
        </w:rPr>
        <w:t>2.1</w:t>
      </w:r>
      <w:r>
        <w:rPr>
          <w:lang w:val="ru-RU" w:eastAsia="zh-CN"/>
        </w:rPr>
        <w:tab/>
      </w:r>
      <w:r>
        <w:rPr>
          <w:lang w:val="ru-RU"/>
        </w:rPr>
        <w:t>Согласно п.</w:t>
      </w:r>
      <w:r w:rsidR="00521B5C">
        <w:rPr>
          <w:lang w:val="ru-RU"/>
        </w:rPr>
        <w:t> </w:t>
      </w:r>
      <w:r>
        <w:rPr>
          <w:lang w:val="ru-RU"/>
        </w:rPr>
        <w:t>169 (Статья 28) Устава</w:t>
      </w:r>
      <w:r w:rsidR="003A6F2A">
        <w:rPr>
          <w:lang w:val="ru-RU"/>
        </w:rPr>
        <w:t xml:space="preserve"> МСЭ</w:t>
      </w:r>
      <w:r>
        <w:rPr>
          <w:lang w:val="ru-RU"/>
        </w:rPr>
        <w:t xml:space="preserve"> "</w:t>
      </w:r>
      <w:r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>
        <w:rPr>
          <w:lang w:val="ru-RU"/>
        </w:rPr>
        <w:t>".</w:t>
      </w:r>
      <w:r w:rsidR="003A6F2A">
        <w:rPr>
          <w:lang w:val="ru-RU"/>
        </w:rPr>
        <w:t xml:space="preserve"> </w:t>
      </w:r>
      <w:r w:rsidR="00F72101">
        <w:rPr>
          <w:lang w:val="ru-RU"/>
        </w:rPr>
        <w:t>В соответствии с Резолюцией </w:t>
      </w:r>
      <w:r w:rsidR="003A6F2A" w:rsidRPr="008B678C">
        <w:rPr>
          <w:lang w:val="ru-RU"/>
        </w:rPr>
        <w:t>41 (</w:t>
      </w:r>
      <w:proofErr w:type="spellStart"/>
      <w:r w:rsidR="00B008A1">
        <w:rPr>
          <w:lang w:val="ru-RU"/>
        </w:rPr>
        <w:t>Пересм</w:t>
      </w:r>
      <w:proofErr w:type="spellEnd"/>
      <w:r w:rsidR="003A6F2A" w:rsidRPr="008B678C">
        <w:rPr>
          <w:lang w:val="ru-RU"/>
        </w:rPr>
        <w:t xml:space="preserve">. </w:t>
      </w:r>
      <w:r w:rsidR="00B008A1">
        <w:rPr>
          <w:lang w:val="ru-RU"/>
        </w:rPr>
        <w:t>Дубай</w:t>
      </w:r>
      <w:r w:rsidR="003A6F2A" w:rsidRPr="008B678C">
        <w:rPr>
          <w:lang w:val="ru-RU"/>
        </w:rPr>
        <w:t>, 2018</w:t>
      </w:r>
      <w:r w:rsidR="00B008A1" w:rsidRPr="00641BD2">
        <w:t> </w:t>
      </w:r>
      <w:r w:rsidR="00B008A1">
        <w:rPr>
          <w:lang w:val="ru-RU"/>
        </w:rPr>
        <w:t>г</w:t>
      </w:r>
      <w:r w:rsidR="00B008A1" w:rsidRPr="008B678C">
        <w:rPr>
          <w:lang w:val="ru-RU"/>
        </w:rPr>
        <w:t>.</w:t>
      </w:r>
      <w:r w:rsidR="003A6F2A" w:rsidRPr="008B678C">
        <w:rPr>
          <w:lang w:val="ru-RU"/>
        </w:rPr>
        <w:t xml:space="preserve">) </w:t>
      </w:r>
      <w:r w:rsidR="00B008A1">
        <w:rPr>
          <w:lang w:val="ru-RU"/>
        </w:rPr>
        <w:t>Полномочной</w:t>
      </w:r>
      <w:r w:rsidR="00B008A1" w:rsidRPr="008129C5">
        <w:rPr>
          <w:lang w:val="ru-RU"/>
        </w:rPr>
        <w:t xml:space="preserve"> </w:t>
      </w:r>
      <w:r w:rsidR="00B008A1">
        <w:rPr>
          <w:lang w:val="ru-RU"/>
        </w:rPr>
        <w:t>конференции</w:t>
      </w:r>
      <w:r w:rsidR="003A6F2A" w:rsidRPr="008129C5">
        <w:rPr>
          <w:lang w:val="ru-RU"/>
        </w:rPr>
        <w:t xml:space="preserve"> </w:t>
      </w:r>
      <w:r w:rsidR="00EE15AF">
        <w:rPr>
          <w:lang w:val="ru-RU"/>
        </w:rPr>
        <w:t>Государства</w:t>
      </w:r>
      <w:r w:rsidR="00EE15AF" w:rsidRPr="008129C5">
        <w:rPr>
          <w:lang w:val="ru-RU"/>
        </w:rPr>
        <w:t>-</w:t>
      </w:r>
      <w:r w:rsidR="00EE15AF">
        <w:rPr>
          <w:lang w:val="ru-RU"/>
        </w:rPr>
        <w:t>Члены</w:t>
      </w:r>
      <w:r w:rsidR="00EE15AF" w:rsidRPr="008129C5">
        <w:rPr>
          <w:lang w:val="ru-RU"/>
        </w:rPr>
        <w:t xml:space="preserve"> </w:t>
      </w:r>
      <w:r w:rsidR="008129C5" w:rsidRPr="008129C5">
        <w:rPr>
          <w:lang w:val="ru-RU"/>
        </w:rPr>
        <w:t>имеют возможность представить и согласовать с Союзом соглашение о погашении задолженности в соответствии с руководящими указаниями, установленными Советом МСЭ на его сессии 1999</w:t>
      </w:r>
      <w:r w:rsidR="00D05231">
        <w:rPr>
          <w:lang w:val="ru-RU"/>
        </w:rPr>
        <w:t> </w:t>
      </w:r>
      <w:r w:rsidR="008129C5" w:rsidRPr="008129C5">
        <w:rPr>
          <w:lang w:val="ru-RU"/>
        </w:rPr>
        <w:t>года (см.</w:t>
      </w:r>
      <w:r w:rsidR="008129C5">
        <w:rPr>
          <w:lang w:val="en-US"/>
        </w:rPr>
        <w:t> </w:t>
      </w:r>
      <w:r w:rsidR="008129C5" w:rsidRPr="00D05231">
        <w:rPr>
          <w:lang w:val="ru-RU"/>
        </w:rPr>
        <w:t>Документ</w:t>
      </w:r>
      <w:r w:rsidR="008129C5">
        <w:t> </w:t>
      </w:r>
      <w:r w:rsidR="008129C5" w:rsidRPr="00D05231">
        <w:rPr>
          <w:lang w:val="ru-RU"/>
        </w:rPr>
        <w:t>С99/114).</w:t>
      </w:r>
    </w:p>
    <w:p w14:paraId="6D1735EE" w14:textId="54140F30" w:rsidR="00105597" w:rsidRDefault="00105597" w:rsidP="00105597">
      <w:pPr>
        <w:rPr>
          <w:sz w:val="23"/>
          <w:szCs w:val="23"/>
          <w:lang w:val="ru-RU"/>
        </w:rPr>
      </w:pPr>
      <w:r>
        <w:rPr>
          <w:lang w:val="ru-RU" w:eastAsia="zh-CN"/>
        </w:rPr>
        <w:t>2.2</w:t>
      </w:r>
      <w:r>
        <w:rPr>
          <w:lang w:val="ru-RU" w:eastAsia="zh-CN"/>
        </w:rPr>
        <w:tab/>
      </w:r>
      <w:r>
        <w:rPr>
          <w:lang w:val="ru-RU"/>
        </w:rPr>
        <w:t xml:space="preserve">Кроме того, в пункте 6 раздела </w:t>
      </w:r>
      <w:r>
        <w:rPr>
          <w:i/>
          <w:iCs/>
          <w:lang w:val="ru-RU"/>
        </w:rPr>
        <w:t>решает</w:t>
      </w:r>
      <w:r>
        <w:rPr>
          <w:lang w:val="ru-RU"/>
        </w:rPr>
        <w:t xml:space="preserve"> Резолюции 152 (Пересм. Пусан, 2014 г.) </w:t>
      </w:r>
      <w:r w:rsidR="009B5BA7">
        <w:rPr>
          <w:lang w:val="ru-RU"/>
        </w:rPr>
        <w:t xml:space="preserve">Полномочной конференции </w:t>
      </w:r>
      <w:r>
        <w:rPr>
          <w:lang w:val="ru-RU"/>
        </w:rPr>
        <w:t>предусм</w:t>
      </w:r>
      <w:r w:rsidR="00D05231">
        <w:rPr>
          <w:lang w:val="ru-RU"/>
        </w:rPr>
        <w:t>отрено</w:t>
      </w:r>
      <w:r>
        <w:rPr>
          <w:lang w:val="ru-RU"/>
        </w:rPr>
        <w:t>, что следует, чтобы в случае просрочки платежа Членом Сектора или Ассоциированным членом, которые участвуют в работе МСЭ, "</w:t>
      </w:r>
      <w:r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>
        <w:rPr>
          <w:lang w:val="ru-RU"/>
        </w:rPr>
        <w:t xml:space="preserve">". С другой стороны, в пункте 7 раздела </w:t>
      </w:r>
      <w:r>
        <w:rPr>
          <w:i/>
          <w:iCs/>
          <w:lang w:val="ru-RU"/>
        </w:rPr>
        <w:t>решает</w:t>
      </w:r>
      <w:r>
        <w:rPr>
          <w:lang w:val="ru-RU"/>
        </w:rPr>
        <w:t xml:space="preserve"> </w:t>
      </w:r>
      <w:r w:rsidR="00CD3E3D">
        <w:rPr>
          <w:lang w:val="ru-RU"/>
        </w:rPr>
        <w:t>той же Резолюции</w:t>
      </w:r>
      <w:r w:rsidR="009B5BA7" w:rsidRPr="009B5BA7">
        <w:rPr>
          <w:lang w:val="ru-RU"/>
        </w:rPr>
        <w:t xml:space="preserve"> </w:t>
      </w:r>
      <w:r>
        <w:rPr>
          <w:lang w:val="ru-RU"/>
        </w:rPr>
        <w:t>предусматривается, что "</w:t>
      </w:r>
      <w:r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>
        <w:rPr>
          <w:lang w:val="ru-RU"/>
        </w:rPr>
        <w:t>".</w:t>
      </w:r>
    </w:p>
    <w:p w14:paraId="2E7CE239" w14:textId="1F42FD8C" w:rsidR="00105597" w:rsidRDefault="00105597" w:rsidP="00105597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  <w:t xml:space="preserve">И наконец, согласно п. 474 Конвенции </w:t>
      </w:r>
      <w:r w:rsidR="009B5BA7">
        <w:rPr>
          <w:lang w:val="ru-RU"/>
        </w:rPr>
        <w:t xml:space="preserve">МСЭ </w:t>
      </w:r>
      <w:r>
        <w:rPr>
          <w:lang w:val="ru-RU"/>
        </w:rPr>
        <w:t>на задолженные суммы по взносам "</w:t>
      </w:r>
      <w:r>
        <w:rPr>
          <w:i/>
          <w:iCs/>
          <w:lang w:val="ru-RU"/>
        </w:rPr>
        <w:t xml:space="preserve"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</w:t>
      </w:r>
      <w:r>
        <w:rPr>
          <w:i/>
          <w:iCs/>
          <w:lang w:val="ru-RU"/>
        </w:rPr>
        <w:lastRenderedPageBreak/>
        <w:t>(шести процентов) годовых начиная с седьмого месяца</w:t>
      </w:r>
      <w:r>
        <w:rPr>
          <w:lang w:val="ru-RU"/>
        </w:rPr>
        <w:t>". По состоянию на 31 декабря 202</w:t>
      </w:r>
      <w:r w:rsidR="007D4F8E">
        <w:rPr>
          <w:lang w:val="ru-RU"/>
        </w:rPr>
        <w:t>2</w:t>
      </w:r>
      <w:r>
        <w:rPr>
          <w:lang w:val="ru-RU"/>
        </w:rPr>
        <w:t xml:space="preserve"> года сумма </w:t>
      </w:r>
      <w:r>
        <w:rPr>
          <w:color w:val="000000"/>
          <w:lang w:val="ru-RU"/>
        </w:rPr>
        <w:t xml:space="preserve">процентов по просроченным платежам </w:t>
      </w:r>
      <w:r>
        <w:rPr>
          <w:lang w:val="ru-RU"/>
        </w:rPr>
        <w:t>по причитающимся взносам была определена в размере 1 </w:t>
      </w:r>
      <w:r w:rsidR="007D4F8E" w:rsidRPr="007D4F8E">
        <w:rPr>
          <w:lang w:val="ru-RU"/>
        </w:rPr>
        <w:t>563</w:t>
      </w:r>
      <w:r w:rsidR="007D4F8E">
        <w:rPr>
          <w:lang w:val="ru-RU"/>
        </w:rPr>
        <w:t> </w:t>
      </w:r>
      <w:r w:rsidR="007D4F8E" w:rsidRPr="007D4F8E">
        <w:rPr>
          <w:lang w:val="ru-RU"/>
        </w:rPr>
        <w:t>188</w:t>
      </w:r>
      <w:r w:rsidR="007D4F8E">
        <w:rPr>
          <w:lang w:val="ru-RU"/>
        </w:rPr>
        <w:t xml:space="preserve">,00 </w:t>
      </w:r>
      <w:r>
        <w:rPr>
          <w:lang w:val="ru-RU"/>
        </w:rPr>
        <w:t>швейцарского франка.</w:t>
      </w:r>
    </w:p>
    <w:p w14:paraId="6F16D8FF" w14:textId="24348F56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4</w:t>
      </w:r>
      <w:r>
        <w:rPr>
          <w:lang w:val="ru-RU"/>
        </w:rPr>
        <w:tab/>
        <w:t xml:space="preserve">Каждому должнику </w:t>
      </w:r>
      <w:r w:rsidR="00CD3E3D">
        <w:rPr>
          <w:lang w:val="ru-RU"/>
        </w:rPr>
        <w:t>не менее двух раз</w:t>
      </w:r>
      <w:r w:rsidR="00C353A3" w:rsidRPr="00C353A3">
        <w:rPr>
          <w:lang w:val="ru-RU"/>
        </w:rPr>
        <w:t xml:space="preserve"> </w:t>
      </w:r>
      <w:r>
        <w:rPr>
          <w:lang w:val="ru-RU"/>
        </w:rPr>
        <w:t>в год направляется выписка по счету, а причитающиеся суммы публикуются в ежеквартальном финансовом циркулярном письме, издаваемом Департаментом управления финансовыми ресурсами</w:t>
      </w:r>
      <w:r w:rsidR="00C353A3">
        <w:rPr>
          <w:lang w:val="ru-RU"/>
        </w:rPr>
        <w:t xml:space="preserve"> МСЭ</w:t>
      </w:r>
      <w:r>
        <w:rPr>
          <w:lang w:val="ru-RU"/>
        </w:rPr>
        <w:t>.</w:t>
      </w:r>
    </w:p>
    <w:p w14:paraId="5A8F9643" w14:textId="31B6E148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5</w:t>
      </w:r>
      <w:r>
        <w:rPr>
          <w:lang w:val="ru-RU"/>
        </w:rPr>
        <w:tab/>
        <w:t>Ежегодно Государствам-Членам, утратившим право голоса, а также тем,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51846A45" w14:textId="6D3ED5D2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6</w:t>
      </w:r>
      <w:r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5FEDC26A" w14:textId="66D5B97A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7</w:t>
      </w:r>
      <w:r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графики погашения</w:t>
      </w:r>
      <w:r w:rsidR="00CD3E3D">
        <w:rPr>
          <w:lang w:val="ru-RU"/>
        </w:rPr>
        <w:t xml:space="preserve"> и</w:t>
      </w:r>
      <w:r>
        <w:rPr>
          <w:lang w:val="ru-RU"/>
        </w:rPr>
        <w:t xml:space="preserve">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3F48452F" w14:textId="303961BA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8</w:t>
      </w:r>
      <w:r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права на участие в работе Союза.</w:t>
      </w:r>
    </w:p>
    <w:p w14:paraId="5292EC66" w14:textId="674BE4E1" w:rsidR="00105597" w:rsidRDefault="00105597" w:rsidP="00105597">
      <w:pPr>
        <w:rPr>
          <w:lang w:val="ru-RU"/>
        </w:rPr>
      </w:pPr>
      <w:r>
        <w:rPr>
          <w:lang w:val="ru-RU"/>
        </w:rPr>
        <w:t>2.</w:t>
      </w:r>
      <w:r w:rsidR="00C353A3">
        <w:rPr>
          <w:lang w:val="ru-RU"/>
        </w:rPr>
        <w:t>9</w:t>
      </w:r>
      <w:r>
        <w:rPr>
          <w:lang w:val="ru-RU"/>
        </w:rPr>
        <w:tab/>
        <w:t>Во исполнение положений Резолюции 41 (Пересм. Дубай, 2018 г.) в 202</w:t>
      </w:r>
      <w:r w:rsidR="00C353A3">
        <w:rPr>
          <w:lang w:val="ru-RU"/>
        </w:rPr>
        <w:t>2</w:t>
      </w:r>
      <w:r>
        <w:rPr>
          <w:lang w:val="ru-RU"/>
        </w:rPr>
        <w:t> году Генеральным секретарем был</w:t>
      </w:r>
      <w:r w:rsidR="00C353A3">
        <w:rPr>
          <w:lang w:val="ru-RU"/>
        </w:rPr>
        <w:t>и</w:t>
      </w:r>
      <w:r>
        <w:rPr>
          <w:lang w:val="ru-RU"/>
        </w:rPr>
        <w:t xml:space="preserve"> открыт</w:t>
      </w:r>
      <w:r w:rsidR="00C353A3">
        <w:rPr>
          <w:lang w:val="ru-RU"/>
        </w:rPr>
        <w:t>ы</w:t>
      </w:r>
      <w:r>
        <w:rPr>
          <w:lang w:val="ru-RU"/>
        </w:rPr>
        <w:t xml:space="preserve"> </w:t>
      </w:r>
      <w:r w:rsidR="00C353A3">
        <w:rPr>
          <w:lang w:val="ru-RU"/>
        </w:rPr>
        <w:t>восемь</w:t>
      </w:r>
      <w:r>
        <w:rPr>
          <w:lang w:val="ru-RU"/>
        </w:rPr>
        <w:t xml:space="preserve"> новы</w:t>
      </w:r>
      <w:r w:rsidR="00C353A3">
        <w:rPr>
          <w:lang w:val="ru-RU"/>
        </w:rPr>
        <w:t>х</w:t>
      </w:r>
      <w:r>
        <w:rPr>
          <w:lang w:val="ru-RU"/>
        </w:rPr>
        <w:t xml:space="preserve"> специальны</w:t>
      </w:r>
      <w:r w:rsidR="00C353A3">
        <w:rPr>
          <w:lang w:val="ru-RU"/>
        </w:rPr>
        <w:t>х</w:t>
      </w:r>
      <w:r>
        <w:rPr>
          <w:lang w:val="ru-RU"/>
        </w:rPr>
        <w:t xml:space="preserve"> счет</w:t>
      </w:r>
      <w:r w:rsidR="00C353A3">
        <w:rPr>
          <w:lang w:val="ru-RU"/>
        </w:rPr>
        <w:t>ов</w:t>
      </w:r>
      <w:r>
        <w:rPr>
          <w:lang w:val="ru-RU"/>
        </w:rPr>
        <w:t xml:space="preserve"> задолженностей </w:t>
      </w:r>
      <w:r w:rsidR="00CD3E3D">
        <w:rPr>
          <w:lang w:val="ru-RU"/>
        </w:rPr>
        <w:t>Государств-</w:t>
      </w:r>
      <w:r>
        <w:rPr>
          <w:lang w:val="ru-RU"/>
        </w:rPr>
        <w:t>Член</w:t>
      </w:r>
      <w:r w:rsidR="00CD3E3D">
        <w:rPr>
          <w:lang w:val="ru-RU"/>
        </w:rPr>
        <w:t>ов</w:t>
      </w:r>
      <w:r>
        <w:rPr>
          <w:lang w:val="ru-RU"/>
        </w:rPr>
        <w:t xml:space="preserve">. Таким образом, Генеральный секретарь подписал </w:t>
      </w:r>
      <w:r w:rsidR="00CD3E3D">
        <w:rPr>
          <w:lang w:val="ru-RU"/>
        </w:rPr>
        <w:t xml:space="preserve">соглашение о погашении задолженности </w:t>
      </w:r>
      <w:r>
        <w:rPr>
          <w:lang w:val="ru-RU"/>
        </w:rPr>
        <w:t xml:space="preserve">с </w:t>
      </w:r>
      <w:r w:rsidR="00C353A3">
        <w:rPr>
          <w:lang w:val="ru-RU"/>
        </w:rPr>
        <w:t>Коморскими Островами</w:t>
      </w:r>
      <w:r w:rsidR="00C353A3" w:rsidRPr="00641BD2">
        <w:rPr>
          <w:lang w:val="ru-RU"/>
        </w:rPr>
        <w:t>, Демократическ</w:t>
      </w:r>
      <w:r w:rsidR="00F1671D">
        <w:rPr>
          <w:lang w:val="ru-RU"/>
        </w:rPr>
        <w:t>ой</w:t>
      </w:r>
      <w:r w:rsidR="00C353A3" w:rsidRPr="00641BD2">
        <w:rPr>
          <w:lang w:val="ru-RU"/>
        </w:rPr>
        <w:t xml:space="preserve"> Республик</w:t>
      </w:r>
      <w:r w:rsidR="00F1671D">
        <w:rPr>
          <w:lang w:val="ru-RU"/>
        </w:rPr>
        <w:t>ой</w:t>
      </w:r>
      <w:r w:rsidR="00C353A3" w:rsidRPr="00641BD2">
        <w:rPr>
          <w:lang w:val="ru-RU"/>
        </w:rPr>
        <w:t xml:space="preserve"> Конго, </w:t>
      </w:r>
      <w:r w:rsidR="00F1671D" w:rsidRPr="00641BD2">
        <w:rPr>
          <w:lang w:val="ru-RU"/>
        </w:rPr>
        <w:t>Доминиканск</w:t>
      </w:r>
      <w:r w:rsidR="00F1671D">
        <w:rPr>
          <w:lang w:val="ru-RU"/>
        </w:rPr>
        <w:t>ой</w:t>
      </w:r>
      <w:r w:rsidR="00F1671D" w:rsidRPr="00641BD2">
        <w:rPr>
          <w:lang w:val="ru-RU"/>
        </w:rPr>
        <w:t xml:space="preserve"> Республик</w:t>
      </w:r>
      <w:r w:rsidR="00F1671D">
        <w:rPr>
          <w:lang w:val="ru-RU"/>
        </w:rPr>
        <w:t>ой</w:t>
      </w:r>
      <w:r w:rsidR="00C353A3" w:rsidRPr="00641BD2">
        <w:rPr>
          <w:lang w:val="ru-RU"/>
        </w:rPr>
        <w:t xml:space="preserve">, </w:t>
      </w:r>
      <w:r w:rsidR="00C353A3">
        <w:rPr>
          <w:lang w:val="ru-RU"/>
        </w:rPr>
        <w:t>Габоном</w:t>
      </w:r>
      <w:r w:rsidR="00C353A3" w:rsidRPr="00641BD2">
        <w:rPr>
          <w:lang w:val="ru-RU"/>
        </w:rPr>
        <w:t xml:space="preserve">, </w:t>
      </w:r>
      <w:r w:rsidR="00F1671D" w:rsidRPr="00641BD2">
        <w:rPr>
          <w:lang w:val="ru-RU"/>
        </w:rPr>
        <w:t>Гвине</w:t>
      </w:r>
      <w:r w:rsidR="00F1671D">
        <w:rPr>
          <w:lang w:val="ru-RU"/>
        </w:rPr>
        <w:t>ей</w:t>
      </w:r>
      <w:r w:rsidR="00F1671D" w:rsidRPr="00641BD2">
        <w:rPr>
          <w:lang w:val="ru-RU"/>
        </w:rPr>
        <w:t>-Бисау</w:t>
      </w:r>
      <w:r w:rsidR="00C353A3" w:rsidRPr="00641BD2">
        <w:rPr>
          <w:lang w:val="ru-RU"/>
        </w:rPr>
        <w:t xml:space="preserve">, </w:t>
      </w:r>
      <w:r w:rsidR="00C353A3">
        <w:rPr>
          <w:lang w:val="ru-RU"/>
        </w:rPr>
        <w:t>Никарагуа</w:t>
      </w:r>
      <w:r w:rsidR="00C353A3" w:rsidRPr="00641BD2">
        <w:rPr>
          <w:lang w:val="ru-RU"/>
        </w:rPr>
        <w:t xml:space="preserve">, </w:t>
      </w:r>
      <w:r w:rsidR="00C353A3">
        <w:rPr>
          <w:lang w:val="ru-RU"/>
        </w:rPr>
        <w:t>Вануату</w:t>
      </w:r>
      <w:r w:rsidR="00C353A3" w:rsidRPr="00641BD2">
        <w:rPr>
          <w:lang w:val="ru-RU"/>
        </w:rPr>
        <w:t xml:space="preserve"> </w:t>
      </w:r>
      <w:r w:rsidR="00C353A3">
        <w:rPr>
          <w:lang w:val="ru-RU"/>
        </w:rPr>
        <w:t>и</w:t>
      </w:r>
      <w:r w:rsidR="00C353A3" w:rsidRPr="00641BD2">
        <w:rPr>
          <w:lang w:val="ru-RU"/>
        </w:rPr>
        <w:t xml:space="preserve"> </w:t>
      </w:r>
      <w:r w:rsidR="00C353A3">
        <w:rPr>
          <w:lang w:val="ru-RU"/>
        </w:rPr>
        <w:t>Йеменом</w:t>
      </w:r>
      <w:r>
        <w:rPr>
          <w:lang w:val="ru-RU"/>
        </w:rPr>
        <w:t>.</w:t>
      </w:r>
    </w:p>
    <w:p w14:paraId="016CDB7E" w14:textId="20977F7A" w:rsidR="00105597" w:rsidRDefault="00105597" w:rsidP="00105597">
      <w:pPr>
        <w:rPr>
          <w:lang w:val="ru-RU" w:eastAsia="zh-CN"/>
        </w:rPr>
      </w:pPr>
      <w:r>
        <w:rPr>
          <w:lang w:val="ru-RU"/>
        </w:rPr>
        <w:t>2.1</w:t>
      </w:r>
      <w:r w:rsidR="00371285">
        <w:rPr>
          <w:lang w:val="ru-RU"/>
        </w:rPr>
        <w:t>0</w:t>
      </w:r>
      <w:r>
        <w:rPr>
          <w:lang w:val="ru-RU"/>
        </w:rPr>
        <w:tab/>
      </w:r>
      <w:r w:rsidR="00371285">
        <w:rPr>
          <w:lang w:val="ru-RU"/>
        </w:rPr>
        <w:t>Пять</w:t>
      </w:r>
      <w:r>
        <w:rPr>
          <w:lang w:val="ru-RU"/>
        </w:rPr>
        <w:t xml:space="preserve"> других счетов были аннулированы до 202</w:t>
      </w:r>
      <w:r w:rsidR="00371285">
        <w:rPr>
          <w:lang w:val="ru-RU"/>
        </w:rPr>
        <w:t>2</w:t>
      </w:r>
      <w:r>
        <w:rPr>
          <w:lang w:val="ru-RU"/>
        </w:rPr>
        <w:t> года. Таким образом, эти Государства</w:t>
      </w:r>
      <w:r w:rsidR="00371285">
        <w:rPr>
          <w:lang w:val="ru-RU"/>
        </w:rPr>
        <w:noBreakHyphen/>
      </w:r>
      <w:r>
        <w:rPr>
          <w:lang w:val="ru-RU"/>
        </w:rPr>
        <w:t>Члены (</w:t>
      </w:r>
      <w:r w:rsidR="00371285">
        <w:rPr>
          <w:rFonts w:eastAsia="SimSun"/>
          <w:lang w:val="ru-RU" w:eastAsia="zh-CN"/>
        </w:rPr>
        <w:t>Экваториальная Гвинея</w:t>
      </w:r>
      <w:r w:rsidR="00371285" w:rsidRPr="00E23228">
        <w:rPr>
          <w:rFonts w:eastAsia="SimSun"/>
          <w:lang w:val="ru-RU" w:eastAsia="zh-CN"/>
        </w:rPr>
        <w:t xml:space="preserve">, </w:t>
      </w:r>
      <w:r w:rsidR="00371285">
        <w:rPr>
          <w:lang w:val="ru-RU"/>
        </w:rPr>
        <w:t>Сьерра-Леоне</w:t>
      </w:r>
      <w:r w:rsidR="00371285" w:rsidRPr="00E23228">
        <w:rPr>
          <w:rFonts w:eastAsia="SimSun"/>
          <w:lang w:val="ru-RU" w:eastAsia="zh-CN"/>
        </w:rPr>
        <w:t xml:space="preserve"> </w:t>
      </w:r>
      <w:r w:rsidR="00371285">
        <w:rPr>
          <w:rFonts w:eastAsia="SimSun"/>
          <w:lang w:val="ru-RU" w:eastAsia="zh-CN"/>
        </w:rPr>
        <w:t xml:space="preserve">и </w:t>
      </w:r>
      <w:r>
        <w:rPr>
          <w:lang w:val="ru-RU"/>
        </w:rPr>
        <w:t xml:space="preserve">Центральноафриканская Республика), а также соответствующие </w:t>
      </w:r>
      <w:r w:rsidR="00CD3E3D">
        <w:rPr>
          <w:lang w:val="ru-RU"/>
        </w:rPr>
        <w:t>организации</w:t>
      </w:r>
      <w:r w:rsidR="00371285" w:rsidRPr="00371285">
        <w:rPr>
          <w:lang w:val="ru-RU"/>
        </w:rPr>
        <w:t xml:space="preserve"> </w:t>
      </w:r>
      <w:r>
        <w:rPr>
          <w:lang w:val="ru-RU"/>
        </w:rPr>
        <w:t xml:space="preserve">(Apprentissages sans Frontières (Швейцария) и Ellipsat Inc. (Соединенные Штаты Америки)) обязаны согласовать новые графики погашения своей задолженности в соответствии с руководящими указаниями, установленными Советом. </w:t>
      </w:r>
      <w:r w:rsidR="00F022EA">
        <w:rPr>
          <w:lang w:val="ru-RU"/>
        </w:rPr>
        <w:t>Все остальные Члены</w:t>
      </w:r>
      <w:r>
        <w:rPr>
          <w:lang w:val="ru-RU"/>
        </w:rPr>
        <w:t xml:space="preserve"> строго соблюдают согласованные графики погашения задолженности.</w:t>
      </w:r>
    </w:p>
    <w:p w14:paraId="482D0F6B" w14:textId="45D0838C" w:rsidR="00105597" w:rsidRDefault="00105597" w:rsidP="00105597">
      <w:pPr>
        <w:rPr>
          <w:szCs w:val="24"/>
          <w:lang w:val="ru-RU" w:eastAsia="zh-CN"/>
        </w:rPr>
      </w:pPr>
      <w:r>
        <w:rPr>
          <w:szCs w:val="24"/>
          <w:lang w:val="ru-RU" w:eastAsia="zh-CN"/>
        </w:rPr>
        <w:t>2.1</w:t>
      </w:r>
      <w:r w:rsidR="00371285">
        <w:rPr>
          <w:szCs w:val="24"/>
          <w:lang w:val="ru-RU" w:eastAsia="zh-CN"/>
        </w:rPr>
        <w:t>1</w:t>
      </w:r>
      <w:r>
        <w:rPr>
          <w:szCs w:val="24"/>
          <w:lang w:val="ru-RU" w:eastAsia="zh-CN"/>
        </w:rPr>
        <w:tab/>
      </w:r>
      <w:r>
        <w:rPr>
          <w:lang w:val="ru-RU"/>
        </w:rPr>
        <w:t xml:space="preserve">Что касается заявок на регистрацию спутниковых сетей (SNF), то в соответствии с Решением 545 </w:t>
      </w:r>
      <w:r w:rsidR="0057375E">
        <w:rPr>
          <w:lang w:val="ru-RU"/>
        </w:rPr>
        <w:t>Совета (</w:t>
      </w:r>
      <w:r w:rsidR="0057375E" w:rsidRPr="003B7472">
        <w:rPr>
          <w:lang w:val="en-US"/>
        </w:rPr>
        <w:t>C</w:t>
      </w:r>
      <w:r w:rsidR="0057375E" w:rsidRPr="00641BD2">
        <w:rPr>
          <w:lang w:val="ru-RU"/>
        </w:rPr>
        <w:t>07</w:t>
      </w:r>
      <w:r>
        <w:rPr>
          <w:lang w:val="ru-RU"/>
        </w:rPr>
        <w:t>) из 28 администраций/операторов, имевших право на пересмотр их счетов-фактур, 27 погасили свою задолженность и одно объединение подписало график погашения задолженности (</w:t>
      </w:r>
      <w:r>
        <w:rPr>
          <w:lang w:val="ru-RU" w:bidi="ar-EG"/>
        </w:rPr>
        <w:t xml:space="preserve">Ellipsat Inc., Соединенные Штаты Америки, в том числе задолженности бывшей компании </w:t>
      </w:r>
      <w:r>
        <w:rPr>
          <w:szCs w:val="24"/>
          <w:lang w:val="ru-RU"/>
        </w:rPr>
        <w:t>Virtual Geosatellite, приобретенной</w:t>
      </w:r>
      <w:r>
        <w:rPr>
          <w:lang w:val="ru-RU" w:bidi="ar-EG"/>
        </w:rPr>
        <w:t xml:space="preserve"> Ellipsat Inc.</w:t>
      </w:r>
      <w:r>
        <w:rPr>
          <w:lang w:val="ru-RU"/>
        </w:rPr>
        <w:t>). Вместе с тем соглашение о погашении, подписанное</w:t>
      </w:r>
      <w:r>
        <w:rPr>
          <w:sz w:val="24"/>
          <w:lang w:val="ru-RU"/>
        </w:rPr>
        <w:t xml:space="preserve"> </w:t>
      </w:r>
      <w:r>
        <w:rPr>
          <w:lang w:val="ru-RU" w:bidi="ar-EG"/>
        </w:rPr>
        <w:t xml:space="preserve">Ellipsat Inc., было аннулировано в 2017 году вследствие неуплаты причитающихся сумм. На настоящий момент Ellipsat Inc. </w:t>
      </w:r>
      <w:r w:rsidR="00F022EA">
        <w:rPr>
          <w:lang w:val="ru-RU" w:bidi="ar-EG"/>
        </w:rPr>
        <w:t>имеет</w:t>
      </w:r>
      <w:r>
        <w:rPr>
          <w:lang w:val="ru-RU" w:bidi="ar-EG"/>
        </w:rPr>
        <w:t xml:space="preserve"> непогашенн</w:t>
      </w:r>
      <w:r w:rsidR="00F022EA">
        <w:rPr>
          <w:lang w:val="ru-RU" w:bidi="ar-EG"/>
        </w:rPr>
        <w:t>ую</w:t>
      </w:r>
      <w:r>
        <w:rPr>
          <w:lang w:val="ru-RU" w:bidi="ar-EG"/>
        </w:rPr>
        <w:t xml:space="preserve"> задолженность</w:t>
      </w:r>
      <w:r w:rsidR="00F022EA">
        <w:rPr>
          <w:lang w:val="ru-RU" w:bidi="ar-EG"/>
        </w:rPr>
        <w:t xml:space="preserve"> по линии</w:t>
      </w:r>
      <w:r>
        <w:rPr>
          <w:lang w:val="ru-RU" w:bidi="ar-EG"/>
        </w:rPr>
        <w:t xml:space="preserve"> SNF в размере </w:t>
      </w:r>
      <w:r w:rsidR="0057375E" w:rsidRPr="00641BD2">
        <w:rPr>
          <w:lang w:val="ru-RU"/>
        </w:rPr>
        <w:t>37</w:t>
      </w:r>
      <w:r w:rsidR="0057375E" w:rsidRPr="00D00818">
        <w:rPr>
          <w:lang w:val="en-US"/>
        </w:rPr>
        <w:t> </w:t>
      </w:r>
      <w:r w:rsidR="0057375E" w:rsidRPr="00641BD2">
        <w:rPr>
          <w:lang w:val="ru-RU"/>
        </w:rPr>
        <w:t>291</w:t>
      </w:r>
      <w:r w:rsidR="0057375E">
        <w:rPr>
          <w:lang w:val="ru-RU"/>
        </w:rPr>
        <w:t> </w:t>
      </w:r>
      <w:r>
        <w:rPr>
          <w:lang w:val="ru-RU" w:bidi="ar-EG"/>
        </w:rPr>
        <w:t>швейцарских франков на 31</w:t>
      </w:r>
      <w:r w:rsidR="00F022EA">
        <w:rPr>
          <w:lang w:val="ru-RU" w:bidi="ar-EG"/>
        </w:rPr>
        <w:t> </w:t>
      </w:r>
      <w:r>
        <w:rPr>
          <w:lang w:val="ru-RU" w:bidi="ar-EG"/>
        </w:rPr>
        <w:t>декабря 202</w:t>
      </w:r>
      <w:r w:rsidR="0057375E">
        <w:rPr>
          <w:lang w:val="ru-RU" w:bidi="ar-EG"/>
        </w:rPr>
        <w:t>2</w:t>
      </w:r>
      <w:r>
        <w:rPr>
          <w:lang w:val="ru-RU" w:bidi="ar-EG"/>
        </w:rPr>
        <w:t> года.</w:t>
      </w:r>
    </w:p>
    <w:p w14:paraId="03B560E1" w14:textId="3754A87D" w:rsidR="00105597" w:rsidRDefault="00105597" w:rsidP="00105597">
      <w:pPr>
        <w:rPr>
          <w:lang w:val="ru-RU"/>
        </w:rPr>
      </w:pPr>
      <w:r>
        <w:rPr>
          <w:lang w:val="ru-RU"/>
        </w:rPr>
        <w:lastRenderedPageBreak/>
        <w:t>2.1</w:t>
      </w:r>
      <w:r w:rsidR="005740D0">
        <w:rPr>
          <w:lang w:val="ru-RU"/>
        </w:rPr>
        <w:t>2</w:t>
      </w:r>
      <w:r>
        <w:rPr>
          <w:lang w:val="ru-RU"/>
        </w:rPr>
        <w:tab/>
        <w:t>В соответствии с Резолюцией 41 (Пересм. Дубай, 2018 г.) Совету было поручено рассмотреть уровень Резервного фонда для счетов должников, чтобы обеспечить покрытие причитающихся сумм. Начиная с 2009 года в результате внедрения стандартов IPSAS введены новые принципы создания Резервного фонда для счетов должников.</w:t>
      </w:r>
    </w:p>
    <w:p w14:paraId="605250FB" w14:textId="5BADD86D" w:rsidR="00105597" w:rsidRDefault="00105597" w:rsidP="00105597">
      <w:pPr>
        <w:rPr>
          <w:lang w:val="ru-RU"/>
        </w:rPr>
      </w:pPr>
      <w:r>
        <w:rPr>
          <w:lang w:val="ru-RU"/>
        </w:rPr>
        <w:t>2.15</w:t>
      </w:r>
      <w:r>
        <w:rPr>
          <w:lang w:val="ru-RU"/>
        </w:rPr>
        <w:tab/>
        <w:t>Так</w:t>
      </w:r>
      <w:r w:rsidR="00F022EA">
        <w:rPr>
          <w:lang w:val="ru-RU"/>
        </w:rPr>
        <w:t>им образом</w:t>
      </w:r>
      <w:r>
        <w:rPr>
          <w:lang w:val="ru-RU"/>
        </w:rPr>
        <w:t>,</w:t>
      </w:r>
      <w:r w:rsidR="00F022EA">
        <w:rPr>
          <w:lang w:val="ru-RU"/>
        </w:rPr>
        <w:t xml:space="preserve"> </w:t>
      </w:r>
      <w:r>
        <w:rPr>
          <w:lang w:val="ru-RU"/>
        </w:rPr>
        <w:t>по состоянию на 31 декабря 202</w:t>
      </w:r>
      <w:r w:rsidR="005740D0">
        <w:rPr>
          <w:lang w:val="ru-RU"/>
        </w:rPr>
        <w:t>2</w:t>
      </w:r>
      <w:r>
        <w:rPr>
          <w:lang w:val="ru-RU"/>
        </w:rPr>
        <w:t xml:space="preserve"> года Резервный фонд для счетов должников составлял </w:t>
      </w:r>
      <w:r w:rsidR="005740D0">
        <w:rPr>
          <w:lang w:val="ru-RU"/>
        </w:rPr>
        <w:t>35</w:t>
      </w:r>
      <w:r>
        <w:rPr>
          <w:lang w:val="ru-RU"/>
        </w:rPr>
        <w:t>,</w:t>
      </w:r>
      <w:r w:rsidR="005740D0">
        <w:rPr>
          <w:lang w:val="ru-RU"/>
        </w:rPr>
        <w:t>5</w:t>
      </w:r>
      <w:r>
        <w:rPr>
          <w:lang w:val="ru-RU"/>
        </w:rPr>
        <w:t xml:space="preserve"> млн. швейцарских франков и покрывал 100% сумм, которые необходимо учитывать в Фонде согласно указанным выше новым принципам. </w:t>
      </w:r>
      <w:r w:rsidR="00F022EA">
        <w:rPr>
          <w:lang w:val="ru-RU"/>
        </w:rPr>
        <w:t>Р</w:t>
      </w:r>
      <w:r>
        <w:rPr>
          <w:color w:val="000000"/>
          <w:lang w:val="ru-RU"/>
        </w:rPr>
        <w:t xml:space="preserve">азмер Резервного фонда </w:t>
      </w:r>
      <w:r>
        <w:rPr>
          <w:lang w:val="ru-RU"/>
        </w:rPr>
        <w:t xml:space="preserve">для счетов должников систематически </w:t>
      </w:r>
      <w:r w:rsidR="00F022EA">
        <w:rPr>
          <w:lang w:val="ru-RU"/>
        </w:rPr>
        <w:t>пересматривается</w:t>
      </w:r>
      <w:r>
        <w:rPr>
          <w:lang w:val="ru-RU"/>
        </w:rPr>
        <w:t xml:space="preserve"> по состоянию на 31 декабря каждого года. Следует отметить, что указанное 100-процентное покрытие не</w:t>
      </w:r>
      <w:r w:rsidR="00DF450A">
        <w:rPr>
          <w:lang w:val="ru-RU"/>
        </w:rPr>
        <w:t> </w:t>
      </w:r>
      <w:r>
        <w:rPr>
          <w:lang w:val="ru-RU"/>
        </w:rPr>
        <w:t>освобождает Член</w:t>
      </w:r>
      <w:r w:rsidR="00F022EA">
        <w:rPr>
          <w:lang w:val="ru-RU"/>
        </w:rPr>
        <w:t>ов</w:t>
      </w:r>
      <w:r>
        <w:rPr>
          <w:lang w:val="ru-RU"/>
        </w:rPr>
        <w:t xml:space="preserve"> от их обязательств перед Союзом.</w:t>
      </w:r>
    </w:p>
    <w:p w14:paraId="50F9A4B2" w14:textId="77777777" w:rsidR="00105597" w:rsidRDefault="00105597" w:rsidP="00105597">
      <w:pPr>
        <w:pStyle w:val="Heading1"/>
        <w:rPr>
          <w:rFonts w:eastAsia="SimSun"/>
          <w:lang w:val="ru-RU"/>
        </w:rPr>
      </w:pPr>
      <w:r>
        <w:rPr>
          <w:rFonts w:eastAsia="SimSun"/>
          <w:lang w:val="ru-RU"/>
        </w:rPr>
        <w:t>3</w:t>
      </w:r>
      <w:r>
        <w:rPr>
          <w:rFonts w:eastAsia="SimSun"/>
          <w:lang w:val="ru-RU"/>
        </w:rPr>
        <w:tab/>
        <w:t>Рекомендация</w:t>
      </w:r>
    </w:p>
    <w:p w14:paraId="14300FA4" w14:textId="7BADF571" w:rsidR="00105597" w:rsidRDefault="00105597" w:rsidP="00105597">
      <w:pPr>
        <w:rPr>
          <w:rFonts w:eastAsia="SimSun"/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5740D0" w:rsidRPr="005740D0">
        <w:rPr>
          <w:b/>
          <w:bCs/>
          <w:lang w:val="ru-RU"/>
        </w:rPr>
        <w:t>2</w:t>
      </w:r>
      <w:r w:rsidR="005740D0">
        <w:rPr>
          <w:b/>
          <w:bCs/>
          <w:lang w:val="ru-RU"/>
        </w:rPr>
        <w:t> </w:t>
      </w:r>
      <w:r w:rsidR="005740D0" w:rsidRPr="005740D0">
        <w:rPr>
          <w:b/>
          <w:bCs/>
          <w:lang w:val="ru-RU"/>
        </w:rPr>
        <w:t>969</w:t>
      </w:r>
      <w:r w:rsidR="005740D0">
        <w:rPr>
          <w:b/>
          <w:bCs/>
          <w:lang w:val="ru-RU"/>
        </w:rPr>
        <w:t> </w:t>
      </w:r>
      <w:r w:rsidR="005740D0" w:rsidRPr="005740D0">
        <w:rPr>
          <w:b/>
          <w:bCs/>
          <w:lang w:val="ru-RU"/>
        </w:rPr>
        <w:t>139</w:t>
      </w:r>
      <w:r w:rsidR="005740D0">
        <w:rPr>
          <w:b/>
          <w:bCs/>
          <w:lang w:val="ru-RU"/>
        </w:rPr>
        <w:t>,</w:t>
      </w:r>
      <w:r w:rsidR="005740D0" w:rsidRPr="005740D0">
        <w:rPr>
          <w:b/>
          <w:bCs/>
          <w:lang w:val="ru-RU"/>
        </w:rPr>
        <w:t>02</w:t>
      </w:r>
      <w:r w:rsidR="005740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швейцарского франка</w:t>
      </w:r>
      <w:r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</w:t>
      </w:r>
    </w:p>
    <w:p w14:paraId="12D4CB4A" w14:textId="77777777" w:rsidR="00105597" w:rsidRDefault="00105597" w:rsidP="00105597">
      <w:pPr>
        <w:rPr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  <w:t>Проценты по просроченным платежам:</w:t>
      </w:r>
    </w:p>
    <w:p w14:paraId="7EA9840B" w14:textId="58C934BB" w:rsidR="003528AA" w:rsidRPr="00BA2FCC" w:rsidRDefault="003528AA" w:rsidP="003528AA">
      <w:pPr>
        <w:pStyle w:val="enumlev1"/>
        <w:rPr>
          <w:lang w:val="ru-RU"/>
        </w:rPr>
      </w:pPr>
      <w:r w:rsidRPr="00BA2FCC">
        <w:rPr>
          <w:lang w:val="ru-RU"/>
        </w:rPr>
        <w:t>–</w:t>
      </w:r>
      <w:r w:rsidRPr="00BA2FCC">
        <w:rPr>
          <w:lang w:val="ru-RU"/>
        </w:rPr>
        <w:tab/>
        <w:t>733</w:t>
      </w:r>
      <w:r w:rsidRPr="00641BD2">
        <w:t> </w:t>
      </w:r>
      <w:r w:rsidRPr="00BA2FCC">
        <w:rPr>
          <w:lang w:val="ru-RU"/>
        </w:rPr>
        <w:t xml:space="preserve">619,90 </w:t>
      </w:r>
      <w:r>
        <w:rPr>
          <w:lang w:val="ru-RU"/>
        </w:rPr>
        <w:t>швейцарского</w:t>
      </w:r>
      <w:r w:rsidRPr="00BA2FCC">
        <w:rPr>
          <w:lang w:val="ru-RU"/>
        </w:rPr>
        <w:t xml:space="preserve"> </w:t>
      </w:r>
      <w:r>
        <w:rPr>
          <w:lang w:val="ru-RU"/>
        </w:rPr>
        <w:t>франка</w:t>
      </w:r>
      <w:r w:rsidR="00BA2FCC" w:rsidRPr="00BA2FCC">
        <w:rPr>
          <w:lang w:val="ru-RU"/>
        </w:rPr>
        <w:t xml:space="preserve">, </w:t>
      </w:r>
      <w:r w:rsidR="00BA2FCC">
        <w:rPr>
          <w:lang w:val="ru-RU"/>
        </w:rPr>
        <w:t xml:space="preserve">причитающиеся с </w:t>
      </w:r>
      <w:r w:rsidR="00BA2FCC">
        <w:rPr>
          <w:spacing w:val="-2"/>
          <w:lang w:val="ru-RU"/>
        </w:rPr>
        <w:t>Ливии</w:t>
      </w:r>
      <w:r w:rsidRPr="00BA2FCC">
        <w:rPr>
          <w:spacing w:val="-2"/>
          <w:lang w:val="ru-RU"/>
        </w:rPr>
        <w:t xml:space="preserve">, </w:t>
      </w:r>
      <w:r w:rsidR="00BA2FCC">
        <w:rPr>
          <w:spacing w:val="-2"/>
          <w:lang w:val="ru-RU"/>
        </w:rPr>
        <w:t xml:space="preserve">которая погасила свою задолженность по взносам </w:t>
      </w:r>
      <w:r w:rsidR="006C1436">
        <w:rPr>
          <w:spacing w:val="-2"/>
          <w:lang w:val="ru-RU"/>
        </w:rPr>
        <w:t>за</w:t>
      </w:r>
      <w:r w:rsidR="006C1436" w:rsidRPr="00BA2FCC">
        <w:rPr>
          <w:spacing w:val="-2"/>
          <w:lang w:val="ru-RU"/>
        </w:rPr>
        <w:t xml:space="preserve"> </w:t>
      </w:r>
      <w:r w:rsidR="00BA2FCC" w:rsidRPr="00BA2FCC">
        <w:rPr>
          <w:spacing w:val="-2"/>
          <w:lang w:val="ru-RU"/>
        </w:rPr>
        <w:t>2017–2022</w:t>
      </w:r>
      <w:r w:rsidR="006C1436" w:rsidRPr="00641BD2">
        <w:rPr>
          <w:spacing w:val="-2"/>
        </w:rPr>
        <w:t> </w:t>
      </w:r>
      <w:r w:rsidR="006C1436">
        <w:rPr>
          <w:spacing w:val="-2"/>
          <w:lang w:val="ru-RU"/>
        </w:rPr>
        <w:t>годы</w:t>
      </w:r>
      <w:r w:rsidR="00BA2FCC">
        <w:rPr>
          <w:spacing w:val="-2"/>
          <w:lang w:val="ru-RU"/>
        </w:rPr>
        <w:t>;</w:t>
      </w:r>
    </w:p>
    <w:p w14:paraId="483B9601" w14:textId="0DC0B6C0" w:rsidR="003528AA" w:rsidRPr="00BA2FCC" w:rsidRDefault="003528AA" w:rsidP="003528AA">
      <w:pPr>
        <w:pStyle w:val="enumlev1"/>
        <w:rPr>
          <w:spacing w:val="-2"/>
          <w:lang w:val="ru-RU"/>
        </w:rPr>
      </w:pPr>
      <w:r w:rsidRPr="00BA2FCC">
        <w:rPr>
          <w:lang w:val="ru-RU"/>
        </w:rPr>
        <w:t>–</w:t>
      </w:r>
      <w:r w:rsidRPr="00BA2FCC">
        <w:rPr>
          <w:lang w:val="ru-RU"/>
        </w:rPr>
        <w:tab/>
        <w:t>27</w:t>
      </w:r>
      <w:r w:rsidRPr="00641BD2">
        <w:t> </w:t>
      </w:r>
      <w:r w:rsidRPr="00BA2FCC">
        <w:rPr>
          <w:lang w:val="ru-RU"/>
        </w:rPr>
        <w:t xml:space="preserve">124,40 </w:t>
      </w:r>
      <w:r>
        <w:rPr>
          <w:lang w:val="ru-RU"/>
        </w:rPr>
        <w:t>швейцарского</w:t>
      </w:r>
      <w:r w:rsidRPr="00BA2FCC">
        <w:rPr>
          <w:lang w:val="ru-RU"/>
        </w:rPr>
        <w:t xml:space="preserve"> </w:t>
      </w:r>
      <w:r>
        <w:rPr>
          <w:lang w:val="ru-RU"/>
        </w:rPr>
        <w:t>франка</w:t>
      </w:r>
      <w:r w:rsidR="00BA2FCC" w:rsidRPr="00BA2FCC">
        <w:rPr>
          <w:lang w:val="ru-RU"/>
        </w:rPr>
        <w:t xml:space="preserve">, </w:t>
      </w:r>
      <w:r w:rsidR="00BA2FCC">
        <w:rPr>
          <w:lang w:val="ru-RU"/>
        </w:rPr>
        <w:t>причитающиеся</w:t>
      </w:r>
      <w:r w:rsidR="00BA2FCC" w:rsidRPr="00BA2FCC">
        <w:rPr>
          <w:lang w:val="ru-RU"/>
        </w:rPr>
        <w:t xml:space="preserve"> </w:t>
      </w:r>
      <w:r w:rsidR="00BA2FCC">
        <w:rPr>
          <w:lang w:val="ru-RU"/>
        </w:rPr>
        <w:t>с</w:t>
      </w:r>
      <w:r w:rsidR="00BA2FCC" w:rsidRPr="00BA2FCC">
        <w:rPr>
          <w:lang w:val="ru-RU"/>
        </w:rPr>
        <w:t xml:space="preserve"> </w:t>
      </w:r>
      <w:r w:rsidR="00BA2FCC">
        <w:rPr>
          <w:lang w:val="ru-RU"/>
        </w:rPr>
        <w:t>Объединенных</w:t>
      </w:r>
      <w:r w:rsidR="00BA2FCC" w:rsidRPr="00BA2FCC">
        <w:rPr>
          <w:lang w:val="ru-RU"/>
        </w:rPr>
        <w:t xml:space="preserve"> </w:t>
      </w:r>
      <w:r w:rsidR="00BA2FCC">
        <w:rPr>
          <w:lang w:val="ru-RU"/>
        </w:rPr>
        <w:t>Арабских</w:t>
      </w:r>
      <w:r w:rsidR="00BA2FCC" w:rsidRPr="00BA2FCC">
        <w:rPr>
          <w:lang w:val="ru-RU"/>
        </w:rPr>
        <w:t xml:space="preserve"> </w:t>
      </w:r>
      <w:r w:rsidR="00BA2FCC">
        <w:rPr>
          <w:lang w:val="ru-RU"/>
        </w:rPr>
        <w:t>Эмиратов</w:t>
      </w:r>
      <w:r w:rsidR="00BA2FCC">
        <w:rPr>
          <w:spacing w:val="-2"/>
          <w:lang w:val="ru-RU"/>
        </w:rPr>
        <w:t>, которые погасили свою задолженность по взносам за</w:t>
      </w:r>
      <w:r w:rsidRPr="00BA2FCC">
        <w:rPr>
          <w:spacing w:val="-2"/>
          <w:lang w:val="ru-RU"/>
        </w:rPr>
        <w:t xml:space="preserve"> 2022</w:t>
      </w:r>
      <w:r w:rsidR="00BA2FCC">
        <w:rPr>
          <w:spacing w:val="-2"/>
          <w:lang w:val="ru-RU"/>
        </w:rPr>
        <w:t> год</w:t>
      </w:r>
      <w:r w:rsidR="004454B2">
        <w:rPr>
          <w:spacing w:val="-2"/>
          <w:lang w:val="ru-RU"/>
        </w:rPr>
        <w:t>;</w:t>
      </w:r>
    </w:p>
    <w:p w14:paraId="7DBF2BB5" w14:textId="4C929FFC" w:rsidR="003528AA" w:rsidRDefault="003528AA" w:rsidP="006C1436">
      <w:pPr>
        <w:pStyle w:val="enumlev1"/>
        <w:rPr>
          <w:lang w:val="ru-RU"/>
        </w:rPr>
      </w:pPr>
      <w:r w:rsidRPr="00BA2FCC">
        <w:rPr>
          <w:spacing w:val="-2"/>
          <w:lang w:val="ru-RU"/>
        </w:rPr>
        <w:tab/>
      </w:r>
      <w:r w:rsidR="006C1436" w:rsidRPr="00641BD2">
        <w:rPr>
          <w:lang w:val="ru-RU"/>
        </w:rPr>
        <w:t>Общая</w:t>
      </w:r>
      <w:r w:rsidR="006C1436">
        <w:rPr>
          <w:lang w:val="ru-RU"/>
        </w:rPr>
        <w:t xml:space="preserve"> сумма процентов по просроченным платежам составляет </w:t>
      </w:r>
      <w:r w:rsidRPr="00641BD2">
        <w:rPr>
          <w:b/>
          <w:bCs/>
          <w:lang w:val="ru-RU"/>
        </w:rPr>
        <w:t>760</w:t>
      </w:r>
      <w:r w:rsidR="001474CB">
        <w:rPr>
          <w:b/>
          <w:bCs/>
          <w:lang w:val="ru-RU"/>
        </w:rPr>
        <w:t> </w:t>
      </w:r>
      <w:r w:rsidRPr="00641BD2">
        <w:rPr>
          <w:b/>
          <w:bCs/>
          <w:lang w:val="ru-RU"/>
        </w:rPr>
        <w:t>744</w:t>
      </w:r>
      <w:r w:rsidR="001474CB">
        <w:rPr>
          <w:b/>
          <w:bCs/>
          <w:lang w:val="ru-RU"/>
        </w:rPr>
        <w:t>,</w:t>
      </w:r>
      <w:r w:rsidRPr="00641BD2">
        <w:rPr>
          <w:b/>
          <w:bCs/>
          <w:lang w:val="ru-RU"/>
        </w:rPr>
        <w:t>30</w:t>
      </w:r>
      <w:r w:rsidR="001474CB">
        <w:rPr>
          <w:lang w:val="ru-RU"/>
        </w:rPr>
        <w:t> </w:t>
      </w:r>
      <w:r w:rsidRPr="003528AA">
        <w:rPr>
          <w:b/>
          <w:bCs/>
          <w:lang w:val="ru-RU"/>
        </w:rPr>
        <w:t>швейцарского франка</w:t>
      </w:r>
      <w:r w:rsidRPr="00B81152">
        <w:rPr>
          <w:lang w:val="ru-RU"/>
        </w:rPr>
        <w:t>.</w:t>
      </w:r>
    </w:p>
    <w:p w14:paraId="3FAF3723" w14:textId="28886F30" w:rsidR="00105597" w:rsidRDefault="00105597" w:rsidP="00105597">
      <w:pPr>
        <w:rPr>
          <w:lang w:val="ru-RU"/>
        </w:rPr>
      </w:pPr>
      <w:r>
        <w:rPr>
          <w:lang w:val="ru-RU"/>
        </w:rPr>
        <w:t>3.3</w:t>
      </w:r>
      <w:r>
        <w:rPr>
          <w:lang w:val="ru-RU"/>
        </w:rPr>
        <w:tab/>
      </w:r>
      <w:r w:rsidR="00BA2FCC">
        <w:rPr>
          <w:lang w:val="ru-RU"/>
        </w:rPr>
        <w:t>В следующей далее таблице показаны с</w:t>
      </w:r>
      <w:r>
        <w:rPr>
          <w:lang w:val="ru-RU"/>
        </w:rPr>
        <w:t xml:space="preserve">уммы, причитающиеся с </w:t>
      </w:r>
      <w:r w:rsidR="00BA2FCC">
        <w:rPr>
          <w:lang w:val="ru-RU"/>
        </w:rPr>
        <w:t>организаций</w:t>
      </w:r>
      <w:r>
        <w:rPr>
          <w:lang w:val="ru-RU"/>
        </w:rPr>
        <w:t>, задолженности которых следует считать безнадежными. Представлены два вида случаев:</w:t>
      </w:r>
    </w:p>
    <w:p w14:paraId="3FE31EDE" w14:textId="5E01873C" w:rsidR="00105597" w:rsidRDefault="00105597" w:rsidP="00105597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BA2FCC">
        <w:rPr>
          <w:lang w:val="ru-RU"/>
        </w:rPr>
        <w:t>организации</w:t>
      </w:r>
      <w:r>
        <w:rPr>
          <w:lang w:val="ru-RU"/>
        </w:rPr>
        <w:t>, в отношении которых процедура направления уведомлений полностью исчерпана;</w:t>
      </w:r>
    </w:p>
    <w:p w14:paraId="07240CBC" w14:textId="04F6DEFF" w:rsidR="00105597" w:rsidRDefault="00105597" w:rsidP="00105597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BA2FCC">
        <w:rPr>
          <w:lang w:val="ru-RU"/>
        </w:rPr>
        <w:t>организации</w:t>
      </w:r>
      <w:r>
        <w:rPr>
          <w:lang w:val="ru-RU"/>
        </w:rPr>
        <w:t>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34F0DBFE" w14:textId="480287C0" w:rsidR="00105597" w:rsidRDefault="00105597" w:rsidP="00105597">
      <w:pPr>
        <w:tabs>
          <w:tab w:val="clear" w:pos="794"/>
        </w:tabs>
        <w:spacing w:after="120"/>
        <w:rPr>
          <w:lang w:val="ru-RU"/>
        </w:rPr>
      </w:pPr>
      <w:r>
        <w:rPr>
          <w:lang w:val="ru-RU"/>
        </w:rPr>
        <w:t xml:space="preserve">Ниже представлен перечень соответствующих </w:t>
      </w:r>
      <w:r w:rsidR="00521B5C">
        <w:rPr>
          <w:lang w:val="ru-RU"/>
        </w:rPr>
        <w:t>организаций</w:t>
      </w:r>
      <w:r w:rsidR="00BA2FCC">
        <w:rPr>
          <w:lang w:val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27"/>
        <w:gridCol w:w="5330"/>
        <w:gridCol w:w="1604"/>
      </w:tblGrid>
      <w:tr w:rsidR="00105597" w14:paraId="75D89971" w14:textId="77777777" w:rsidTr="001474CB">
        <w:trPr>
          <w:tblHeader/>
          <w:jc w:val="center"/>
        </w:trPr>
        <w:tc>
          <w:tcPr>
            <w:tcW w:w="117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347059" w14:textId="77777777" w:rsidR="00105597" w:rsidRDefault="0010559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Страна</w:t>
            </w:r>
          </w:p>
        </w:tc>
        <w:tc>
          <w:tcPr>
            <w:tcW w:w="29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1C6CE56" w14:textId="0E617603" w:rsidR="00105597" w:rsidRPr="00BA2FCC" w:rsidRDefault="00BA2FCC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О</w:t>
            </w:r>
            <w:r>
              <w:rPr>
                <w:lang w:val="ru-RU"/>
              </w:rPr>
              <w:t>рганизация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2E6A86F" w14:textId="77777777" w:rsidR="00105597" w:rsidRDefault="0010559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Годы</w:t>
            </w:r>
          </w:p>
        </w:tc>
      </w:tr>
      <w:tr w:rsidR="00773B67" w:rsidRPr="00773B67" w14:paraId="4F5E8174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18311" w14:textId="0C63FA0C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Алжир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FCB8" w14:textId="4C59BBD5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INPTIC, </w:t>
            </w:r>
            <w:r w:rsidR="00884C46">
              <w:rPr>
                <w:lang w:val="ru-RU" w:eastAsia="zh-CN"/>
              </w:rPr>
              <w:t>Алжир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4D4A5" w14:textId="04EEE926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2012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2013</w:t>
            </w:r>
            <w:r>
              <w:rPr>
                <w:lang w:val="ru-RU" w:eastAsia="zh-CN"/>
              </w:rPr>
              <w:t> гг.</w:t>
            </w:r>
          </w:p>
        </w:tc>
      </w:tr>
      <w:tr w:rsidR="00773B67" w:rsidRPr="00773B67" w14:paraId="6167DCE3" w14:textId="77777777" w:rsidTr="001474CB">
        <w:trPr>
          <w:trHeight w:val="40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0BDD" w14:textId="7E23CA3D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 w:rsidRPr="00F572D5">
              <w:t>Кот-д’Ивуар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1D7D" w14:textId="75E357BE" w:rsidR="00773B67" w:rsidRPr="00BA2FCC" w:rsidRDefault="00BA2FCC" w:rsidP="00773B67">
            <w:pPr>
              <w:pStyle w:val="Tabletext"/>
              <w:rPr>
                <w:lang w:val="ru-RU" w:eastAsia="zh-CN"/>
              </w:rPr>
            </w:pPr>
            <w:r w:rsidRPr="00BA2FCC">
              <w:rPr>
                <w:lang w:val="ru-RU" w:eastAsia="zh-CN"/>
              </w:rPr>
              <w:t>Ассоциация потребителей услуг электросвязи Кот</w:t>
            </w:r>
            <w:r w:rsidR="00FE20B6">
              <w:rPr>
                <w:lang w:val="ru-RU" w:eastAsia="zh-CN"/>
              </w:rPr>
              <w:noBreakHyphen/>
            </w:r>
            <w:r w:rsidRPr="00BA2FCC">
              <w:rPr>
                <w:lang w:val="ru-RU" w:eastAsia="zh-CN"/>
              </w:rPr>
              <w:t>д’Ивуара</w:t>
            </w:r>
            <w:r>
              <w:rPr>
                <w:lang w:val="ru-RU" w:eastAsia="zh-CN"/>
              </w:rPr>
              <w:t> –</w:t>
            </w:r>
            <w:r w:rsidR="00773B67" w:rsidRPr="00BA2FCC">
              <w:rPr>
                <w:lang w:val="ru-RU" w:eastAsia="zh-CN"/>
              </w:rPr>
              <w:t xml:space="preserve"> </w:t>
            </w:r>
            <w:r w:rsidR="00773B67" w:rsidRPr="00641BD2">
              <w:rPr>
                <w:lang w:val="fr-FR" w:eastAsia="zh-CN"/>
              </w:rPr>
              <w:t>ACOTELCI</w:t>
            </w:r>
            <w:r w:rsidR="00773B67" w:rsidRPr="00BA2FCC">
              <w:rPr>
                <w:lang w:val="ru-RU" w:eastAsia="zh-CN"/>
              </w:rPr>
              <w:t xml:space="preserve">, </w:t>
            </w:r>
            <w:r w:rsidR="00884C46">
              <w:rPr>
                <w:lang w:val="ru-RU" w:eastAsia="zh-CN"/>
              </w:rPr>
              <w:t>Абиджан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1628" w14:textId="6B4F3358" w:rsidR="00773B67" w:rsidRPr="00773B67" w:rsidRDefault="00BA2FCC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2007</w:t>
            </w:r>
            <w:r>
              <w:rPr>
                <w:lang w:val="ru-RU" w:eastAsia="zh-CN"/>
              </w:rPr>
              <w:t>–2008</w:t>
            </w:r>
            <w:r w:rsidR="006918AB">
              <w:rPr>
                <w:lang w:val="en-US" w:eastAsia="zh-CN"/>
              </w:rPr>
              <w:t> </w:t>
            </w:r>
            <w:r w:rsidR="00773B67">
              <w:rPr>
                <w:lang w:val="ru-RU" w:eastAsia="zh-CN"/>
              </w:rPr>
              <w:t>гг.</w:t>
            </w:r>
          </w:p>
        </w:tc>
      </w:tr>
      <w:tr w:rsidR="00773B67" w:rsidRPr="00773B67" w14:paraId="17FC5CC4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E114" w14:textId="2B009D2B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 w:rsidRPr="00F572D5">
              <w:t>Кот-д’Ивуар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4BCB1" w14:textId="10ABEED5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Côte d'Ivoire Telecom, </w:t>
            </w:r>
            <w:r w:rsidR="00884C46">
              <w:rPr>
                <w:lang w:val="ru-RU" w:eastAsia="zh-CN"/>
              </w:rPr>
              <w:t>Абиджан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B8E0" w14:textId="1DAF632F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2002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2006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773B67" w:rsidRPr="00773B67" w14:paraId="32F1306E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9A8D" w14:textId="5DC3462A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 w:rsidRPr="00F572D5">
              <w:t>Фиджи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FAC7" w14:textId="1120BFAF" w:rsidR="00773B67" w:rsidRPr="00773B67" w:rsidRDefault="00C648B7" w:rsidP="00773B67">
            <w:pPr>
              <w:pStyle w:val="Tabletext"/>
              <w:rPr>
                <w:lang w:val="ru-RU" w:eastAsia="zh-CN"/>
              </w:rPr>
            </w:pPr>
            <w:r w:rsidRPr="00C648B7">
              <w:rPr>
                <w:lang w:val="ru-RU" w:eastAsia="zh-CN"/>
              </w:rPr>
              <w:t>Южнотихоокеанская комиссия</w:t>
            </w:r>
            <w:r w:rsidR="00773B67" w:rsidRPr="00773B67">
              <w:rPr>
                <w:lang w:val="ru-RU" w:eastAsia="zh-CN"/>
              </w:rPr>
              <w:t xml:space="preserve">, </w:t>
            </w:r>
            <w:r w:rsidR="00BA2FCC">
              <w:rPr>
                <w:lang w:val="ru-RU" w:eastAsia="zh-CN"/>
              </w:rPr>
              <w:t>Сува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58D1" w14:textId="069E5BCA" w:rsidR="00773B67" w:rsidRPr="00773B67" w:rsidRDefault="00BA2FCC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2012</w:t>
            </w:r>
            <w:r>
              <w:rPr>
                <w:lang w:val="ru-RU" w:eastAsia="zh-CN"/>
              </w:rPr>
              <w:t>–2013</w:t>
            </w:r>
            <w:r w:rsidR="006918AB">
              <w:rPr>
                <w:lang w:val="en-US" w:eastAsia="zh-CN"/>
              </w:rPr>
              <w:t> </w:t>
            </w:r>
            <w:r w:rsidR="00773B67">
              <w:rPr>
                <w:lang w:val="ru-RU" w:eastAsia="zh-CN"/>
              </w:rPr>
              <w:t>гг.</w:t>
            </w:r>
          </w:p>
        </w:tc>
      </w:tr>
      <w:tr w:rsidR="00773B67" w:rsidRPr="00773B67" w14:paraId="57448B13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B204" w14:textId="2F4AADC1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Финляндия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3D4A" w14:textId="356E75D8" w:rsidR="00773B67" w:rsidRPr="008B678C" w:rsidRDefault="00773B67" w:rsidP="00773B67">
            <w:pPr>
              <w:pStyle w:val="Tabletext"/>
              <w:rPr>
                <w:lang w:val="ru-RU" w:eastAsia="zh-CN"/>
              </w:rPr>
            </w:pPr>
            <w:r w:rsidRPr="00641BD2">
              <w:rPr>
                <w:lang w:eastAsia="zh-CN"/>
              </w:rPr>
              <w:t>Octagon</w:t>
            </w:r>
            <w:r w:rsidRPr="008B678C">
              <w:rPr>
                <w:lang w:val="ru-RU" w:eastAsia="zh-CN"/>
              </w:rPr>
              <w:t xml:space="preserve"> </w:t>
            </w:r>
            <w:r w:rsidRPr="00641BD2">
              <w:rPr>
                <w:lang w:eastAsia="zh-CN"/>
              </w:rPr>
              <w:t>Telecom</w:t>
            </w:r>
            <w:r w:rsidRPr="008B678C">
              <w:rPr>
                <w:lang w:val="ru-RU" w:eastAsia="zh-CN"/>
              </w:rPr>
              <w:t xml:space="preserve"> </w:t>
            </w:r>
            <w:r w:rsidRPr="00641BD2">
              <w:rPr>
                <w:lang w:eastAsia="zh-CN"/>
              </w:rPr>
              <w:t>Oy</w:t>
            </w:r>
            <w:r w:rsidRPr="008B678C">
              <w:rPr>
                <w:lang w:val="ru-RU" w:eastAsia="zh-CN"/>
              </w:rPr>
              <w:t xml:space="preserve"> (</w:t>
            </w:r>
            <w:r w:rsidR="00BA2FCC">
              <w:rPr>
                <w:lang w:val="ru-RU" w:eastAsia="zh-CN"/>
              </w:rPr>
              <w:t>бывшая</w:t>
            </w:r>
            <w:r w:rsidRPr="008B678C">
              <w:rPr>
                <w:lang w:val="ru-RU" w:eastAsia="zh-CN"/>
              </w:rPr>
              <w:t xml:space="preserve"> </w:t>
            </w:r>
            <w:r w:rsidRPr="00641BD2">
              <w:rPr>
                <w:lang w:eastAsia="zh-CN"/>
              </w:rPr>
              <w:t>Oy</w:t>
            </w:r>
            <w:r w:rsidRPr="008B678C">
              <w:rPr>
                <w:lang w:val="ru-RU" w:eastAsia="zh-CN"/>
              </w:rPr>
              <w:t xml:space="preserve"> </w:t>
            </w:r>
            <w:proofErr w:type="spellStart"/>
            <w:r w:rsidRPr="00641BD2">
              <w:rPr>
                <w:lang w:eastAsia="zh-CN"/>
              </w:rPr>
              <w:t>Cubio</w:t>
            </w:r>
            <w:proofErr w:type="spellEnd"/>
            <w:r w:rsidRPr="008B678C">
              <w:rPr>
                <w:lang w:val="ru-RU" w:eastAsia="zh-CN"/>
              </w:rPr>
              <w:t xml:space="preserve"> </w:t>
            </w:r>
            <w:r w:rsidRPr="00641BD2">
              <w:rPr>
                <w:lang w:eastAsia="zh-CN"/>
              </w:rPr>
              <w:t>Communications</w:t>
            </w:r>
            <w:r w:rsidRPr="008B678C">
              <w:rPr>
                <w:lang w:val="ru-RU" w:eastAsia="zh-CN"/>
              </w:rPr>
              <w:t xml:space="preserve"> </w:t>
            </w:r>
            <w:r w:rsidRPr="00641BD2">
              <w:rPr>
                <w:lang w:eastAsia="zh-CN"/>
              </w:rPr>
              <w:t>Ltd</w:t>
            </w:r>
            <w:r w:rsidRPr="008B678C">
              <w:rPr>
                <w:lang w:val="ru-RU" w:eastAsia="zh-CN"/>
              </w:rPr>
              <w:t xml:space="preserve">.), </w:t>
            </w:r>
            <w:r w:rsidR="00884C46">
              <w:rPr>
                <w:lang w:val="ru-RU" w:eastAsia="zh-CN"/>
              </w:rPr>
              <w:t>Хельсинки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00B3" w14:textId="587DB2DB" w:rsidR="00773B67" w:rsidRPr="00773B67" w:rsidRDefault="00BA2FCC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2012</w:t>
            </w:r>
            <w:r>
              <w:rPr>
                <w:lang w:val="ru-RU" w:eastAsia="zh-CN"/>
              </w:rPr>
              <w:t>–2013</w:t>
            </w:r>
            <w:r w:rsidR="006918AB">
              <w:rPr>
                <w:lang w:val="en-US" w:eastAsia="zh-CN"/>
              </w:rPr>
              <w:t> </w:t>
            </w:r>
            <w:r w:rsidR="00773B67">
              <w:rPr>
                <w:lang w:val="ru-RU" w:eastAsia="zh-CN"/>
              </w:rPr>
              <w:t>гг.</w:t>
            </w:r>
          </w:p>
        </w:tc>
      </w:tr>
      <w:tr w:rsidR="00773B67" w:rsidRPr="00773B67" w14:paraId="2E5D1644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2CA5" w14:textId="6390EDFF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Индия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A07E" w14:textId="57939DF3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Tata Communications, </w:t>
            </w:r>
            <w:r w:rsidR="00884C46" w:rsidRPr="00884C46">
              <w:rPr>
                <w:lang w:val="ru-RU" w:eastAsia="zh-CN"/>
              </w:rPr>
              <w:t>Нью-Дели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C0A3" w14:textId="57E7F373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г.</w:t>
            </w:r>
          </w:p>
        </w:tc>
      </w:tr>
      <w:tr w:rsidR="00773B67" w:rsidRPr="00773B67" w14:paraId="62687B08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FB81" w14:textId="2A4117D5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Индия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64AB" w14:textId="28BF4B6A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Vihaan Ntwks. Ltd., </w:t>
            </w:r>
            <w:r w:rsidR="005B0CD4" w:rsidRPr="005B0CD4">
              <w:rPr>
                <w:lang w:val="ru-RU" w:eastAsia="zh-CN"/>
              </w:rPr>
              <w:t>Гургаон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EE80A" w14:textId="09356843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2013</w:t>
            </w:r>
            <w:r>
              <w:rPr>
                <w:lang w:val="ru-RU" w:eastAsia="zh-CN"/>
              </w:rPr>
              <w:t> г.</w:t>
            </w:r>
          </w:p>
        </w:tc>
      </w:tr>
      <w:tr w:rsidR="00773B67" w:rsidRPr="00773B67" w14:paraId="741D8675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D2F9" w14:textId="2B5E917B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Мексика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E836F" w14:textId="03C91E3D" w:rsidR="00773B67" w:rsidRPr="00773B67" w:rsidRDefault="00616553" w:rsidP="00773B67">
            <w:pPr>
              <w:pStyle w:val="Tabletext"/>
              <w:rPr>
                <w:lang w:val="ru-RU" w:eastAsia="zh-CN"/>
              </w:rPr>
            </w:pPr>
            <w:r w:rsidRPr="00616553">
              <w:rPr>
                <w:lang w:val="ru-RU" w:eastAsia="zh-CN"/>
              </w:rPr>
              <w:t>CANITEC, Мехико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4FF29" w14:textId="7D5BA391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2011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773B67" w:rsidRPr="00773B67" w14:paraId="7DF296CC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2A0B" w14:textId="4D645462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Пакистан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5C56E" w14:textId="5EE6C9B2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e Worldwide Group, </w:t>
            </w:r>
            <w:r w:rsidR="00884C46">
              <w:rPr>
                <w:lang w:val="ru-RU" w:eastAsia="zh-CN"/>
              </w:rPr>
              <w:t>Исламабад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FA35" w14:textId="4E4DA685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2011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773B67" w:rsidRPr="00773B67" w14:paraId="2F616014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FFE41" w14:textId="78B89038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lastRenderedPageBreak/>
              <w:t>Судан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DE0D" w14:textId="235D8C41" w:rsidR="00773B67" w:rsidRPr="00641BD2" w:rsidRDefault="00BA2FCC" w:rsidP="00773B67">
            <w:pPr>
              <w:pStyle w:val="Tabletext"/>
              <w:rPr>
                <w:lang w:eastAsia="zh-CN"/>
              </w:rPr>
            </w:pPr>
            <w:r w:rsidRPr="00BA2FCC">
              <w:rPr>
                <w:lang w:eastAsia="zh-CN"/>
              </w:rPr>
              <w:t>Открытый университет Судана</w:t>
            </w:r>
            <w:r w:rsidR="00773B67" w:rsidRPr="00641BD2">
              <w:rPr>
                <w:lang w:eastAsia="zh-CN"/>
              </w:rPr>
              <w:t xml:space="preserve">, </w:t>
            </w:r>
            <w:r w:rsidR="00884C46">
              <w:rPr>
                <w:lang w:val="ru-RU" w:eastAsia="zh-CN"/>
              </w:rPr>
              <w:t>Хартум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7BC7" w14:textId="7F024DBD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2013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2014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773B67" w:rsidRPr="00773B67" w14:paraId="5531E9CF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FB07D" w14:textId="66EE4290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Тунис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815B" w14:textId="282F7642" w:rsidR="00773B67" w:rsidRPr="00BA2FCC" w:rsidRDefault="00773B67" w:rsidP="00773B67">
            <w:pPr>
              <w:pStyle w:val="Tabletext"/>
              <w:rPr>
                <w:lang w:eastAsia="zh-CN"/>
              </w:rPr>
            </w:pPr>
            <w:r w:rsidRPr="00641BD2">
              <w:rPr>
                <w:lang w:eastAsia="zh-CN"/>
              </w:rPr>
              <w:t xml:space="preserve">Orascom Telecom Tunisiana, </w:t>
            </w:r>
            <w:r w:rsidR="00BA2FCC">
              <w:rPr>
                <w:lang w:val="ru-RU" w:eastAsia="zh-CN"/>
              </w:rPr>
              <w:t>Тунис</w:t>
            </w:r>
            <w:r w:rsidR="00BA2FCC" w:rsidRPr="00BA2FCC">
              <w:rPr>
                <w:lang w:eastAsia="zh-CN"/>
              </w:rPr>
              <w:t>-</w:t>
            </w:r>
            <w:r w:rsidR="00BA2FCC">
              <w:rPr>
                <w:lang w:val="ru-RU" w:eastAsia="zh-CN"/>
              </w:rPr>
              <w:t>Карфаген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40A5" w14:textId="7A298D46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г.</w:t>
            </w:r>
          </w:p>
        </w:tc>
      </w:tr>
      <w:tr w:rsidR="00773B67" w:rsidRPr="00773B67" w14:paraId="4C32E83D" w14:textId="77777777" w:rsidTr="001474CB">
        <w:trPr>
          <w:trHeight w:val="288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398F1" w14:textId="438ECD88" w:rsidR="00773B67" w:rsidRPr="00773B67" w:rsidRDefault="00640D08" w:rsidP="00773B67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Соединенное Королевство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413A" w14:textId="04D89C10" w:rsidR="00773B67" w:rsidRPr="00BA2FCC" w:rsidRDefault="00773B67" w:rsidP="00773B67">
            <w:pPr>
              <w:pStyle w:val="Tabletext"/>
              <w:rPr>
                <w:lang w:eastAsia="zh-CN"/>
              </w:rPr>
            </w:pPr>
            <w:r w:rsidRPr="00641BD2">
              <w:rPr>
                <w:lang w:eastAsia="zh-CN"/>
              </w:rPr>
              <w:t>KRE Corporate Recovery LLP (</w:t>
            </w:r>
            <w:r w:rsidR="00BA2FCC">
              <w:rPr>
                <w:lang w:val="ru-RU" w:eastAsia="zh-CN"/>
              </w:rPr>
              <w:t>бывшая</w:t>
            </w:r>
            <w:r w:rsidRPr="00641BD2">
              <w:rPr>
                <w:lang w:eastAsia="zh-CN"/>
              </w:rPr>
              <w:t xml:space="preserve"> ICO Satellite Limited), </w:t>
            </w:r>
            <w:r w:rsidR="00BA2FCC">
              <w:rPr>
                <w:lang w:val="ru-RU" w:eastAsia="zh-CN"/>
              </w:rPr>
              <w:t>Беркшир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6024D" w14:textId="379B71B4" w:rsidR="00773B67" w:rsidRPr="00773B67" w:rsidRDefault="00773B67" w:rsidP="00773B67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2012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05D4D0AF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42B4" w14:textId="7DC963BB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C55D" w14:textId="357A1145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Animatele Inc., </w:t>
            </w:r>
            <w:r w:rsidR="00884C46" w:rsidRPr="00884C46">
              <w:rPr>
                <w:lang w:val="ru-RU" w:eastAsia="zh-CN"/>
              </w:rPr>
              <w:t>Нью-Йорк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34FAF" w14:textId="1BDE1047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2011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г.</w:t>
            </w:r>
          </w:p>
        </w:tc>
      </w:tr>
      <w:tr w:rsidR="00640D08" w:rsidRPr="00773B67" w14:paraId="7D3232C9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67076" w14:textId="5E1E78F1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54320" w14:textId="6A2A1293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AOL, </w:t>
            </w:r>
            <w:r w:rsidR="00884C46" w:rsidRPr="00884C46">
              <w:rPr>
                <w:lang w:val="ru-RU" w:eastAsia="zh-CN"/>
              </w:rPr>
              <w:t>Нью-Йорк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CD772" w14:textId="1B35B62B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2002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2003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691C6148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4B53" w14:textId="31552FFD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5DD6" w14:textId="6FE9A772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Compuware Corporation, </w:t>
            </w:r>
            <w:r w:rsidR="00884C46">
              <w:rPr>
                <w:lang w:val="ru-RU" w:eastAsia="zh-CN"/>
              </w:rPr>
              <w:t>Детройт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9470" w14:textId="2C1C59F3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2009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2010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4A297B8C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E3C6" w14:textId="31F6E567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C386" w14:textId="480A3F00" w:rsidR="00640D08" w:rsidRPr="00641BD2" w:rsidRDefault="00640D08" w:rsidP="00640D08">
            <w:pPr>
              <w:pStyle w:val="Tabletext"/>
              <w:rPr>
                <w:lang w:eastAsia="zh-CN"/>
              </w:rPr>
            </w:pPr>
            <w:r w:rsidRPr="00641BD2">
              <w:rPr>
                <w:lang w:eastAsia="zh-CN"/>
              </w:rPr>
              <w:t xml:space="preserve">Covad Communications Co., </w:t>
            </w:r>
            <w:r w:rsidR="00884C46">
              <w:rPr>
                <w:lang w:val="ru-RU" w:eastAsia="zh-CN"/>
              </w:rPr>
              <w:t>Сан</w:t>
            </w:r>
            <w:r w:rsidR="00884C46" w:rsidRPr="00641BD2">
              <w:rPr>
                <w:lang w:eastAsia="zh-CN"/>
              </w:rPr>
              <w:t>-</w:t>
            </w:r>
            <w:r w:rsidR="00884C46">
              <w:rPr>
                <w:lang w:val="ru-RU" w:eastAsia="zh-CN"/>
              </w:rPr>
              <w:t>Хосе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BC60C" w14:textId="3E1ADE37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2001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2002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0883055F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84C0" w14:textId="03353221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90E5" w14:textId="08362659" w:rsidR="00640D08" w:rsidRPr="00641BD2" w:rsidRDefault="00640D08" w:rsidP="00640D08">
            <w:pPr>
              <w:pStyle w:val="Tabletext"/>
              <w:rPr>
                <w:lang w:eastAsia="zh-CN"/>
              </w:rPr>
            </w:pPr>
            <w:r w:rsidRPr="00641BD2">
              <w:rPr>
                <w:lang w:eastAsia="zh-CN"/>
              </w:rPr>
              <w:t xml:space="preserve">Cypress Semiconductor Corp., </w:t>
            </w:r>
            <w:r w:rsidR="00884C46">
              <w:rPr>
                <w:lang w:val="ru-RU" w:eastAsia="zh-CN"/>
              </w:rPr>
              <w:t>Сан</w:t>
            </w:r>
            <w:r w:rsidR="00884C46" w:rsidRPr="00641BD2">
              <w:rPr>
                <w:lang w:eastAsia="zh-CN"/>
              </w:rPr>
              <w:t>-</w:t>
            </w:r>
            <w:r w:rsidR="00884C46">
              <w:rPr>
                <w:lang w:val="ru-RU" w:eastAsia="zh-CN"/>
              </w:rPr>
              <w:t>Хосе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D5E30" w14:textId="4E777060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2004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2005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24761C6F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1CE40" w14:textId="25EACE78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44B2" w14:textId="12D549D6" w:rsidR="00640D08" w:rsidRPr="005B0CD4" w:rsidRDefault="00640D08" w:rsidP="00640D08">
            <w:pPr>
              <w:pStyle w:val="Tabletext"/>
              <w:rPr>
                <w:lang w:val="ru-RU" w:eastAsia="zh-CN"/>
              </w:rPr>
            </w:pPr>
            <w:r w:rsidRPr="005B0CD4">
              <w:rPr>
                <w:lang w:val="ru-RU" w:eastAsia="zh-CN"/>
              </w:rPr>
              <w:t xml:space="preserve">Lightwaves Inc., </w:t>
            </w:r>
            <w:r w:rsidR="005B0CD4" w:rsidRPr="005B0CD4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Сидар-Рапидс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2132A" w14:textId="578044C2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2009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г.</w:t>
            </w:r>
          </w:p>
        </w:tc>
      </w:tr>
      <w:tr w:rsidR="00640D08" w:rsidRPr="00773B67" w14:paraId="7029A48C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D908F" w14:textId="5877E8FB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ADAC" w14:textId="09165C86" w:rsidR="00640D08" w:rsidRPr="00641BD2" w:rsidRDefault="00640D08" w:rsidP="00640D08">
            <w:pPr>
              <w:pStyle w:val="Tabletext"/>
              <w:rPr>
                <w:lang w:eastAsia="zh-CN"/>
              </w:rPr>
            </w:pPr>
            <w:r w:rsidRPr="00641BD2">
              <w:rPr>
                <w:lang w:eastAsia="zh-CN"/>
              </w:rPr>
              <w:t xml:space="preserve">The Village Group Inc., </w:t>
            </w:r>
            <w:r w:rsidR="005B0CD4" w:rsidRPr="005B0CD4">
              <w:rPr>
                <w:lang w:eastAsia="zh-CN"/>
              </w:rPr>
              <w:t>Уолтем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64C4B" w14:textId="531A228C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2007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2008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  <w:tr w:rsidR="00640D08" w:rsidRPr="00773B67" w14:paraId="714A2812" w14:textId="77777777" w:rsidTr="001474CB">
        <w:trPr>
          <w:trHeight w:val="315"/>
          <w:jc w:val="center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7DC2" w14:textId="0FEA0A4D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EF5438">
              <w:rPr>
                <w:lang w:val="ru-RU" w:eastAsia="zh-CN"/>
              </w:rPr>
              <w:t>Соединенные Штаты Америки</w:t>
            </w:r>
          </w:p>
        </w:tc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285C" w14:textId="65D1EAF8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 xml:space="preserve">Vocal Technologies Ltd, </w:t>
            </w:r>
            <w:r w:rsidR="005B0CD4" w:rsidRPr="005B0CD4">
              <w:rPr>
                <w:lang w:val="ru-RU" w:eastAsia="zh-CN"/>
              </w:rPr>
              <w:t>Амхёрст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23B2" w14:textId="6579CFD5" w:rsidR="00640D08" w:rsidRPr="00773B67" w:rsidRDefault="00640D08" w:rsidP="00640D08">
            <w:pPr>
              <w:pStyle w:val="Tabletext"/>
              <w:rPr>
                <w:lang w:val="ru-RU" w:eastAsia="zh-CN"/>
              </w:rPr>
            </w:pPr>
            <w:r w:rsidRPr="00773B67">
              <w:rPr>
                <w:lang w:val="ru-RU" w:eastAsia="zh-CN"/>
              </w:rPr>
              <w:t>1998</w:t>
            </w:r>
            <w:r>
              <w:rPr>
                <w:lang w:val="ru-RU" w:eastAsia="zh-CN"/>
              </w:rPr>
              <w:t>−</w:t>
            </w:r>
            <w:r w:rsidRPr="00773B67">
              <w:rPr>
                <w:lang w:val="ru-RU" w:eastAsia="zh-CN"/>
              </w:rPr>
              <w:t>2002</w:t>
            </w:r>
            <w:r w:rsidR="006918AB">
              <w:rPr>
                <w:lang w:val="en-US" w:eastAsia="zh-CN"/>
              </w:rPr>
              <w:t> </w:t>
            </w:r>
            <w:r>
              <w:rPr>
                <w:lang w:val="ru-RU" w:eastAsia="zh-CN"/>
              </w:rPr>
              <w:t>гг.</w:t>
            </w:r>
          </w:p>
        </w:tc>
      </w:tr>
    </w:tbl>
    <w:p w14:paraId="1A2D14D7" w14:textId="342674D9" w:rsidR="00105597" w:rsidRDefault="00105597" w:rsidP="00105597">
      <w:pPr>
        <w:spacing w:before="240"/>
        <w:rPr>
          <w:lang w:val="ru-RU"/>
        </w:rPr>
      </w:pPr>
      <w:r>
        <w:rPr>
          <w:lang w:val="ru-RU"/>
        </w:rPr>
        <w:t xml:space="preserve">Общий объем причитающихся сумм составляет </w:t>
      </w:r>
      <w:r w:rsidR="00FD39AA" w:rsidRPr="00FD39AA">
        <w:rPr>
          <w:b/>
          <w:bCs/>
          <w:lang w:val="ru-RU"/>
        </w:rPr>
        <w:t>2</w:t>
      </w:r>
      <w:r w:rsidR="00FD39AA">
        <w:rPr>
          <w:b/>
          <w:bCs/>
          <w:lang w:val="ru-RU"/>
        </w:rPr>
        <w:t> </w:t>
      </w:r>
      <w:r w:rsidR="00FD39AA" w:rsidRPr="00FD39AA">
        <w:rPr>
          <w:b/>
          <w:bCs/>
          <w:lang w:val="ru-RU"/>
        </w:rPr>
        <w:t>208</w:t>
      </w:r>
      <w:r w:rsidR="00FD39AA">
        <w:rPr>
          <w:b/>
          <w:bCs/>
          <w:lang w:val="ru-RU"/>
        </w:rPr>
        <w:t> </w:t>
      </w:r>
      <w:r w:rsidR="00FD39AA" w:rsidRPr="00FD39AA">
        <w:rPr>
          <w:b/>
          <w:bCs/>
          <w:lang w:val="ru-RU"/>
        </w:rPr>
        <w:t>394</w:t>
      </w:r>
      <w:r w:rsidR="00FD39AA">
        <w:rPr>
          <w:b/>
          <w:bCs/>
          <w:lang w:val="ru-RU"/>
        </w:rPr>
        <w:t>,</w:t>
      </w:r>
      <w:r w:rsidR="00FD39AA" w:rsidRPr="00FD39AA">
        <w:rPr>
          <w:b/>
          <w:bCs/>
          <w:lang w:val="ru-RU"/>
        </w:rPr>
        <w:t xml:space="preserve">72 </w:t>
      </w:r>
      <w:r>
        <w:rPr>
          <w:b/>
          <w:bCs/>
          <w:lang w:val="ru-RU"/>
        </w:rPr>
        <w:t>швейцарского франка</w:t>
      </w:r>
      <w:r>
        <w:rPr>
          <w:lang w:val="ru-RU"/>
        </w:rPr>
        <w:t>. Дополнительн</w:t>
      </w:r>
      <w:r w:rsidR="00616553">
        <w:rPr>
          <w:lang w:val="ru-RU"/>
        </w:rPr>
        <w:t>ая информация</w:t>
      </w:r>
      <w:r>
        <w:rPr>
          <w:lang w:val="ru-RU"/>
        </w:rPr>
        <w:t xml:space="preserve"> содерж</w:t>
      </w:r>
      <w:r w:rsidR="00616553">
        <w:rPr>
          <w:lang w:val="ru-RU"/>
        </w:rPr>
        <w:t>и</w:t>
      </w:r>
      <w:r>
        <w:rPr>
          <w:lang w:val="ru-RU"/>
        </w:rPr>
        <w:t>тся в Приложении B.</w:t>
      </w:r>
    </w:p>
    <w:p w14:paraId="4E85483B" w14:textId="77777777" w:rsidR="00105597" w:rsidRDefault="00105597" w:rsidP="00105597">
      <w:pPr>
        <w:rPr>
          <w:lang w:val="ru-RU"/>
        </w:rPr>
      </w:pPr>
      <w:r>
        <w:rPr>
          <w:lang w:val="ru-RU"/>
        </w:rPr>
        <w:br w:type="page"/>
      </w:r>
    </w:p>
    <w:p w14:paraId="6A30EE40" w14:textId="77777777" w:rsidR="00105597" w:rsidRDefault="00105597" w:rsidP="00105597">
      <w:pPr>
        <w:pStyle w:val="AnnexNo"/>
        <w:spacing w:before="0"/>
        <w:rPr>
          <w:lang w:val="ru-RU"/>
        </w:rPr>
      </w:pPr>
      <w:r>
        <w:rPr>
          <w:lang w:val="ru-RU"/>
        </w:rPr>
        <w:lastRenderedPageBreak/>
        <w:t>ПРИЛОЖЕНИЕ A</w:t>
      </w:r>
    </w:p>
    <w:p w14:paraId="7230FFE3" w14:textId="77777777" w:rsidR="00105597" w:rsidRDefault="00105597" w:rsidP="00105597">
      <w:pPr>
        <w:pStyle w:val="Annextitle"/>
        <w:spacing w:after="0"/>
        <w:rPr>
          <w:lang w:val="ru-RU"/>
        </w:rPr>
      </w:pPr>
      <w:r>
        <w:rPr>
          <w:lang w:val="ru-RU"/>
        </w:rPr>
        <w:t>Динамика задолженностей и специальных счетов задолженностей</w:t>
      </w:r>
    </w:p>
    <w:p w14:paraId="5CD5A438" w14:textId="77777777" w:rsidR="00105597" w:rsidRPr="00FE20B6" w:rsidRDefault="00105597" w:rsidP="000969B4">
      <w:pPr>
        <w:spacing w:before="0" w:after="120"/>
        <w:jc w:val="center"/>
        <w:rPr>
          <w:b/>
          <w:bCs/>
        </w:rPr>
      </w:pPr>
      <w:r w:rsidRPr="00FE20B6">
        <w:rPr>
          <w:b/>
          <w:bCs/>
        </w:rPr>
        <w:t>(в тыс. швейцарских франков)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7613C" w:rsidRPr="00044567" w14:paraId="3853D98C" w14:textId="77777777" w:rsidTr="0097613C">
        <w:trPr>
          <w:trHeight w:val="46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4066" w14:textId="4A1564BD" w:rsidR="00A52F6E" w:rsidRPr="0097613C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97613C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6538" w14:textId="038429ED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D8DA" w14:textId="0E8F73F3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1648" w14:textId="6BCEA985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C85C" w14:textId="243FD76F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432C" w14:textId="524BE320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A8FB" w14:textId="0F6E5BB3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6F49" w14:textId="53E37423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3602" w14:textId="75C6ED88" w:rsidR="00A52F6E" w:rsidRPr="00A52F6E" w:rsidRDefault="00A52F6E" w:rsidP="0097613C">
            <w:pPr>
              <w:pStyle w:val="Tablehead"/>
              <w:spacing w:before="120" w:after="120"/>
              <w:rPr>
                <w:lang w:val="ru-RU"/>
              </w:rPr>
            </w:pPr>
            <w:r w:rsidRPr="00A52F6E">
              <w:rPr>
                <w:lang w:val="ru-RU"/>
              </w:rPr>
              <w:t>2022 г.</w:t>
            </w:r>
          </w:p>
        </w:tc>
      </w:tr>
      <w:tr w:rsidR="0097613C" w:rsidRPr="00044567" w14:paraId="0172A4D2" w14:textId="77777777" w:rsidTr="0097613C">
        <w:trPr>
          <w:trHeight w:val="46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4F90" w14:textId="78D60A7D" w:rsidR="00A52F6E" w:rsidRPr="00FA43FB" w:rsidRDefault="0097613C" w:rsidP="0097613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color w:val="000000"/>
                <w:lang w:val="en-US"/>
              </w:rPr>
            </w:pPr>
            <w:r w:rsidRPr="0097613C">
              <w:rPr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1431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5D36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D069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2648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85B3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134C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1A68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F2C8" w14:textId="77777777" w:rsidR="00A52F6E" w:rsidRPr="00FA43FB" w:rsidRDefault="00A52F6E" w:rsidP="00F345FB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</w:tr>
      <w:tr w:rsidR="0097613C" w:rsidRPr="00044567" w14:paraId="7C8FC957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E011" w14:textId="60B53883" w:rsidR="0097613C" w:rsidRPr="000969B4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 w:rsidRPr="000969B4">
              <w:rPr>
                <w:rFonts w:cs="Calibri"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D80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3A2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10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1FA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9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D43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CCB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C79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068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069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12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856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927</w:t>
            </w:r>
          </w:p>
        </w:tc>
      </w:tr>
      <w:tr w:rsidR="0097613C" w:rsidRPr="00044567" w14:paraId="5C731A4E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A916" w14:textId="4A0C0647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8A4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4FF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450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CB4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E23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86B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E46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5AF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49</w:t>
            </w:r>
          </w:p>
        </w:tc>
      </w:tr>
      <w:tr w:rsidR="0097613C" w:rsidRPr="00044567" w14:paraId="5AA237AA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AF25" w14:textId="6D791341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E53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94A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10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952D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9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C18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723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49E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9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0D2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F3D4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12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D153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8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976</w:t>
            </w:r>
          </w:p>
        </w:tc>
      </w:tr>
      <w:tr w:rsidR="0097613C" w:rsidRPr="00044567" w14:paraId="19FCAD54" w14:textId="77777777" w:rsidTr="0097613C">
        <w:trPr>
          <w:trHeight w:val="5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DBEB" w14:textId="53607C9B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 w:rsidRPr="0097613C">
              <w:rPr>
                <w:rFonts w:cs="Calibri"/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96F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793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54B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03B8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5A6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C98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3A8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E64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20"/>
                <w:lang w:val="en-US"/>
              </w:rPr>
            </w:pPr>
          </w:p>
        </w:tc>
      </w:tr>
      <w:tr w:rsidR="0097613C" w:rsidRPr="00044567" w14:paraId="0266AEB1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626E" w14:textId="084245AE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F1E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16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D98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15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C2C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13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D84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1E6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D32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9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079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7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061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3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655</w:t>
            </w:r>
          </w:p>
        </w:tc>
      </w:tr>
      <w:tr w:rsidR="0097613C" w:rsidRPr="00044567" w14:paraId="3A7BA278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575D" w14:textId="1C8938E6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60B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A68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2C2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E84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F60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6FE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240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85E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u w:val="single"/>
                <w:lang w:val="en-US"/>
              </w:rPr>
            </w:pPr>
            <w:r w:rsidRPr="00FA43FB">
              <w:rPr>
                <w:rFonts w:cs="Calibri"/>
                <w:sz w:val="20"/>
                <w:u w:val="single"/>
                <w:lang w:val="en-US"/>
              </w:rPr>
              <w:t>196</w:t>
            </w:r>
          </w:p>
        </w:tc>
      </w:tr>
      <w:tr w:rsidR="0097613C" w:rsidRPr="00044567" w14:paraId="37346B2C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0C43" w14:textId="7AC70EA4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666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16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F48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15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BB1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13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9DC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94A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11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493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9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E6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7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E21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lang w:val="en-US"/>
              </w:rPr>
            </w:pPr>
            <w:r w:rsidRPr="00FA43FB">
              <w:rPr>
                <w:rFonts w:cs="Calibri"/>
                <w:sz w:val="20"/>
                <w:lang w:val="en-US"/>
              </w:rPr>
              <w:t>3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FA43FB">
              <w:rPr>
                <w:rFonts w:cs="Calibri"/>
                <w:sz w:val="20"/>
                <w:lang w:val="en-US"/>
              </w:rPr>
              <w:t>851</w:t>
            </w:r>
          </w:p>
        </w:tc>
      </w:tr>
      <w:tr w:rsidR="0097613C" w:rsidRPr="00044567" w14:paraId="14B95CD3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4AA0" w14:textId="5AAD5F1B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A21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24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D8A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25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29C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23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BBB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19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896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4D9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20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8C9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20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42D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19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26D3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12</w:t>
            </w:r>
            <w:r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582</w:t>
            </w:r>
          </w:p>
        </w:tc>
      </w:tr>
      <w:tr w:rsidR="0097613C" w:rsidRPr="00044567" w14:paraId="1E6A745B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776A" w14:textId="082FAFF3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D66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1BE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76D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BF1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E30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4F9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3BF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B88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245</w:t>
            </w:r>
          </w:p>
        </w:tc>
      </w:tr>
      <w:tr w:rsidR="0097613C" w:rsidRPr="00044567" w14:paraId="21C147C3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780A" w14:textId="7962C8BD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12B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24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C73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25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8215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23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94FD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19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A95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20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687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20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31A4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20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D3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12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827</w:t>
            </w:r>
          </w:p>
        </w:tc>
      </w:tr>
      <w:tr w:rsidR="0097613C" w:rsidRPr="00044567" w14:paraId="0A9E7C6A" w14:textId="77777777" w:rsidTr="0097613C">
        <w:trPr>
          <w:trHeight w:val="6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BCCF" w14:textId="0E6BAF48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0EC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15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411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8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C8F3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7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C65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17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4DC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4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9DB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21B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F6F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15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259</w:t>
            </w:r>
          </w:p>
        </w:tc>
      </w:tr>
      <w:tr w:rsidR="0097613C" w:rsidRPr="00044567" w14:paraId="6BF34E97" w14:textId="77777777" w:rsidTr="0097613C">
        <w:trPr>
          <w:trHeight w:val="6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872E" w14:textId="53488508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D7C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10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1F52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12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7CC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13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D9F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4DC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14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2AA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12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349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13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67B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5</w:t>
            </w:r>
            <w:r>
              <w:rPr>
                <w:rFonts w:cs="Calibri"/>
                <w:b/>
                <w:bCs/>
                <w:sz w:val="20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lang w:val="en-US"/>
              </w:rPr>
              <w:t>607</w:t>
            </w:r>
          </w:p>
        </w:tc>
      </w:tr>
      <w:tr w:rsidR="0097613C" w:rsidRPr="00044567" w14:paraId="6AFDFB80" w14:textId="77777777" w:rsidTr="0097613C">
        <w:trPr>
          <w:trHeight w:val="5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482A" w14:textId="2EAE943E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2E8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BE85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C71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725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109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0F5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A0A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9EE8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283</w:t>
            </w:r>
          </w:p>
        </w:tc>
      </w:tr>
      <w:tr w:rsidR="0097613C" w:rsidRPr="00044567" w14:paraId="618E89AA" w14:textId="77777777" w:rsidTr="0097613C">
        <w:trPr>
          <w:trHeight w:val="6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4DD3" w14:textId="69BE7046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РАЗЛИЧНЫЕ </w:t>
            </w:r>
            <w:r w:rsidR="000969B4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4F07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7BEF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691A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C5C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AAD3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55B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3681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A61E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65</w:t>
            </w:r>
          </w:p>
        </w:tc>
      </w:tr>
      <w:tr w:rsidR="0097613C" w:rsidRPr="00044567" w14:paraId="305DBAF4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A4DF" w14:textId="44ADA57D" w:rsidR="0097613C" w:rsidRPr="0097613C" w:rsidRDefault="0097613C" w:rsidP="0097613C">
            <w:pPr>
              <w:pStyle w:val="Tabletext"/>
              <w:spacing w:before="60" w:after="60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Сборы за обслуживание UIFN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DA93" w14:textId="49A4D924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E11E5" w14:textId="2BD2F17A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4586" w14:textId="1BBAB0FD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FC86" w14:textId="2D5AE061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682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D1A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91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5C68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53</w:t>
            </w:r>
          </w:p>
        </w:tc>
      </w:tr>
      <w:tr w:rsidR="0097613C" w:rsidRPr="00044567" w14:paraId="20686E29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5D54" w14:textId="616784D1" w:rsidR="0097613C" w:rsidRPr="000969B4" w:rsidRDefault="0097613C" w:rsidP="0097613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0969B4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ГСППС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35D5" w14:textId="1191481A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0FCF" w14:textId="064B5CF8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5377" w14:textId="6BA105FE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B8D9" w14:textId="57E1CE46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094F9A">
              <w:rPr>
                <w:bCs/>
                <w:lang w:val="ru-RU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34A6" w14:textId="60E25C0E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E4465D">
              <w:rPr>
                <w:bCs/>
                <w:lang w:val="ru-RU"/>
              </w:rPr>
              <w:t>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99A7" w14:textId="7BDA1F9A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E4465D">
              <w:rPr>
                <w:bCs/>
                <w:lang w:val="ru-RU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4AE0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377D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lang w:val="en-US"/>
              </w:rPr>
              <w:t>0</w:t>
            </w:r>
          </w:p>
        </w:tc>
      </w:tr>
      <w:tr w:rsidR="0097613C" w:rsidRPr="00044567" w14:paraId="082E4AC4" w14:textId="77777777" w:rsidTr="0097613C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7586" w14:textId="6B07B73C" w:rsidR="0097613C" w:rsidRPr="000969B4" w:rsidRDefault="0097613C" w:rsidP="0097613C">
            <w:pPr>
              <w:pStyle w:val="Tabletext"/>
              <w:spacing w:before="60" w:after="60"/>
              <w:rPr>
                <w:b/>
                <w:lang w:val="ru-RU"/>
              </w:rPr>
            </w:pPr>
            <w:r w:rsidRPr="000969B4">
              <w:rPr>
                <w:b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5A2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51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D7D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46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6A7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45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0769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39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191D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39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2CC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40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1036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39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DB3B" w14:textId="77777777" w:rsidR="0097613C" w:rsidRPr="00FA43FB" w:rsidRDefault="0097613C" w:rsidP="0097613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u w:val="double"/>
                <w:lang w:val="en-US"/>
              </w:rPr>
            </w:pP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34</w:t>
            </w:r>
            <w:r>
              <w:rPr>
                <w:rFonts w:cs="Calibri"/>
                <w:b/>
                <w:bCs/>
                <w:sz w:val="20"/>
                <w:u w:val="double"/>
                <w:lang w:val="en-US"/>
              </w:rPr>
              <w:t> </w:t>
            </w:r>
            <w:r w:rsidRPr="00FA43FB">
              <w:rPr>
                <w:rFonts w:cs="Calibri"/>
                <w:b/>
                <w:bCs/>
                <w:sz w:val="20"/>
                <w:u w:val="double"/>
                <w:lang w:val="en-US"/>
              </w:rPr>
              <w:t>094</w:t>
            </w:r>
          </w:p>
        </w:tc>
      </w:tr>
    </w:tbl>
    <w:p w14:paraId="1742F133" w14:textId="24FFAB0B" w:rsidR="00105597" w:rsidRDefault="00105597" w:rsidP="00105597">
      <w:pPr>
        <w:pStyle w:val="Normalaftertitle"/>
        <w:rPr>
          <w:lang w:val="ru-RU"/>
        </w:rPr>
      </w:pPr>
      <w:r>
        <w:rPr>
          <w:lang w:val="ru-RU"/>
        </w:rPr>
        <w:t>В настоящую таблицу не включена текущая дебиторская задолженность (т. е. задолженность на 202</w:t>
      </w:r>
      <w:r w:rsidR="00222DD4">
        <w:rPr>
          <w:lang w:val="ru-RU"/>
        </w:rPr>
        <w:t>2</w:t>
      </w:r>
      <w:r>
        <w:rPr>
          <w:lang w:val="ru-RU"/>
        </w:rPr>
        <w:t> г.), объем которой на 31 декабря 202</w:t>
      </w:r>
      <w:r w:rsidR="00222DD4">
        <w:rPr>
          <w:lang w:val="ru-RU"/>
        </w:rPr>
        <w:t>2</w:t>
      </w:r>
      <w:r>
        <w:rPr>
          <w:lang w:val="ru-RU"/>
        </w:rPr>
        <w:t xml:space="preserve"> года составил </w:t>
      </w:r>
      <w:r w:rsidR="00222DD4" w:rsidRPr="00641BD2">
        <w:rPr>
          <w:szCs w:val="22"/>
          <w:lang w:val="ru-RU"/>
        </w:rPr>
        <w:t>14</w:t>
      </w:r>
      <w:r w:rsidR="00222DD4" w:rsidRPr="00BF0AB4">
        <w:rPr>
          <w:szCs w:val="22"/>
          <w:lang w:val="en-US"/>
        </w:rPr>
        <w:t> </w:t>
      </w:r>
      <w:r w:rsidR="00222DD4" w:rsidRPr="00641BD2">
        <w:rPr>
          <w:szCs w:val="22"/>
          <w:lang w:val="ru-RU"/>
        </w:rPr>
        <w:t>048</w:t>
      </w:r>
      <w:r w:rsidR="00222DD4" w:rsidRPr="00BF0AB4">
        <w:rPr>
          <w:szCs w:val="22"/>
          <w:lang w:val="en-US"/>
        </w:rPr>
        <w:t> </w:t>
      </w:r>
      <w:r w:rsidR="00222DD4" w:rsidRPr="00641BD2">
        <w:rPr>
          <w:szCs w:val="22"/>
          <w:lang w:val="ru-RU"/>
        </w:rPr>
        <w:t>000</w:t>
      </w:r>
      <w:r w:rsidR="00222DD4">
        <w:rPr>
          <w:szCs w:val="22"/>
          <w:lang w:val="ru-RU"/>
        </w:rPr>
        <w:t> </w:t>
      </w:r>
      <w:r>
        <w:rPr>
          <w:lang w:val="ru-RU"/>
        </w:rPr>
        <w:t xml:space="preserve">швейцарских франков и с учетом которой общий объем причитающихся сумм составляет </w:t>
      </w:r>
      <w:r w:rsidR="00222DD4" w:rsidRPr="00641BD2">
        <w:rPr>
          <w:szCs w:val="22"/>
          <w:lang w:val="ru-RU"/>
        </w:rPr>
        <w:t>48</w:t>
      </w:r>
      <w:r w:rsidR="00222DD4" w:rsidRPr="00BF0AB4">
        <w:rPr>
          <w:szCs w:val="22"/>
          <w:lang w:val="en-US"/>
        </w:rPr>
        <w:t> </w:t>
      </w:r>
      <w:r w:rsidR="00222DD4" w:rsidRPr="00641BD2">
        <w:rPr>
          <w:szCs w:val="22"/>
          <w:lang w:val="ru-RU"/>
        </w:rPr>
        <w:t>142</w:t>
      </w:r>
      <w:r w:rsidR="00222DD4">
        <w:rPr>
          <w:szCs w:val="22"/>
          <w:lang w:val="ru-RU"/>
        </w:rPr>
        <w:t> </w:t>
      </w:r>
      <w:r w:rsidR="00222DD4" w:rsidRPr="00641BD2">
        <w:rPr>
          <w:szCs w:val="22"/>
          <w:lang w:val="ru-RU"/>
        </w:rPr>
        <w:t>000</w:t>
      </w:r>
      <w:r w:rsidR="00222DD4">
        <w:rPr>
          <w:szCs w:val="22"/>
          <w:lang w:val="ru-RU"/>
        </w:rPr>
        <w:t> </w:t>
      </w:r>
      <w:r>
        <w:rPr>
          <w:lang w:val="ru-RU"/>
        </w:rPr>
        <w:t>швейцарских франков. В 202</w:t>
      </w:r>
      <w:r w:rsidR="00222DD4">
        <w:rPr>
          <w:lang w:val="ru-RU"/>
        </w:rPr>
        <w:t>2</w:t>
      </w:r>
      <w:r>
        <w:rPr>
          <w:lang w:val="ru-RU"/>
        </w:rPr>
        <w:t xml:space="preserve"> году текущая дебиторская задолженность </w:t>
      </w:r>
      <w:r w:rsidR="00616553">
        <w:rPr>
          <w:lang w:val="ru-RU"/>
        </w:rPr>
        <w:t>уменьшилась</w:t>
      </w:r>
      <w:r>
        <w:rPr>
          <w:lang w:val="ru-RU"/>
        </w:rPr>
        <w:t xml:space="preserve"> на </w:t>
      </w:r>
      <w:r w:rsidR="00222DD4">
        <w:rPr>
          <w:lang w:val="ru-RU"/>
        </w:rPr>
        <w:t>10</w:t>
      </w:r>
      <w:r>
        <w:rPr>
          <w:lang w:val="ru-RU"/>
        </w:rPr>
        <w:t>% по сравнению с 202</w:t>
      </w:r>
      <w:r w:rsidR="00222DD4">
        <w:rPr>
          <w:lang w:val="ru-RU"/>
        </w:rPr>
        <w:t>1</w:t>
      </w:r>
      <w:r>
        <w:rPr>
          <w:lang w:val="ru-RU"/>
        </w:rPr>
        <w:t> годом.</w:t>
      </w:r>
    </w:p>
    <w:p w14:paraId="7E2BE66C" w14:textId="77777777" w:rsidR="00105597" w:rsidRDefault="00105597" w:rsidP="00105597">
      <w:pPr>
        <w:rPr>
          <w:lang w:val="ru-RU"/>
        </w:rPr>
      </w:pPr>
      <w:r>
        <w:rPr>
          <w:lang w:val="ru-RU"/>
        </w:rPr>
        <w:br w:type="page"/>
      </w:r>
    </w:p>
    <w:p w14:paraId="7533C693" w14:textId="77777777" w:rsidR="00105597" w:rsidRDefault="00105597" w:rsidP="00105597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B</w:t>
      </w:r>
    </w:p>
    <w:p w14:paraId="5E55F3A8" w14:textId="553F1360" w:rsidR="00105597" w:rsidRDefault="00105597" w:rsidP="00105597">
      <w:pPr>
        <w:pStyle w:val="ResNo"/>
        <w:rPr>
          <w:lang w:val="ru-RU"/>
        </w:rPr>
      </w:pPr>
      <w:r>
        <w:rPr>
          <w:lang w:val="ru-RU"/>
        </w:rPr>
        <w:t>Проект Решения</w:t>
      </w:r>
      <w:r w:rsidR="007C2EB3">
        <w:rPr>
          <w:lang w:val="ru-RU"/>
        </w:rPr>
        <w:t xml:space="preserve"> </w:t>
      </w:r>
      <w:r w:rsidR="007C2EB3" w:rsidRPr="007C2EB3">
        <w:rPr>
          <w:lang w:val="ru-RU"/>
        </w:rPr>
        <w:t xml:space="preserve"> [...]</w:t>
      </w:r>
    </w:p>
    <w:p w14:paraId="2271506C" w14:textId="77777777" w:rsidR="00105597" w:rsidRDefault="00105597" w:rsidP="00105597">
      <w:pPr>
        <w:pStyle w:val="Restitle"/>
        <w:rPr>
          <w:lang w:val="ru-RU"/>
        </w:rPr>
      </w:pPr>
      <w:r>
        <w:rPr>
          <w:lang w:val="ru-RU"/>
        </w:rPr>
        <w:t>Списание процентов по просроченным платежам и безнадежных долгов</w:t>
      </w:r>
    </w:p>
    <w:p w14:paraId="7026F149" w14:textId="77777777" w:rsidR="00105597" w:rsidRDefault="00105597" w:rsidP="00105597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21036440" w14:textId="77777777" w:rsidR="00105597" w:rsidRDefault="00105597" w:rsidP="00105597">
      <w:pPr>
        <w:pStyle w:val="Call"/>
        <w:rPr>
          <w:lang w:val="ru-RU"/>
        </w:rPr>
      </w:pPr>
      <w:r>
        <w:rPr>
          <w:lang w:val="ru-RU"/>
        </w:rPr>
        <w:t>рассмотрев</w:t>
      </w:r>
    </w:p>
    <w:p w14:paraId="1A299FED" w14:textId="547A780C" w:rsidR="00105597" w:rsidRDefault="00105597" w:rsidP="00105597">
      <w:pPr>
        <w:rPr>
          <w:szCs w:val="24"/>
          <w:lang w:val="ru-RU"/>
        </w:rPr>
      </w:pPr>
      <w:r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2" w:history="1">
        <w:r w:rsidR="007C2EB3">
          <w:rPr>
            <w:rStyle w:val="Hyperlink"/>
            <w:lang w:val="ru-RU"/>
          </w:rPr>
          <w:t>Документ</w:t>
        </w:r>
        <w:r w:rsidR="007C2EB3">
          <w:rPr>
            <w:rStyle w:val="Hyperlink"/>
            <w:lang w:val="en-US"/>
          </w:rPr>
          <w:t> </w:t>
        </w:r>
        <w:r w:rsidR="007C2EB3" w:rsidRPr="00BF0AB4">
          <w:rPr>
            <w:rStyle w:val="Hyperlink"/>
            <w:lang w:val="en-US"/>
          </w:rPr>
          <w:t>C</w:t>
        </w:r>
        <w:r w:rsidR="007C2EB3" w:rsidRPr="00641BD2">
          <w:rPr>
            <w:rStyle w:val="Hyperlink"/>
            <w:lang w:val="ru-RU"/>
          </w:rPr>
          <w:t>23/11</w:t>
        </w:r>
      </w:hyperlink>
      <w:r>
        <w:rPr>
          <w:lang w:val="ru-RU"/>
        </w:rPr>
        <w:t>)</w:t>
      </w:r>
      <w:r>
        <w:rPr>
          <w:szCs w:val="24"/>
          <w:lang w:val="ru-RU"/>
        </w:rPr>
        <w:t>,</w:t>
      </w:r>
    </w:p>
    <w:p w14:paraId="49E9152C" w14:textId="77777777" w:rsidR="00105597" w:rsidRDefault="00105597" w:rsidP="00105597">
      <w:pPr>
        <w:pStyle w:val="Call"/>
        <w:rPr>
          <w:lang w:val="ru-RU"/>
        </w:rPr>
      </w:pPr>
      <w:r>
        <w:rPr>
          <w:lang w:val="ru-RU"/>
        </w:rPr>
        <w:t>решает</w:t>
      </w:r>
    </w:p>
    <w:p w14:paraId="0DDE1D2B" w14:textId="60C44412" w:rsidR="00105597" w:rsidRDefault="00105597" w:rsidP="00105597">
      <w:pPr>
        <w:spacing w:after="240"/>
        <w:rPr>
          <w:lang w:val="ru-RU"/>
        </w:rPr>
      </w:pPr>
      <w:r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7C2EB3" w:rsidRPr="007C2EB3">
        <w:rPr>
          <w:b/>
          <w:bCs/>
          <w:lang w:val="ru-RU"/>
        </w:rPr>
        <w:t>2</w:t>
      </w:r>
      <w:r w:rsidR="007C2EB3">
        <w:rPr>
          <w:b/>
          <w:bCs/>
          <w:lang w:val="ru-RU"/>
        </w:rPr>
        <w:t> </w:t>
      </w:r>
      <w:r w:rsidR="007C2EB3" w:rsidRPr="007C2EB3">
        <w:rPr>
          <w:b/>
          <w:bCs/>
          <w:lang w:val="ru-RU"/>
        </w:rPr>
        <w:t>969</w:t>
      </w:r>
      <w:r w:rsidR="007C2EB3">
        <w:rPr>
          <w:b/>
          <w:bCs/>
          <w:lang w:val="ru-RU"/>
        </w:rPr>
        <w:t> </w:t>
      </w:r>
      <w:r w:rsidR="007C2EB3" w:rsidRPr="007C2EB3">
        <w:rPr>
          <w:b/>
          <w:bCs/>
          <w:lang w:val="ru-RU"/>
        </w:rPr>
        <w:t>139</w:t>
      </w:r>
      <w:r w:rsidR="007C2EB3">
        <w:rPr>
          <w:b/>
          <w:bCs/>
          <w:lang w:val="ru-RU"/>
        </w:rPr>
        <w:t>,</w:t>
      </w:r>
      <w:r w:rsidR="007C2EB3" w:rsidRPr="007C2EB3">
        <w:rPr>
          <w:b/>
          <w:bCs/>
          <w:lang w:val="ru-RU"/>
        </w:rPr>
        <w:t xml:space="preserve">02 </w:t>
      </w:r>
      <w:r>
        <w:rPr>
          <w:b/>
          <w:bCs/>
          <w:lang w:val="ru-RU"/>
        </w:rPr>
        <w:t>швейцарского франка</w:t>
      </w:r>
      <w:r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</w:t>
      </w:r>
      <w:r w:rsidR="00B03A59">
        <w:rPr>
          <w:lang w:val="ru-RU"/>
        </w:rPr>
        <w:t>приведены</w:t>
      </w:r>
      <w:r>
        <w:rPr>
          <w:lang w:val="ru-RU"/>
        </w:rPr>
        <w:t xml:space="preserve"> в таблице</w:t>
      </w:r>
      <w:r w:rsidR="006918AB">
        <w:rPr>
          <w:lang w:val="en-US"/>
        </w:rPr>
        <w:t> </w:t>
      </w:r>
      <w:r>
        <w:rPr>
          <w:lang w:val="ru-RU"/>
        </w:rPr>
        <w:t>ниже.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1276"/>
        <w:gridCol w:w="1133"/>
        <w:gridCol w:w="1133"/>
        <w:gridCol w:w="1124"/>
      </w:tblGrid>
      <w:tr w:rsidR="007C2EB3" w:rsidRPr="00676FD4" w14:paraId="6D81369B" w14:textId="77777777" w:rsidTr="009B5037">
        <w:trPr>
          <w:trHeight w:val="288"/>
          <w:tblHeader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4A6B2E" w14:textId="34BA5339" w:rsidR="007C2EB3" w:rsidRPr="007C2EB3" w:rsidRDefault="007C2EB3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Страна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FEAC3C" w14:textId="5D5211A2" w:rsidR="007C2EB3" w:rsidRPr="007C2EB3" w:rsidRDefault="00B03A59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Организация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22628C" w14:textId="0CC24FEB" w:rsidR="007C2EB3" w:rsidRPr="007C2EB3" w:rsidRDefault="007C2EB3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Годы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2B6C4D" w14:textId="274933A6" w:rsidR="007C2EB3" w:rsidRPr="007C2EB3" w:rsidRDefault="007C2EB3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Основной объем задолженности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E69ED7" w14:textId="112350CE" w:rsidR="007C2EB3" w:rsidRPr="007C2EB3" w:rsidRDefault="007C2EB3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Проценты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6861EB" w14:textId="2A179514" w:rsidR="007C2EB3" w:rsidRPr="007C2EB3" w:rsidRDefault="007C2EB3" w:rsidP="009B5037">
            <w:pPr>
              <w:pStyle w:val="Tablehead"/>
              <w:rPr>
                <w:lang w:val="ru-RU" w:eastAsia="zh-CN"/>
              </w:rPr>
            </w:pPr>
            <w:r>
              <w:rPr>
                <w:lang w:val="ru-RU" w:eastAsia="zh-CN"/>
              </w:rPr>
              <w:t>Всего</w:t>
            </w:r>
          </w:p>
        </w:tc>
      </w:tr>
      <w:tr w:rsidR="007C2EB3" w:rsidRPr="009B5037" w14:paraId="5EA9C869" w14:textId="77777777" w:rsidTr="00C358E6">
        <w:trPr>
          <w:trHeight w:val="28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8C808" w14:textId="780900C6" w:rsidR="007C2EB3" w:rsidRPr="009B5037" w:rsidRDefault="00BC6F24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Ливия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E87C9" w14:textId="521E80F9" w:rsidR="007C2EB3" w:rsidRPr="009B5037" w:rsidRDefault="00616553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Главное управление связи и информатики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22A7" w14:textId="6E90608E" w:rsidR="007C2EB3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2014–2022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4B97" w14:textId="7E1B5BC9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C17C" w14:textId="74FF1363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733 619,90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A5E4" w14:textId="18BC8409" w:rsidR="007C2EB3" w:rsidRPr="009B5037" w:rsidRDefault="007C2EB3" w:rsidP="00C358E6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733 619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90</w:t>
            </w:r>
          </w:p>
        </w:tc>
      </w:tr>
      <w:tr w:rsidR="007C2EB3" w:rsidRPr="009B5037" w14:paraId="30351BE1" w14:textId="77777777" w:rsidTr="00C358E6">
        <w:trPr>
          <w:trHeight w:val="42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40E8" w14:textId="22D9F326" w:rsidR="007C2EB3" w:rsidRPr="009B5037" w:rsidRDefault="00BC6F24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Объединенные Арабские Эмираты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D92E" w14:textId="2CD9B813" w:rsidR="007C2EB3" w:rsidRPr="009B5037" w:rsidRDefault="00616553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Регуляторный орган электросвязи и цифрового управления (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TDRA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6578" w14:textId="2EB87A6A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2022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896E" w14:textId="7BCC4966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1CD2" w14:textId="70EA84CF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27 124,40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98A8" w14:textId="1D5AB057" w:rsidR="007C2EB3" w:rsidRPr="009B5037" w:rsidRDefault="007C2EB3" w:rsidP="00C358E6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27 124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40</w:t>
            </w:r>
          </w:p>
        </w:tc>
      </w:tr>
      <w:tr w:rsidR="00884C46" w:rsidRPr="009B5037" w14:paraId="57164A8B" w14:textId="77777777" w:rsidTr="00C358E6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B5F16" w14:textId="4A172188" w:rsidR="007C2EB3" w:rsidRPr="009B5037" w:rsidRDefault="007C2EB3" w:rsidP="009B5037">
            <w:pPr>
              <w:pStyle w:val="Tabletext"/>
              <w:ind w:left="87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Промежуточный итог </w:t>
            </w:r>
            <w:r w:rsidRPr="009B50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3.2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7908" w14:textId="43D0EBAD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</w:t>
            </w:r>
            <w:r w:rsidR="00B03A59"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D790" w14:textId="4A84B521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760 744,30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825F" w14:textId="217DE2BF" w:rsidR="007C2EB3" w:rsidRPr="009B5037" w:rsidRDefault="007C2EB3" w:rsidP="00C358E6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760 744,30</w:t>
            </w:r>
          </w:p>
        </w:tc>
      </w:tr>
      <w:tr w:rsidR="007C2EB3" w:rsidRPr="009B5037" w14:paraId="00384D9C" w14:textId="77777777" w:rsidTr="00C358E6">
        <w:trPr>
          <w:trHeight w:val="28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985B" w14:textId="0D9F6AEA" w:rsidR="007C2EB3" w:rsidRPr="009B5037" w:rsidRDefault="00BC6F24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Алжир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9715" w14:textId="6C0D73ED" w:rsidR="007C2EB3" w:rsidRPr="009B5037" w:rsidRDefault="007C2EB3" w:rsidP="009B5037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INPTIC,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Алжир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A0B2" w14:textId="01918E09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2012−2013 гг.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C2FB" w14:textId="76B978AF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2 318,40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DA64" w14:textId="1D645DFF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1 795,65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2BE8" w14:textId="1A44BAA2" w:rsidR="007C2EB3" w:rsidRPr="009B5037" w:rsidRDefault="007C2EB3" w:rsidP="00C358E6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4 114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05</w:t>
            </w:r>
          </w:p>
        </w:tc>
      </w:tr>
      <w:tr w:rsidR="007C2EB3" w:rsidRPr="009B5037" w14:paraId="3D54495B" w14:textId="77777777" w:rsidTr="00C358E6">
        <w:trPr>
          <w:trHeight w:val="40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037C" w14:textId="017FD3C6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Кот-д’Ивуар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6D2A" w14:textId="4E01C2A5" w:rsidR="007C2EB3" w:rsidRPr="009B5037" w:rsidRDefault="0061655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Ассоциация потребителей услуг электросвязи Кот-д’Ивуара –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ACOTELCI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Абиджан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A030" w14:textId="5006D60B" w:rsidR="007C2EB3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2007–2008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4E5F" w14:textId="78009212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4 306,25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7771" w14:textId="1F5CBC30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6 057,80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F73A" w14:textId="1A450929" w:rsidR="007C2EB3" w:rsidRPr="009B5037" w:rsidRDefault="007C2EB3" w:rsidP="00C358E6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10 364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05</w:t>
            </w:r>
          </w:p>
        </w:tc>
      </w:tr>
      <w:tr w:rsidR="007C2EB3" w:rsidRPr="009B5037" w14:paraId="29305B48" w14:textId="77777777" w:rsidTr="00C358E6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075E" w14:textId="335375A1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Кот-д’Ивуар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A7CC9" w14:textId="6E1EE341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Côte d'Ivoire Telecom,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Абиджан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0A7B" w14:textId="272FF55E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2002−2006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D3E5" w14:textId="56B0B4E7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335 325,00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CF69" w14:textId="3F8CD64D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648 802,50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CA1C" w14:textId="0EF3139F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984 127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50</w:t>
            </w:r>
          </w:p>
        </w:tc>
      </w:tr>
      <w:tr w:rsidR="00BC6F24" w:rsidRPr="009B5037" w14:paraId="5C0D41E0" w14:textId="77777777" w:rsidTr="00C358E6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9B18" w14:textId="73E027EF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Фиджи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BB90" w14:textId="754AEC43" w:rsidR="00BC6F24" w:rsidRPr="009B5037" w:rsidRDefault="00C648B7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Южнотихоокеанская комиссия</w:t>
            </w:r>
            <w:r w:rsidR="00BC6F2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Сува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66F8" w14:textId="67159896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2012−2013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01E6" w14:textId="5CF4E222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AB2B" w14:textId="1B463A7F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3 025,00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8FEC" w14:textId="44D82E37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7 000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00</w:t>
            </w:r>
          </w:p>
        </w:tc>
      </w:tr>
      <w:tr w:rsidR="00BC6F24" w:rsidRPr="009B5037" w14:paraId="7EFF6BD3" w14:textId="77777777" w:rsidTr="00C358E6">
        <w:trPr>
          <w:trHeight w:val="444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12DC" w14:textId="47CDD600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Финляндия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12549" w14:textId="721CA952" w:rsidR="00BC6F24" w:rsidRPr="008B678C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Octagon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Telecom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Oy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бывшая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Oy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Cubio</w:t>
            </w:r>
            <w:proofErr w:type="spellEnd"/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Communications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Ltd</w:t>
            </w:r>
            <w:r w:rsidRPr="008B678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.),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Хельсинки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5788" w14:textId="00BB51B9" w:rsidR="00BC6F24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2012–2013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BC6F2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D98C" w14:textId="0139D33E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13 066,67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7ADD" w14:textId="358DC442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1 156,75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7A88" w14:textId="0F2DC93A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14 223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42</w:t>
            </w:r>
          </w:p>
        </w:tc>
      </w:tr>
      <w:tr w:rsidR="00BC6F24" w:rsidRPr="009B5037" w14:paraId="12ADF0F3" w14:textId="77777777" w:rsidTr="00C358E6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753D" w14:textId="5B6C04F6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Индия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67B1B" w14:textId="1CC4D754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Tata Communications, </w:t>
            </w:r>
            <w:r w:rsidRPr="009B5037">
              <w:rPr>
                <w:sz w:val="18"/>
                <w:szCs w:val="18"/>
                <w:lang w:val="ru-RU"/>
              </w:rPr>
              <w:t>Нью</w:t>
            </w:r>
            <w:r w:rsidRPr="009B5037">
              <w:rPr>
                <w:sz w:val="18"/>
                <w:szCs w:val="18"/>
              </w:rPr>
              <w:t>-</w:t>
            </w:r>
            <w:r w:rsidRPr="009B5037">
              <w:rPr>
                <w:sz w:val="18"/>
                <w:szCs w:val="18"/>
                <w:lang w:val="ru-RU"/>
              </w:rPr>
              <w:t>Дели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7B66" w14:textId="04B85E60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C18F" w14:textId="4902ED26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6C0E" w14:textId="43773C7F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2 992,55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3E82" w14:textId="519AA90D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6 967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55</w:t>
            </w:r>
          </w:p>
        </w:tc>
      </w:tr>
      <w:tr w:rsidR="007C2EB3" w:rsidRPr="009B5037" w14:paraId="682EA258" w14:textId="77777777" w:rsidTr="00C358E6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14716" w14:textId="52BD1FD2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Индия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0E24B" w14:textId="4478E36B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Vihaan Ntwks. Ltd., </w:t>
            </w:r>
            <w:r w:rsidR="005B0CD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Гургаон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4624" w14:textId="57135688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A652" w14:textId="00B9504B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35 775,00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906D" w14:textId="74596A06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26 932,70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6A03" w14:textId="7C17BACC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62 707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70</w:t>
            </w:r>
          </w:p>
        </w:tc>
      </w:tr>
      <w:tr w:rsidR="007C2EB3" w:rsidRPr="009B5037" w14:paraId="357B77C2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FF15" w14:textId="6EB0C956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Мексика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AD2E" w14:textId="69BACA01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CANITEC, 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Мехико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B4C5" w14:textId="58F57361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2011−2013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DB88" w14:textId="0F196CC4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D4E2" w14:textId="7335442C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3 171,40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D245" w14:textId="29F94955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7 146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40</w:t>
            </w:r>
          </w:p>
        </w:tc>
      </w:tr>
      <w:tr w:rsidR="007C2EB3" w:rsidRPr="009B5037" w14:paraId="11B5C56E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E2D62" w14:textId="4C537B34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Пакистан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F5A0" w14:textId="089BA49D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e Worldwide Group,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Исламабад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99D" w14:textId="33EB7AAD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2011−2013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89A" w14:textId="6E487E4D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23CB" w14:textId="5D0DC7AA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3 072,05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E25C" w14:textId="334676D3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7 047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05</w:t>
            </w:r>
          </w:p>
        </w:tc>
      </w:tr>
      <w:tr w:rsidR="007C2EB3" w:rsidRPr="009B5037" w14:paraId="356D0185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D6EB" w14:textId="5E841EF9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Судан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8B38F" w14:textId="2539CF90" w:rsidR="007C2EB3" w:rsidRPr="009B5037" w:rsidRDefault="0061655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Открытый университет Судана, Хартум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C03" w14:textId="1C8C8C4E" w:rsidR="007C2EB3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2013–2014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7A9F" w14:textId="3117F1F6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2 484,35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DCD6" w14:textId="5F09AF23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1 638,90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C4A0" w14:textId="6196FED6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4 123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25</w:t>
            </w:r>
          </w:p>
        </w:tc>
      </w:tr>
      <w:tr w:rsidR="007C2EB3" w:rsidRPr="009B5037" w14:paraId="3B2B96B0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2B87" w14:textId="5E021B6C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Тунис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29635" w14:textId="07F8F4FF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Orascom Telecom Tunisiana, 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Тунис</w:t>
            </w:r>
            <w:r w:rsidR="006A712F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noBreakHyphen/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Карфаген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69FD" w14:textId="17D646F8" w:rsidR="007C2EB3" w:rsidRPr="009B5037" w:rsidRDefault="007C2EB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D6C5" w14:textId="635E0A10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E76" w14:textId="79A44F21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2 992,55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C5DD" w14:textId="446664E4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6 967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55</w:t>
            </w:r>
          </w:p>
        </w:tc>
      </w:tr>
      <w:tr w:rsidR="007C2EB3" w:rsidRPr="009B5037" w14:paraId="65E8901C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0AAE4" w14:textId="21684B1D" w:rsidR="007C2EB3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Соединенное Королевство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B535" w14:textId="75CA2712" w:rsidR="007C2EB3" w:rsidRPr="009B5037" w:rsidRDefault="007C2EB3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KRE Corporate Recovery LLP (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бывшая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ICO Satellite Limited), 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Беркшир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DED" w14:textId="6446E56A" w:rsidR="007C2EB3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2012–2013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7C2EB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679C" w14:textId="20605A5F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24 733,20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B5B3" w14:textId="5ADD25ED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2 082,30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4855" w14:textId="5D36B35D" w:rsidR="007C2EB3" w:rsidRPr="009B5037" w:rsidRDefault="007C2EB3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26 815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50</w:t>
            </w:r>
          </w:p>
        </w:tc>
      </w:tr>
      <w:tr w:rsidR="00BC6F24" w:rsidRPr="009B5037" w14:paraId="6B12DE38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7AF5" w14:textId="2E5F134B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2DB5A" w14:textId="0D8EC10A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Animatele Inc., </w:t>
            </w:r>
            <w:r w:rsidR="00884C46" w:rsidRPr="009B5037">
              <w:rPr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D712" w14:textId="74C2A699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C367" w14:textId="2793F853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10 600,00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159F" w14:textId="6418959A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10 276,55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2803" w14:textId="0C735FF0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20 876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55</w:t>
            </w:r>
          </w:p>
        </w:tc>
      </w:tr>
      <w:tr w:rsidR="00BC6F24" w:rsidRPr="009B5037" w14:paraId="73955F34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F019" w14:textId="4D4EDF02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BC55" w14:textId="1A614BF2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AOL, </w:t>
            </w:r>
            <w:r w:rsidR="00884C46" w:rsidRPr="009B5037">
              <w:rPr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ED22" w14:textId="47D48831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2002−2003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гг</w:t>
            </w:r>
            <w:r w:rsidR="004E53D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0C8B" w14:textId="0C30ADF3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78 750,00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E626" w14:textId="38DB96D7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175 431,40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F560" w14:textId="0C3B483D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254 181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40</w:t>
            </w:r>
          </w:p>
        </w:tc>
      </w:tr>
      <w:tr w:rsidR="00BC6F24" w:rsidRPr="009B5037" w14:paraId="667EE9F3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4D58" w14:textId="31CFA955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01C2" w14:textId="1F2D797D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Compuware Corporation,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Детройт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52AE" w14:textId="4091F203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2009−2010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C9EF" w14:textId="5DDAFDC8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7 949,70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9ECE" w14:textId="58A1788C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8 826,10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1B88" w14:textId="49F93C20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16 775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80</w:t>
            </w:r>
          </w:p>
        </w:tc>
      </w:tr>
      <w:tr w:rsidR="00BC6F24" w:rsidRPr="009B5037" w14:paraId="4DA153B7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FC4D" w14:textId="3EABC001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D476" w14:textId="1E717343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Covad Communications Co.,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Сан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noBreakHyphen/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Хосе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9F70" w14:textId="4B64507F" w:rsidR="00BC6F24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2001–2002</w:t>
            </w:r>
            <w:r w:rsidR="00BC6F2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6D19" w14:textId="75F58469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46 142,25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10A8" w14:textId="541FF478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113 040,70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B5D4" w14:textId="66D40CFD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159 182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95</w:t>
            </w:r>
          </w:p>
        </w:tc>
      </w:tr>
      <w:tr w:rsidR="00BC6F24" w:rsidRPr="009B5037" w14:paraId="0BEED23D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57B2E" w14:textId="1E112072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7C88" w14:textId="4C932844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Cypress Semiconductor Corp., 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Сан</w:t>
            </w:r>
            <w:r w:rsid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noBreakHyphen/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Хосе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7208" w14:textId="7FA7133B" w:rsidR="00BC6F24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2004–2005</w:t>
            </w:r>
            <w:r w:rsidR="00BC6F2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63DD" w14:textId="10D9C40E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16 625,00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EFA6" w14:textId="3A995871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31 081,10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8F65" w14:textId="47A8A396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47 706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</w:t>
            </w:r>
          </w:p>
        </w:tc>
      </w:tr>
      <w:tr w:rsidR="00BC6F24" w:rsidRPr="009B5037" w14:paraId="793B7AD7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418A5" w14:textId="01F93689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4B69" w14:textId="38C748FD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Lightwaves Inc., </w:t>
            </w:r>
            <w:r w:rsidR="00616553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Сидар-Рапидс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A9FB" w14:textId="591667E4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2009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A373" w14:textId="5CB61A49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10 600,00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657F" w14:textId="426D6CB9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12 856,90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7B99" w14:textId="18B57011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23 456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90</w:t>
            </w:r>
          </w:p>
        </w:tc>
      </w:tr>
      <w:tr w:rsidR="00BC6F24" w:rsidRPr="009B5037" w14:paraId="43002D01" w14:textId="77777777" w:rsidTr="00C358E6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7746" w14:textId="3AAD3DF4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0AB4B" w14:textId="6CDA5309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The Village Group Inc., </w:t>
            </w:r>
            <w:r w:rsidR="005B0CD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Уолтем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479F" w14:textId="59A3CBB9" w:rsidR="00BC6F24" w:rsidRPr="009B5037" w:rsidRDefault="00616553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2007–2008</w:t>
            </w:r>
            <w:r w:rsidR="00BC6F2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5D67" w14:textId="21CF8E95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7 950,00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0C90" w14:textId="029758CB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10 735,25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C97A" w14:textId="2008CA7E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18 685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25</w:t>
            </w:r>
          </w:p>
        </w:tc>
      </w:tr>
      <w:tr w:rsidR="00BC6F24" w:rsidRPr="009B5037" w14:paraId="4C7D65EC" w14:textId="77777777" w:rsidTr="00C358E6">
        <w:trPr>
          <w:trHeight w:val="30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B577A" w14:textId="4EB13246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D48A" w14:textId="43276831" w:rsidR="00BC6F24" w:rsidRPr="009B5037" w:rsidRDefault="00BC6F24" w:rsidP="00C358E6">
            <w:pPr>
              <w:pStyle w:val="Tabletex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Vocal Technologies Ltd, </w:t>
            </w:r>
            <w:r w:rsidR="005B0CD4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Амхёрст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774A" w14:textId="4D8BFB6E" w:rsidR="00BC6F24" w:rsidRPr="009B5037" w:rsidRDefault="00BC6F24" w:rsidP="00C358E6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1998−2002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44D3" w14:textId="63F63201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160 100,00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1EB5" w14:textId="4FA99A69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365 825,75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C73D" w14:textId="03C0F55E" w:rsidR="00BC6F24" w:rsidRPr="009B5037" w:rsidRDefault="00BC6F24" w:rsidP="00C358E6">
            <w:pPr>
              <w:pStyle w:val="Tabletext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525 925</w:t>
            </w:r>
            <w:r w:rsidR="00884C46"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9B5037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75</w:t>
            </w:r>
          </w:p>
        </w:tc>
      </w:tr>
      <w:tr w:rsidR="00884C46" w:rsidRPr="009B5037" w14:paraId="7A97E42F" w14:textId="77777777" w:rsidTr="00C358E6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BE4C2" w14:textId="63BCC7BF" w:rsidR="007C2EB3" w:rsidRPr="009B5037" w:rsidRDefault="007C2EB3" w:rsidP="009B5037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Промежуточный итог </w:t>
            </w:r>
            <w:r w:rsidRPr="001478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3.3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87AC" w14:textId="4ADF4B84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776 600,82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96DE" w14:textId="5E93AF6C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1 431 793,90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BB23" w14:textId="6CFE9C4A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2 208 394,72</w:t>
            </w:r>
          </w:p>
        </w:tc>
      </w:tr>
      <w:tr w:rsidR="00884C46" w:rsidRPr="009B5037" w14:paraId="3C3E3FC6" w14:textId="77777777" w:rsidTr="00C358E6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14D" w14:textId="0EA878EC" w:rsidR="007C2EB3" w:rsidRPr="009B5037" w:rsidRDefault="007C2EB3" w:rsidP="009B5037">
            <w:pPr>
              <w:pStyle w:val="Tabletex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b/>
                <w:color w:val="000000"/>
                <w:sz w:val="18"/>
                <w:szCs w:val="18"/>
                <w:lang w:val="ru-RU"/>
              </w:rPr>
              <w:t>Общий итог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151F" w14:textId="69E9B765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776 600,82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3169" w14:textId="22581133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2 192 538,20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5965" w14:textId="7491944B" w:rsidR="007C2EB3" w:rsidRPr="009B5037" w:rsidRDefault="007C2EB3" w:rsidP="00C358E6">
            <w:pPr>
              <w:pStyle w:val="Tabletext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9B50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2 969 139,02</w:t>
            </w:r>
          </w:p>
        </w:tc>
      </w:tr>
    </w:tbl>
    <w:p w14:paraId="7F5DCAF5" w14:textId="77777777" w:rsidR="000B09AA" w:rsidRDefault="000B09AA" w:rsidP="000B09AA">
      <w:pPr>
        <w:spacing w:before="720"/>
        <w:jc w:val="center"/>
      </w:pPr>
      <w:r>
        <w:t>______________</w:t>
      </w:r>
    </w:p>
    <w:sectPr w:rsidR="000B09AA" w:rsidSect="00796BD3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406C1F28" w:rsidR="00672F8A" w:rsidRPr="003B3F30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3B3F30">
            <w:rPr>
              <w:noProof/>
              <w:lang w:val="ru-RU"/>
            </w:rPr>
            <w:t>520397</w:t>
          </w:r>
        </w:p>
      </w:tc>
      <w:tc>
        <w:tcPr>
          <w:tcW w:w="8261" w:type="dxa"/>
        </w:tcPr>
        <w:p w14:paraId="66D4967C" w14:textId="4E7CCD7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3216">
            <w:rPr>
              <w:bCs/>
            </w:rPr>
            <w:t>1</w:t>
          </w:r>
          <w:r w:rsidR="00D20D5D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8B678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50AA28B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3216">
            <w:rPr>
              <w:bCs/>
            </w:rPr>
            <w:t>1</w:t>
          </w:r>
          <w:r w:rsidR="00D20D5D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C442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5519"/>
    <w:multiLevelType w:val="hybridMultilevel"/>
    <w:tmpl w:val="6BE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034693786">
    <w:abstractNumId w:val="0"/>
  </w:num>
  <w:num w:numId="2" w16cid:durableId="1271745838">
    <w:abstractNumId w:val="1"/>
  </w:num>
  <w:num w:numId="3" w16cid:durableId="8271328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569B4"/>
    <w:rsid w:val="00080E82"/>
    <w:rsid w:val="000969B4"/>
    <w:rsid w:val="000B09AA"/>
    <w:rsid w:val="000B2DE7"/>
    <w:rsid w:val="000E568E"/>
    <w:rsid w:val="00105597"/>
    <w:rsid w:val="001368E6"/>
    <w:rsid w:val="0014734F"/>
    <w:rsid w:val="001474CB"/>
    <w:rsid w:val="0014787C"/>
    <w:rsid w:val="0015710D"/>
    <w:rsid w:val="00163A32"/>
    <w:rsid w:val="00165D06"/>
    <w:rsid w:val="001854D5"/>
    <w:rsid w:val="00190613"/>
    <w:rsid w:val="00192B41"/>
    <w:rsid w:val="001B7B09"/>
    <w:rsid w:val="001E6719"/>
    <w:rsid w:val="001E7F50"/>
    <w:rsid w:val="00222DD4"/>
    <w:rsid w:val="00225368"/>
    <w:rsid w:val="00227FF0"/>
    <w:rsid w:val="00290586"/>
    <w:rsid w:val="00291EB6"/>
    <w:rsid w:val="002B1A9C"/>
    <w:rsid w:val="002B316B"/>
    <w:rsid w:val="002D2F57"/>
    <w:rsid w:val="002D48C5"/>
    <w:rsid w:val="0033025A"/>
    <w:rsid w:val="003410B0"/>
    <w:rsid w:val="003528AA"/>
    <w:rsid w:val="00371285"/>
    <w:rsid w:val="003A6F2A"/>
    <w:rsid w:val="003B3F30"/>
    <w:rsid w:val="003E18BF"/>
    <w:rsid w:val="003F099E"/>
    <w:rsid w:val="003F235E"/>
    <w:rsid w:val="004023E0"/>
    <w:rsid w:val="00403DD8"/>
    <w:rsid w:val="00430103"/>
    <w:rsid w:val="00442515"/>
    <w:rsid w:val="004454B2"/>
    <w:rsid w:val="0045686C"/>
    <w:rsid w:val="004918C4"/>
    <w:rsid w:val="00497703"/>
    <w:rsid w:val="004A0374"/>
    <w:rsid w:val="004A45B5"/>
    <w:rsid w:val="004D0129"/>
    <w:rsid w:val="004E53D6"/>
    <w:rsid w:val="004F4776"/>
    <w:rsid w:val="00521B5C"/>
    <w:rsid w:val="0057375E"/>
    <w:rsid w:val="005740D0"/>
    <w:rsid w:val="00593D60"/>
    <w:rsid w:val="005A64D5"/>
    <w:rsid w:val="005B0CD4"/>
    <w:rsid w:val="005B3DEC"/>
    <w:rsid w:val="00601994"/>
    <w:rsid w:val="00616553"/>
    <w:rsid w:val="0062491F"/>
    <w:rsid w:val="00640D08"/>
    <w:rsid w:val="00641BD2"/>
    <w:rsid w:val="00672F8A"/>
    <w:rsid w:val="006918AB"/>
    <w:rsid w:val="006A712F"/>
    <w:rsid w:val="006B0E2B"/>
    <w:rsid w:val="006C1436"/>
    <w:rsid w:val="006E2D42"/>
    <w:rsid w:val="006F3216"/>
    <w:rsid w:val="00703676"/>
    <w:rsid w:val="00707304"/>
    <w:rsid w:val="00732269"/>
    <w:rsid w:val="00773B67"/>
    <w:rsid w:val="00784DAF"/>
    <w:rsid w:val="00785ABD"/>
    <w:rsid w:val="00796BD3"/>
    <w:rsid w:val="007A2DD4"/>
    <w:rsid w:val="007C2EB3"/>
    <w:rsid w:val="007D38B5"/>
    <w:rsid w:val="007D4F8E"/>
    <w:rsid w:val="007E7EA0"/>
    <w:rsid w:val="007F4A10"/>
    <w:rsid w:val="00807255"/>
    <w:rsid w:val="0081023E"/>
    <w:rsid w:val="008129C5"/>
    <w:rsid w:val="008164CE"/>
    <w:rsid w:val="008173AA"/>
    <w:rsid w:val="00835942"/>
    <w:rsid w:val="00840A14"/>
    <w:rsid w:val="00884C46"/>
    <w:rsid w:val="008B62B4"/>
    <w:rsid w:val="008B678C"/>
    <w:rsid w:val="008D2D7B"/>
    <w:rsid w:val="008D4915"/>
    <w:rsid w:val="008E0737"/>
    <w:rsid w:val="008E6391"/>
    <w:rsid w:val="008F7C2C"/>
    <w:rsid w:val="00940E96"/>
    <w:rsid w:val="00971B17"/>
    <w:rsid w:val="0097613C"/>
    <w:rsid w:val="0099131E"/>
    <w:rsid w:val="009B0BAE"/>
    <w:rsid w:val="009B5037"/>
    <w:rsid w:val="009B5BA7"/>
    <w:rsid w:val="009C1C89"/>
    <w:rsid w:val="009F3448"/>
    <w:rsid w:val="009F6969"/>
    <w:rsid w:val="00A01CF9"/>
    <w:rsid w:val="00A52F6E"/>
    <w:rsid w:val="00A65DF8"/>
    <w:rsid w:val="00A71773"/>
    <w:rsid w:val="00AD0945"/>
    <w:rsid w:val="00AE2C85"/>
    <w:rsid w:val="00B008A1"/>
    <w:rsid w:val="00B03A59"/>
    <w:rsid w:val="00B12A37"/>
    <w:rsid w:val="00B41837"/>
    <w:rsid w:val="00B47194"/>
    <w:rsid w:val="00B63EF2"/>
    <w:rsid w:val="00B81152"/>
    <w:rsid w:val="00BA2FCC"/>
    <w:rsid w:val="00BA7D89"/>
    <w:rsid w:val="00BC0D39"/>
    <w:rsid w:val="00BC6F24"/>
    <w:rsid w:val="00BC7BC0"/>
    <w:rsid w:val="00BD57B7"/>
    <w:rsid w:val="00BD6685"/>
    <w:rsid w:val="00BD7F88"/>
    <w:rsid w:val="00BE63E2"/>
    <w:rsid w:val="00C353A3"/>
    <w:rsid w:val="00C358E6"/>
    <w:rsid w:val="00C648B7"/>
    <w:rsid w:val="00C73621"/>
    <w:rsid w:val="00CD2009"/>
    <w:rsid w:val="00CD3E3D"/>
    <w:rsid w:val="00CF629C"/>
    <w:rsid w:val="00D05231"/>
    <w:rsid w:val="00D16C87"/>
    <w:rsid w:val="00D20D5D"/>
    <w:rsid w:val="00D25FFC"/>
    <w:rsid w:val="00D65142"/>
    <w:rsid w:val="00D92EEA"/>
    <w:rsid w:val="00DA5D4E"/>
    <w:rsid w:val="00DF2E96"/>
    <w:rsid w:val="00DF450A"/>
    <w:rsid w:val="00E176BA"/>
    <w:rsid w:val="00E23228"/>
    <w:rsid w:val="00E24151"/>
    <w:rsid w:val="00E423EC"/>
    <w:rsid w:val="00E50AA5"/>
    <w:rsid w:val="00E55121"/>
    <w:rsid w:val="00EB4FCB"/>
    <w:rsid w:val="00EC6BC5"/>
    <w:rsid w:val="00EE15AF"/>
    <w:rsid w:val="00F022EA"/>
    <w:rsid w:val="00F1671D"/>
    <w:rsid w:val="00F35898"/>
    <w:rsid w:val="00F5225B"/>
    <w:rsid w:val="00F72101"/>
    <w:rsid w:val="00F97CC6"/>
    <w:rsid w:val="00FC1A2F"/>
    <w:rsid w:val="00FD39AA"/>
    <w:rsid w:val="00FD54A4"/>
    <w:rsid w:val="00FE20B6"/>
    <w:rsid w:val="00FE5701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6ACEFD40-39A3-4299-B4EF-E7C6973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9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uiPriority w:val="99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uiPriority w:val="99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uiPriority w:val="99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uiPriority w:val="99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3410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E50AA5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0559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105597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05597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0559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105597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R.pdf" TargetMode="External"/><Relationship Id="rId13" Type="http://schemas.openxmlformats.org/officeDocument/2006/relationships/hyperlink" Target="http://www.itu.int/md/S14-CL-C-0026/en" TargetMode="External"/><Relationship Id="rId18" Type="http://schemas.openxmlformats.org/officeDocument/2006/relationships/hyperlink" Target="http://www.itu.int/md/S19-CL-C-004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22-CL-C-004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doc/gs/council/c99/docs/docs1/027.html" TargetMode="External"/><Relationship Id="rId17" Type="http://schemas.openxmlformats.org/officeDocument/2006/relationships/hyperlink" Target="https://www.itu.int/md/S18-CL-C-0042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42/en" TargetMode="External"/><Relationship Id="rId20" Type="http://schemas.openxmlformats.org/officeDocument/2006/relationships/hyperlink" Target="https://www.itu.int/md/S21-CL-C-004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52-R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042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041-R.pdf" TargetMode="External"/><Relationship Id="rId19" Type="http://schemas.openxmlformats.org/officeDocument/2006/relationships/hyperlink" Target="http://www.itu.int/md/S20-CL-C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E.pdf" TargetMode="External"/><Relationship Id="rId14" Type="http://schemas.openxmlformats.org/officeDocument/2006/relationships/hyperlink" Target="http://www.itu.int/md/S15-CL-C-0050/en" TargetMode="External"/><Relationship Id="rId22" Type="http://schemas.openxmlformats.org/officeDocument/2006/relationships/hyperlink" Target="https://www.itu.int/md/S23-CL-C-0011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2782-85B5-4D93-B898-D4272199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15275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2023-06-04T16:02:00Z</dcterms:created>
  <dcterms:modified xsi:type="dcterms:W3CDTF">2023-06-04T16:02:00Z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