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2D6545C" w14:textId="77777777" w:rsidTr="00F363FE">
        <w:tc>
          <w:tcPr>
            <w:tcW w:w="6512" w:type="dxa"/>
          </w:tcPr>
          <w:p w14:paraId="30380E80" w14:textId="4F2BB43C"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03234F">
              <w:rPr>
                <w:rFonts w:hint="cs"/>
                <w:b/>
                <w:bCs/>
                <w:rtl/>
                <w:lang w:bidi="ar-EG"/>
              </w:rPr>
              <w:t xml:space="preserve"> </w:t>
            </w:r>
            <w:r w:rsidR="0003234F">
              <w:rPr>
                <w:b/>
                <w:bCs/>
                <w:lang w:bidi="ar-EG"/>
              </w:rPr>
              <w:t>ADM 1</w:t>
            </w:r>
          </w:p>
        </w:tc>
        <w:tc>
          <w:tcPr>
            <w:tcW w:w="3117" w:type="dxa"/>
          </w:tcPr>
          <w:p w14:paraId="719100BD" w14:textId="27472CA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03234F">
              <w:rPr>
                <w:b/>
                <w:bCs/>
                <w:lang w:bidi="ar-EG"/>
              </w:rPr>
              <w:t>11</w:t>
            </w:r>
            <w:r w:rsidRPr="007B0AA0">
              <w:rPr>
                <w:b/>
                <w:bCs/>
                <w:lang w:bidi="ar-EG"/>
              </w:rPr>
              <w:t>-A</w:t>
            </w:r>
          </w:p>
        </w:tc>
      </w:tr>
      <w:tr w:rsidR="007B0AA0" w14:paraId="0D7D2FDE" w14:textId="77777777" w:rsidTr="00F363FE">
        <w:tc>
          <w:tcPr>
            <w:tcW w:w="6512" w:type="dxa"/>
          </w:tcPr>
          <w:p w14:paraId="536F3772" w14:textId="77777777" w:rsidR="007B0AA0" w:rsidRPr="007B0AA0" w:rsidRDefault="007B0AA0" w:rsidP="00F363FE">
            <w:pPr>
              <w:spacing w:before="60" w:after="60" w:line="260" w:lineRule="exact"/>
              <w:rPr>
                <w:b/>
                <w:bCs/>
                <w:rtl/>
                <w:lang w:bidi="ar-EG"/>
              </w:rPr>
            </w:pPr>
          </w:p>
        </w:tc>
        <w:tc>
          <w:tcPr>
            <w:tcW w:w="3117" w:type="dxa"/>
          </w:tcPr>
          <w:p w14:paraId="6CAEEB13" w14:textId="13AA73D6" w:rsidR="007B0AA0" w:rsidRPr="007B0AA0" w:rsidRDefault="0003234F" w:rsidP="00F363FE">
            <w:pPr>
              <w:spacing w:before="60" w:after="60" w:line="260" w:lineRule="exact"/>
              <w:rPr>
                <w:b/>
                <w:bCs/>
                <w:rtl/>
                <w:lang w:bidi="ar-EG"/>
              </w:rPr>
            </w:pPr>
            <w:r>
              <w:rPr>
                <w:rFonts w:hint="cs"/>
                <w:b/>
                <w:bCs/>
                <w:rtl/>
                <w:lang w:bidi="ar-EG"/>
              </w:rPr>
              <w:t xml:space="preserve">16 مايو </w:t>
            </w:r>
            <w:r w:rsidR="007B0AA0" w:rsidRPr="007B0AA0">
              <w:rPr>
                <w:b/>
                <w:bCs/>
                <w:lang w:bidi="ar-EG"/>
              </w:rPr>
              <w:t>2023</w:t>
            </w:r>
          </w:p>
        </w:tc>
      </w:tr>
      <w:tr w:rsidR="007B0AA0" w14:paraId="73315FB6" w14:textId="77777777" w:rsidTr="00F363FE">
        <w:tc>
          <w:tcPr>
            <w:tcW w:w="6512" w:type="dxa"/>
          </w:tcPr>
          <w:p w14:paraId="16A203C9" w14:textId="77777777" w:rsidR="007B0AA0" w:rsidRPr="007B0AA0" w:rsidRDefault="007B0AA0" w:rsidP="00F363FE">
            <w:pPr>
              <w:spacing w:before="60" w:after="60" w:line="260" w:lineRule="exact"/>
              <w:rPr>
                <w:b/>
                <w:bCs/>
                <w:rtl/>
                <w:lang w:bidi="ar-EG"/>
              </w:rPr>
            </w:pPr>
          </w:p>
        </w:tc>
        <w:tc>
          <w:tcPr>
            <w:tcW w:w="3117" w:type="dxa"/>
          </w:tcPr>
          <w:p w14:paraId="6077E8F8"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4A2BE48A" w14:textId="77777777" w:rsidTr="00F363FE">
        <w:tc>
          <w:tcPr>
            <w:tcW w:w="6512" w:type="dxa"/>
          </w:tcPr>
          <w:p w14:paraId="4831BF5B" w14:textId="77777777" w:rsidR="007B0AA0" w:rsidRDefault="007B0AA0" w:rsidP="00F363FE">
            <w:pPr>
              <w:spacing w:before="60" w:after="60" w:line="260" w:lineRule="exact"/>
              <w:rPr>
                <w:lang w:bidi="ar-EG"/>
              </w:rPr>
            </w:pPr>
          </w:p>
        </w:tc>
        <w:tc>
          <w:tcPr>
            <w:tcW w:w="3117" w:type="dxa"/>
          </w:tcPr>
          <w:p w14:paraId="3786D1D0" w14:textId="77777777" w:rsidR="007B0AA0" w:rsidRDefault="007B0AA0" w:rsidP="00F363FE">
            <w:pPr>
              <w:spacing w:before="60" w:after="60" w:line="260" w:lineRule="exact"/>
              <w:rPr>
                <w:rtl/>
                <w:lang w:bidi="ar-EG"/>
              </w:rPr>
            </w:pPr>
          </w:p>
        </w:tc>
      </w:tr>
      <w:tr w:rsidR="007B0AA0" w14:paraId="314264F9" w14:textId="77777777" w:rsidTr="00EE7446">
        <w:tc>
          <w:tcPr>
            <w:tcW w:w="9629" w:type="dxa"/>
            <w:gridSpan w:val="2"/>
          </w:tcPr>
          <w:p w14:paraId="10EB6305"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3AE10286" w14:textId="77777777" w:rsidTr="007B0AA0">
        <w:tc>
          <w:tcPr>
            <w:tcW w:w="9629" w:type="dxa"/>
            <w:gridSpan w:val="2"/>
            <w:tcBorders>
              <w:bottom w:val="single" w:sz="4" w:space="0" w:color="auto"/>
            </w:tcBorders>
          </w:tcPr>
          <w:p w14:paraId="5B287A19" w14:textId="2C7EDDB6" w:rsidR="007B0AA0" w:rsidRDefault="0003234F" w:rsidP="007B0AA0">
            <w:pPr>
              <w:pStyle w:val="Subtitle0"/>
            </w:pPr>
            <w:r>
              <w:rPr>
                <w:rtl/>
              </w:rPr>
              <w:t>المتأخرات والحسابات الخاصة بالمتأخرات</w:t>
            </w:r>
          </w:p>
        </w:tc>
      </w:tr>
      <w:tr w:rsidR="007B0AA0" w14:paraId="3FA3BAA8" w14:textId="77777777" w:rsidTr="007B0AA0">
        <w:tc>
          <w:tcPr>
            <w:tcW w:w="9629" w:type="dxa"/>
            <w:gridSpan w:val="2"/>
            <w:tcBorders>
              <w:top w:val="single" w:sz="4" w:space="0" w:color="auto"/>
              <w:bottom w:val="single" w:sz="4" w:space="0" w:color="auto"/>
            </w:tcBorders>
          </w:tcPr>
          <w:p w14:paraId="652AA8AB" w14:textId="1C938AFD" w:rsidR="007B0AA0" w:rsidRPr="007B0AA0" w:rsidRDefault="007B0AA0" w:rsidP="00280B2F">
            <w:pPr>
              <w:rPr>
                <w:b/>
                <w:bCs/>
                <w:rtl/>
              </w:rPr>
            </w:pPr>
            <w:r w:rsidRPr="007B0AA0">
              <w:rPr>
                <w:rFonts w:hint="cs"/>
                <w:b/>
                <w:bCs/>
                <w:rtl/>
              </w:rPr>
              <w:t xml:space="preserve">الغرض </w:t>
            </w:r>
          </w:p>
          <w:p w14:paraId="54E6B767" w14:textId="533E1100" w:rsidR="0003234F" w:rsidRDefault="0003234F" w:rsidP="0003234F">
            <w:pPr>
              <w:rPr>
                <w:lang w:bidi="ar-SY"/>
              </w:rPr>
            </w:pPr>
            <w:r>
              <w:rPr>
                <w:rFonts w:hint="cs"/>
                <w:rtl/>
              </w:rPr>
              <w:t>كلّف مؤتمر المندوبين المفوضين (دبي، </w:t>
            </w:r>
            <w:r>
              <w:rPr>
                <w:lang w:bidi="ar-SY"/>
              </w:rPr>
              <w:t>2018</w:t>
            </w:r>
            <w:r>
              <w:rPr>
                <w:rFonts w:hint="cs"/>
                <w:rtl/>
              </w:rPr>
              <w:t>) الأمين العام بتقديم تقرير سنوي إلى مجلس</w:t>
            </w:r>
            <w:r w:rsidR="00280B2F">
              <w:rPr>
                <w:rFonts w:hint="cs"/>
                <w:rtl/>
              </w:rPr>
              <w:t xml:space="preserve"> الاتحاد</w:t>
            </w:r>
            <w:r>
              <w:rPr>
                <w:rFonts w:hint="cs"/>
                <w:rtl/>
              </w:rPr>
              <w:t xml:space="preserve"> عن التدابير المتخذة والتقدم المحرز بشأن تحصيل الديون من الدول الأعضاء وأعضاء القطاعات والمنتسبين</w:t>
            </w:r>
            <w:r>
              <w:rPr>
                <w:rFonts w:hint="cs"/>
              </w:rPr>
              <w:t xml:space="preserve"> </w:t>
            </w:r>
            <w:r>
              <w:rPr>
                <w:rFonts w:hint="cs"/>
                <w:rtl/>
                <w:lang w:bidi="ar-EG"/>
              </w:rPr>
              <w:t>والهيئات الأكاديمية</w:t>
            </w:r>
            <w:r>
              <w:rPr>
                <w:rFonts w:hint="cs"/>
                <w:rtl/>
              </w:rPr>
              <w:t xml:space="preserve"> المتأخرين في</w:t>
            </w:r>
            <w:r w:rsidR="00155D0A">
              <w:rPr>
                <w:rFonts w:hint="eastAsia"/>
                <w:rtl/>
              </w:rPr>
              <w:t> </w:t>
            </w:r>
            <w:r>
              <w:rPr>
                <w:rFonts w:hint="cs"/>
                <w:rtl/>
              </w:rPr>
              <w:t xml:space="preserve">تسديد </w:t>
            </w:r>
            <w:proofErr w:type="spellStart"/>
            <w:r>
              <w:rPr>
                <w:rFonts w:hint="cs"/>
                <w:rtl/>
              </w:rPr>
              <w:t>مدفوعاتهم</w:t>
            </w:r>
            <w:proofErr w:type="spellEnd"/>
            <w:r>
              <w:rPr>
                <w:rFonts w:hint="cs"/>
                <w:rtl/>
              </w:rPr>
              <w:t xml:space="preserve"> أو الذين لهم حسابات خاصة بالمتأخرات، وكذلك بشأن جميع حالات الإخلال بشروط التسديد المتفق عليها. وكان المجلس في دورته لعام </w:t>
            </w:r>
            <w:r>
              <w:rPr>
                <w:lang w:bidi="ar-SY"/>
              </w:rPr>
              <w:t>1999</w:t>
            </w:r>
            <w:r>
              <w:rPr>
                <w:rFonts w:hint="cs"/>
                <w:rtl/>
              </w:rPr>
              <w:t xml:space="preserve"> قد وضع مبادئ توجيهية بشأن جداول السداد لتسوية المتأخرات والحسابات الخاصة بالمتأخرات.</w:t>
            </w:r>
          </w:p>
          <w:p w14:paraId="7384E214" w14:textId="77777777" w:rsidR="007B0AA0" w:rsidRPr="007B0AA0" w:rsidRDefault="007B0AA0" w:rsidP="007B0AA0">
            <w:pPr>
              <w:rPr>
                <w:b/>
                <w:bCs/>
                <w:rtl/>
              </w:rPr>
            </w:pPr>
            <w:r w:rsidRPr="007B0AA0">
              <w:rPr>
                <w:rFonts w:hint="cs"/>
                <w:b/>
                <w:bCs/>
                <w:rtl/>
              </w:rPr>
              <w:t>الإجراء المطلوب من المجلس</w:t>
            </w:r>
          </w:p>
          <w:p w14:paraId="7DEF4D1E" w14:textId="77777777" w:rsidR="0003234F" w:rsidRDefault="0003234F" w:rsidP="0003234F">
            <w:pPr>
              <w:rPr>
                <w:lang w:bidi="ar-EG"/>
              </w:rPr>
            </w:pPr>
            <w:r>
              <w:rPr>
                <w:rFonts w:hint="cs"/>
                <w:rtl/>
                <w:lang w:bidi="ar-EG"/>
              </w:rPr>
              <w:t>يُرجى من المجلس:</w:t>
            </w:r>
          </w:p>
          <w:p w14:paraId="606E6897" w14:textId="77777777" w:rsidR="0003234F" w:rsidRDefault="0003234F" w:rsidP="0003234F">
            <w:pPr>
              <w:pStyle w:val="enumlev1"/>
              <w:rPr>
                <w:rtl/>
              </w:rPr>
            </w:pPr>
            <w:r>
              <w:t>(1</w:t>
            </w:r>
            <w:r>
              <w:rPr>
                <w:rFonts w:hint="cs"/>
                <w:rtl/>
              </w:rPr>
              <w:tab/>
              <w:t xml:space="preserve">أن </w:t>
            </w:r>
            <w:r>
              <w:rPr>
                <w:rFonts w:hint="cs"/>
                <w:b/>
                <w:bCs/>
                <w:rtl/>
              </w:rPr>
              <w:t>يأخذ علماً</w:t>
            </w:r>
            <w:r>
              <w:rPr>
                <w:rFonts w:hint="cs"/>
                <w:rtl/>
              </w:rPr>
              <w:t xml:space="preserve"> بهذه </w:t>
            </w:r>
            <w:proofErr w:type="gramStart"/>
            <w:r>
              <w:rPr>
                <w:rFonts w:hint="cs"/>
                <w:rtl/>
              </w:rPr>
              <w:t>الوثيقة؛</w:t>
            </w:r>
            <w:proofErr w:type="gramEnd"/>
          </w:p>
          <w:p w14:paraId="06AF49E4" w14:textId="42DF193A" w:rsidR="0003234F" w:rsidRDefault="0003234F" w:rsidP="0003234F">
            <w:pPr>
              <w:pStyle w:val="enumlev1"/>
              <w:rPr>
                <w:rtl/>
              </w:rPr>
            </w:pPr>
            <w:r>
              <w:t>(2</w:t>
            </w:r>
            <w:r>
              <w:rPr>
                <w:rFonts w:hint="cs"/>
                <w:rtl/>
              </w:rPr>
              <w:tab/>
              <w:t xml:space="preserve">أن </w:t>
            </w:r>
            <w:r>
              <w:rPr>
                <w:rFonts w:hint="cs"/>
                <w:b/>
                <w:bCs/>
                <w:rtl/>
              </w:rPr>
              <w:t>يأذن</w:t>
            </w:r>
            <w:r>
              <w:rPr>
                <w:rFonts w:hint="cs"/>
                <w:rtl/>
              </w:rPr>
              <w:t xml:space="preserve"> للأمين</w:t>
            </w:r>
            <w:r w:rsidR="008248F0">
              <w:rPr>
                <w:rFonts w:hint="cs"/>
                <w:rtl/>
              </w:rPr>
              <w:t>ة</w:t>
            </w:r>
            <w:r>
              <w:rPr>
                <w:rFonts w:hint="cs"/>
                <w:rtl/>
              </w:rPr>
              <w:t xml:space="preserve"> العام</w:t>
            </w:r>
            <w:r w:rsidR="008248F0">
              <w:rPr>
                <w:rFonts w:hint="cs"/>
                <w:rtl/>
              </w:rPr>
              <w:t>ة</w:t>
            </w:r>
            <w:r>
              <w:rPr>
                <w:rFonts w:hint="cs"/>
                <w:rtl/>
              </w:rPr>
              <w:t xml:space="preserve"> بشطب فوائد على المتأخرات وديون غير قابلة للاسترداد بمبلغ </w:t>
            </w:r>
            <w:r w:rsidR="008248F0">
              <w:rPr>
                <w:b/>
                <w:bCs/>
              </w:rPr>
              <w:t>2</w:t>
            </w:r>
            <w:r>
              <w:rPr>
                <w:b/>
                <w:bCs/>
              </w:rPr>
              <w:t> </w:t>
            </w:r>
            <w:r w:rsidR="008248F0">
              <w:rPr>
                <w:b/>
                <w:bCs/>
              </w:rPr>
              <w:t>969</w:t>
            </w:r>
            <w:r>
              <w:rPr>
                <w:b/>
                <w:bCs/>
              </w:rPr>
              <w:t> </w:t>
            </w:r>
            <w:r w:rsidR="008248F0">
              <w:rPr>
                <w:b/>
                <w:bCs/>
              </w:rPr>
              <w:t>139</w:t>
            </w:r>
            <w:r>
              <w:rPr>
                <w:b/>
                <w:bCs/>
              </w:rPr>
              <w:t>,</w:t>
            </w:r>
            <w:r w:rsidR="008248F0">
              <w:rPr>
                <w:b/>
                <w:bCs/>
              </w:rPr>
              <w:t>02</w:t>
            </w:r>
            <w:r>
              <w:rPr>
                <w:rFonts w:hint="cs"/>
                <w:b/>
                <w:bCs/>
                <w:rtl/>
              </w:rPr>
              <w:t xml:space="preserve"> </w:t>
            </w:r>
            <w:r w:rsidR="00BD5B4F" w:rsidRPr="00BD5B4F">
              <w:rPr>
                <w:rFonts w:hint="cs"/>
                <w:b/>
                <w:bCs/>
                <w:rtl/>
                <w:lang w:bidi="ar-EG"/>
              </w:rPr>
              <w:t>من</w:t>
            </w:r>
            <w:r w:rsidR="00BD5B4F">
              <w:rPr>
                <w:rFonts w:hint="cs"/>
                <w:rtl/>
                <w:lang w:bidi="ar-EG"/>
              </w:rPr>
              <w:t xml:space="preserve"> </w:t>
            </w:r>
            <w:r w:rsidR="00BD5B4F" w:rsidRPr="00BD5B4F">
              <w:rPr>
                <w:rFonts w:hint="cs"/>
                <w:b/>
                <w:bCs/>
                <w:rtl/>
                <w:lang w:bidi="ar-EG"/>
              </w:rPr>
              <w:t xml:space="preserve">الفرنكات </w:t>
            </w:r>
            <w:proofErr w:type="gramStart"/>
            <w:r w:rsidR="00BD5B4F" w:rsidRPr="00BD5B4F">
              <w:rPr>
                <w:rFonts w:hint="cs"/>
                <w:b/>
                <w:bCs/>
                <w:rtl/>
                <w:lang w:bidi="ar-EG"/>
              </w:rPr>
              <w:t>السويسرية</w:t>
            </w:r>
            <w:r>
              <w:rPr>
                <w:rFonts w:hint="cs"/>
                <w:rtl/>
              </w:rPr>
              <w:t>؛</w:t>
            </w:r>
            <w:proofErr w:type="gramEnd"/>
          </w:p>
          <w:p w14:paraId="4BE20E9A" w14:textId="0FEC759C" w:rsidR="007B0AA0" w:rsidRDefault="0003234F" w:rsidP="0003234F">
            <w:pPr>
              <w:pStyle w:val="enumlev1"/>
              <w:rPr>
                <w:rtl/>
              </w:rPr>
            </w:pPr>
            <w:r>
              <w:t>(3</w:t>
            </w:r>
            <w:r>
              <w:rPr>
                <w:rFonts w:hint="cs"/>
                <w:rtl/>
              </w:rPr>
              <w:tab/>
              <w:t xml:space="preserve">أن </w:t>
            </w:r>
            <w:r>
              <w:rPr>
                <w:rFonts w:hint="cs"/>
                <w:b/>
                <w:bCs/>
                <w:rtl/>
              </w:rPr>
              <w:t>يعتمد</w:t>
            </w:r>
            <w:r>
              <w:rPr>
                <w:rFonts w:hint="cs"/>
                <w:rtl/>
              </w:rPr>
              <w:t xml:space="preserve"> مشروع المقرر المرفق في الملحق باء.</w:t>
            </w:r>
          </w:p>
          <w:p w14:paraId="3A57152B" w14:textId="0F1F1A19" w:rsidR="007B0AA0" w:rsidRPr="007B0AA0" w:rsidRDefault="008248F0" w:rsidP="007B0AA0">
            <w:pPr>
              <w:rPr>
                <w:b/>
                <w:bCs/>
                <w:rtl/>
              </w:rPr>
            </w:pPr>
            <w:r>
              <w:rPr>
                <w:rFonts w:hint="cs"/>
                <w:b/>
                <w:bCs/>
                <w:rtl/>
              </w:rPr>
              <w:t xml:space="preserve">الصلة </w:t>
            </w:r>
            <w:r w:rsidR="007B0AA0" w:rsidRPr="007B0AA0">
              <w:rPr>
                <w:b/>
                <w:bCs/>
                <w:rtl/>
              </w:rPr>
              <w:t>بالخطة ال</w:t>
            </w:r>
            <w:r w:rsidR="007B0AA0" w:rsidRPr="007B0AA0">
              <w:rPr>
                <w:rFonts w:hint="cs"/>
                <w:b/>
                <w:bCs/>
                <w:rtl/>
              </w:rPr>
              <w:t>ا</w:t>
            </w:r>
            <w:r w:rsidR="007B0AA0" w:rsidRPr="007B0AA0">
              <w:rPr>
                <w:b/>
                <w:bCs/>
                <w:rtl/>
              </w:rPr>
              <w:t>ستراتيجية</w:t>
            </w:r>
          </w:p>
          <w:p w14:paraId="39D3E9B0" w14:textId="7CEDFF7D" w:rsidR="007B0AA0" w:rsidRDefault="008248F0" w:rsidP="0003234F">
            <w:pPr>
              <w:rPr>
                <w:rtl/>
              </w:rPr>
            </w:pPr>
            <w:r>
              <w:rPr>
                <w:rFonts w:hint="cs"/>
                <w:rtl/>
              </w:rPr>
              <w:t>تساهم الإدارة المالية للمتأخرات في تنفيذ الغاي</w:t>
            </w:r>
            <w:r w:rsidR="00A21E47">
              <w:rPr>
                <w:rFonts w:hint="cs"/>
                <w:rtl/>
              </w:rPr>
              <w:t>تين</w:t>
            </w:r>
            <w:r>
              <w:rPr>
                <w:rFonts w:hint="cs"/>
                <w:rtl/>
              </w:rPr>
              <w:t xml:space="preserve"> الاستراتيجي</w:t>
            </w:r>
            <w:r w:rsidR="00A21E47">
              <w:rPr>
                <w:rFonts w:hint="cs"/>
                <w:rtl/>
              </w:rPr>
              <w:t>تين</w:t>
            </w:r>
            <w:r>
              <w:rPr>
                <w:rFonts w:hint="cs"/>
                <w:rtl/>
              </w:rPr>
              <w:t xml:space="preserve"> والأولويات المواضيعية للخطة الاستراتيجية</w:t>
            </w:r>
            <w:r w:rsidR="00A21E47">
              <w:rPr>
                <w:rFonts w:hint="cs"/>
                <w:rtl/>
              </w:rPr>
              <w:t>.</w:t>
            </w:r>
          </w:p>
          <w:p w14:paraId="11B8E154" w14:textId="29CC5BC7" w:rsidR="007B0AA0" w:rsidRDefault="007B0AA0" w:rsidP="007B0AA0">
            <w:pPr>
              <w:rPr>
                <w:b/>
                <w:bCs/>
                <w:rtl/>
              </w:rPr>
            </w:pPr>
            <w:r w:rsidRPr="007B0AA0">
              <w:rPr>
                <w:rFonts w:hint="cs"/>
                <w:b/>
                <w:bCs/>
                <w:rtl/>
              </w:rPr>
              <w:t>الآثار المالية</w:t>
            </w:r>
          </w:p>
          <w:p w14:paraId="013629FF" w14:textId="4CB30594" w:rsidR="0003234F" w:rsidRPr="00A21E47" w:rsidRDefault="00A21E47" w:rsidP="007B0AA0">
            <w:pPr>
              <w:rPr>
                <w:rtl/>
              </w:rPr>
            </w:pPr>
            <w:r>
              <w:rPr>
                <w:rFonts w:hint="cs"/>
                <w:rtl/>
              </w:rPr>
              <w:t xml:space="preserve">شطب الفوائد على المتأخرات والديون غير القابلة للاسترداد </w:t>
            </w:r>
            <w:r w:rsidRPr="00A21E47">
              <w:rPr>
                <w:rFonts w:hint="cs"/>
                <w:rtl/>
              </w:rPr>
              <w:t>بمبلغ </w:t>
            </w:r>
            <w:r w:rsidRPr="00A21E47">
              <w:t>2 969 139,02</w:t>
            </w:r>
            <w:r w:rsidRPr="00A21E47">
              <w:rPr>
                <w:rFonts w:hint="cs"/>
                <w:rtl/>
              </w:rPr>
              <w:t xml:space="preserve"> </w:t>
            </w:r>
            <w:r w:rsidR="00BD5B4F">
              <w:rPr>
                <w:rFonts w:hint="cs"/>
                <w:rtl/>
                <w:lang w:bidi="ar-EG"/>
              </w:rPr>
              <w:t>من الفرنكات السويسرية</w:t>
            </w:r>
            <w:r w:rsidR="00BD5B4F">
              <w:rPr>
                <w:rFonts w:hint="cs"/>
                <w:rtl/>
              </w:rPr>
              <w:t xml:space="preserve"> </w:t>
            </w:r>
            <w:r>
              <w:rPr>
                <w:rFonts w:hint="cs"/>
                <w:rtl/>
              </w:rPr>
              <w:t>مقابل سحب من احتياطي الحسابات المدينة.</w:t>
            </w:r>
          </w:p>
          <w:p w14:paraId="7CA9059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B477266" w14:textId="77777777" w:rsidR="007B0AA0" w:rsidRPr="007B0AA0" w:rsidRDefault="007B0AA0" w:rsidP="007B0AA0">
            <w:pPr>
              <w:rPr>
                <w:b/>
                <w:bCs/>
                <w:rtl/>
              </w:rPr>
            </w:pPr>
            <w:r w:rsidRPr="007B0AA0">
              <w:rPr>
                <w:rFonts w:hint="cs"/>
                <w:b/>
                <w:bCs/>
                <w:rtl/>
              </w:rPr>
              <w:t>المراجع</w:t>
            </w:r>
          </w:p>
          <w:p w14:paraId="7EFCB474" w14:textId="4840339E" w:rsidR="007B0AA0" w:rsidRPr="0003234F" w:rsidRDefault="004E7024" w:rsidP="007B0AA0">
            <w:pPr>
              <w:rPr>
                <w:i/>
                <w:iCs/>
                <w:rtl/>
              </w:rPr>
            </w:pPr>
            <w:hyperlink r:id="rId8" w:history="1">
              <w:r w:rsidR="0003234F" w:rsidRPr="0003234F">
                <w:rPr>
                  <w:rStyle w:val="Hyperlink"/>
                  <w:rFonts w:hint="cs"/>
                  <w:i/>
                  <w:iCs/>
                  <w:rtl/>
                </w:rPr>
                <w:t xml:space="preserve">الرقم </w:t>
              </w:r>
              <w:r w:rsidR="0003234F" w:rsidRPr="0003234F">
                <w:rPr>
                  <w:rStyle w:val="Hyperlink"/>
                  <w:i/>
                  <w:iCs/>
                  <w:lang w:bidi="ar-SY"/>
                </w:rPr>
                <w:t>169</w:t>
              </w:r>
              <w:r w:rsidR="0003234F" w:rsidRPr="0003234F">
                <w:rPr>
                  <w:rStyle w:val="Hyperlink"/>
                  <w:rFonts w:hint="cs"/>
                  <w:i/>
                  <w:iCs/>
                  <w:rtl/>
                </w:rPr>
                <w:t xml:space="preserve"> من الدستور</w:t>
              </w:r>
            </w:hyperlink>
            <w:r w:rsidR="0003234F" w:rsidRPr="0003234F">
              <w:rPr>
                <w:i/>
                <w:iCs/>
                <w:rtl/>
              </w:rPr>
              <w:t xml:space="preserve"> و</w:t>
            </w:r>
            <w:hyperlink r:id="rId9" w:history="1">
              <w:r w:rsidR="0003234F" w:rsidRPr="0003234F">
                <w:rPr>
                  <w:rStyle w:val="Hyperlink"/>
                  <w:rFonts w:hint="cs"/>
                  <w:i/>
                  <w:iCs/>
                  <w:rtl/>
                </w:rPr>
                <w:t xml:space="preserve">الرقم </w:t>
              </w:r>
              <w:r w:rsidR="0003234F" w:rsidRPr="0003234F">
                <w:rPr>
                  <w:rStyle w:val="Hyperlink"/>
                  <w:i/>
                  <w:iCs/>
                  <w:lang w:bidi="ar-SY"/>
                </w:rPr>
                <w:t>474</w:t>
              </w:r>
              <w:r w:rsidR="0003234F" w:rsidRPr="0003234F">
                <w:rPr>
                  <w:rStyle w:val="Hyperlink"/>
                  <w:rFonts w:hint="cs"/>
                  <w:i/>
                  <w:iCs/>
                  <w:rtl/>
                </w:rPr>
                <w:t xml:space="preserve"> من الاتفاقية</w:t>
              </w:r>
            </w:hyperlink>
            <w:r w:rsidR="00155D0A" w:rsidRPr="00155D0A">
              <w:rPr>
                <w:rFonts w:hint="cs"/>
                <w:i/>
                <w:iCs/>
                <w:rtl/>
              </w:rPr>
              <w:t>؛</w:t>
            </w:r>
            <w:r w:rsidR="0003234F" w:rsidRPr="0003234F">
              <w:rPr>
                <w:i/>
                <w:iCs/>
                <w:rtl/>
              </w:rPr>
              <w:t xml:space="preserve"> </w:t>
            </w:r>
            <w:r w:rsidR="0003234F" w:rsidRPr="0003234F">
              <w:rPr>
                <w:i/>
                <w:iCs/>
                <w:rtl/>
                <w:lang w:bidi="ar-SY"/>
              </w:rPr>
              <w:t>و</w:t>
            </w:r>
            <w:hyperlink r:id="rId10" w:history="1">
              <w:r w:rsidR="0003234F" w:rsidRPr="0003234F">
                <w:rPr>
                  <w:rStyle w:val="Hyperlink"/>
                  <w:rFonts w:hint="cs"/>
                  <w:i/>
                  <w:iCs/>
                  <w:rtl/>
                  <w:lang w:bidi="ar-SY"/>
                </w:rPr>
                <w:t xml:space="preserve">القرار </w:t>
              </w:r>
              <w:r w:rsidR="0003234F" w:rsidRPr="0003234F">
                <w:rPr>
                  <w:rStyle w:val="Hyperlink"/>
                  <w:i/>
                  <w:iCs/>
                  <w:lang w:bidi="ar-SY"/>
                </w:rPr>
                <w:t>41</w:t>
              </w:r>
              <w:r w:rsidR="0003234F" w:rsidRPr="0003234F">
                <w:rPr>
                  <w:rStyle w:val="Hyperlink"/>
                  <w:rFonts w:hint="cs"/>
                  <w:i/>
                  <w:iCs/>
                  <w:rtl/>
                  <w:lang w:bidi="ar-SY"/>
                </w:rPr>
                <w:t xml:space="preserve"> (المراجَع في دبي، </w:t>
              </w:r>
              <w:r w:rsidR="0003234F" w:rsidRPr="0003234F">
                <w:rPr>
                  <w:rStyle w:val="Hyperlink"/>
                  <w:i/>
                  <w:iCs/>
                  <w:lang w:bidi="ar-SY"/>
                </w:rPr>
                <w:t>2018</w:t>
              </w:r>
              <w:r w:rsidR="0003234F" w:rsidRPr="0003234F">
                <w:rPr>
                  <w:rStyle w:val="Hyperlink"/>
                  <w:rFonts w:hint="cs"/>
                  <w:i/>
                  <w:iCs/>
                  <w:rtl/>
                  <w:lang w:bidi="ar-SY"/>
                </w:rPr>
                <w:t>)</w:t>
              </w:r>
            </w:hyperlink>
            <w:r w:rsidR="0003234F" w:rsidRPr="0003234F">
              <w:rPr>
                <w:rFonts w:hint="cs"/>
                <w:i/>
                <w:iCs/>
                <w:rtl/>
                <w:lang w:bidi="ar-SY"/>
              </w:rPr>
              <w:t xml:space="preserve"> </w:t>
            </w:r>
            <w:r w:rsidR="0003234F" w:rsidRPr="0003234F">
              <w:rPr>
                <w:i/>
                <w:iCs/>
                <w:rtl/>
                <w:lang w:bidi="ar-SY"/>
              </w:rPr>
              <w:t>و</w:t>
            </w:r>
            <w:hyperlink r:id="rId11" w:history="1">
              <w:r w:rsidR="0003234F" w:rsidRPr="0003234F">
                <w:rPr>
                  <w:rStyle w:val="Hyperlink"/>
                  <w:rFonts w:hint="cs"/>
                  <w:i/>
                  <w:iCs/>
                  <w:rtl/>
                  <w:lang w:bidi="ar-SY"/>
                </w:rPr>
                <w:t xml:space="preserve">القرار </w:t>
              </w:r>
              <w:r w:rsidR="0003234F" w:rsidRPr="0003234F">
                <w:rPr>
                  <w:rStyle w:val="Hyperlink"/>
                  <w:i/>
                  <w:iCs/>
                  <w:lang w:bidi="ar-SY"/>
                </w:rPr>
                <w:t>152</w:t>
              </w:r>
              <w:r w:rsidR="0003234F" w:rsidRPr="0003234F">
                <w:rPr>
                  <w:rStyle w:val="Hyperlink"/>
                  <w:rFonts w:hint="cs"/>
                  <w:i/>
                  <w:iCs/>
                  <w:rtl/>
                  <w:lang w:bidi="ar-SY"/>
                </w:rPr>
                <w:t xml:space="preserve"> (المراجَع في بوسان، </w:t>
              </w:r>
              <w:r w:rsidR="0003234F" w:rsidRPr="0003234F">
                <w:rPr>
                  <w:rStyle w:val="Hyperlink"/>
                  <w:i/>
                  <w:iCs/>
                  <w:lang w:bidi="ar-SY"/>
                </w:rPr>
                <w:t>2014</w:t>
              </w:r>
              <w:r w:rsidR="0003234F" w:rsidRPr="0003234F">
                <w:rPr>
                  <w:rStyle w:val="Hyperlink"/>
                  <w:rFonts w:hint="cs"/>
                  <w:i/>
                  <w:iCs/>
                  <w:rtl/>
                  <w:lang w:bidi="ar-SY"/>
                </w:rPr>
                <w:t>)</w:t>
              </w:r>
            </w:hyperlink>
            <w:r w:rsidR="0003234F" w:rsidRPr="0003234F">
              <w:rPr>
                <w:i/>
                <w:iCs/>
                <w:rtl/>
              </w:rPr>
              <w:t xml:space="preserve"> </w:t>
            </w:r>
            <w:r w:rsidR="0003234F" w:rsidRPr="0003234F">
              <w:rPr>
                <w:rFonts w:hint="cs"/>
                <w:i/>
                <w:iCs/>
                <w:rtl/>
              </w:rPr>
              <w:t xml:space="preserve">لمؤتمر المندوبين المفوضين؛ </w:t>
            </w:r>
            <w:r w:rsidR="0003234F" w:rsidRPr="0003234F">
              <w:rPr>
                <w:i/>
                <w:iCs/>
                <w:rtl/>
              </w:rPr>
              <w:t>والوثائق </w:t>
            </w:r>
            <w:hyperlink r:id="rId12" w:history="1">
              <w:r w:rsidR="0003234F" w:rsidRPr="0003234F">
                <w:rPr>
                  <w:rStyle w:val="Hyperlink"/>
                  <w:i/>
                  <w:iCs/>
                </w:rPr>
                <w:t>C99/27</w:t>
              </w:r>
            </w:hyperlink>
            <w:r w:rsidR="0003234F" w:rsidRPr="0003234F">
              <w:rPr>
                <w:i/>
                <w:iCs/>
                <w:rtl/>
              </w:rPr>
              <w:t xml:space="preserve"> و</w:t>
            </w:r>
            <w:hyperlink r:id="rId13" w:history="1">
              <w:r w:rsidR="0003234F" w:rsidRPr="0003234F">
                <w:rPr>
                  <w:rStyle w:val="Hyperlink"/>
                  <w:i/>
                  <w:iCs/>
                </w:rPr>
                <w:t>C14/26</w:t>
              </w:r>
            </w:hyperlink>
            <w:r w:rsidR="0003234F" w:rsidRPr="0003234F">
              <w:rPr>
                <w:i/>
                <w:iCs/>
                <w:rtl/>
              </w:rPr>
              <w:t xml:space="preserve"> و</w:t>
            </w:r>
            <w:hyperlink r:id="rId14" w:history="1">
              <w:r w:rsidR="0003234F" w:rsidRPr="0003234F">
                <w:rPr>
                  <w:rStyle w:val="Hyperlink"/>
                  <w:i/>
                  <w:iCs/>
                </w:rPr>
                <w:t>C15/50</w:t>
              </w:r>
            </w:hyperlink>
            <w:r w:rsidR="0003234F" w:rsidRPr="0003234F">
              <w:rPr>
                <w:i/>
                <w:iCs/>
                <w:rtl/>
              </w:rPr>
              <w:t xml:space="preserve"> و</w:t>
            </w:r>
            <w:hyperlink r:id="rId15" w:history="1">
              <w:r w:rsidR="0003234F" w:rsidRPr="0003234F">
                <w:rPr>
                  <w:rStyle w:val="Hyperlink"/>
                  <w:i/>
                  <w:iCs/>
                </w:rPr>
                <w:t>C16/42</w:t>
              </w:r>
            </w:hyperlink>
            <w:r w:rsidR="0003234F" w:rsidRPr="0003234F">
              <w:rPr>
                <w:i/>
                <w:iCs/>
                <w:rtl/>
              </w:rPr>
              <w:t xml:space="preserve"> و</w:t>
            </w:r>
            <w:hyperlink r:id="rId16" w:history="1">
              <w:r w:rsidR="0003234F" w:rsidRPr="0003234F">
                <w:rPr>
                  <w:rStyle w:val="Hyperlink"/>
                  <w:i/>
                  <w:iCs/>
                </w:rPr>
                <w:t>C17/42</w:t>
              </w:r>
            </w:hyperlink>
            <w:r w:rsidR="0003234F" w:rsidRPr="0003234F">
              <w:rPr>
                <w:i/>
                <w:iCs/>
                <w:rtl/>
              </w:rPr>
              <w:t xml:space="preserve"> و</w:t>
            </w:r>
            <w:hyperlink r:id="rId17" w:history="1">
              <w:r w:rsidR="0003234F" w:rsidRPr="0003234F">
                <w:rPr>
                  <w:rStyle w:val="Hyperlink"/>
                  <w:i/>
                  <w:iCs/>
                </w:rPr>
                <w:t>C18/42</w:t>
              </w:r>
            </w:hyperlink>
            <w:r w:rsidR="0003234F" w:rsidRPr="0003234F">
              <w:rPr>
                <w:i/>
                <w:iCs/>
                <w:rtl/>
              </w:rPr>
              <w:t xml:space="preserve"> و</w:t>
            </w:r>
            <w:hyperlink r:id="rId18" w:history="1">
              <w:r w:rsidR="0003234F" w:rsidRPr="0003234F">
                <w:rPr>
                  <w:rStyle w:val="Hyperlink"/>
                  <w:i/>
                  <w:iCs/>
                </w:rPr>
                <w:t>C19/42</w:t>
              </w:r>
            </w:hyperlink>
            <w:r w:rsidR="0003234F" w:rsidRPr="0003234F">
              <w:rPr>
                <w:i/>
                <w:iCs/>
                <w:rtl/>
              </w:rPr>
              <w:t xml:space="preserve"> و</w:t>
            </w:r>
            <w:hyperlink r:id="rId19" w:history="1">
              <w:r w:rsidR="0003234F" w:rsidRPr="0003234F">
                <w:rPr>
                  <w:rStyle w:val="Hyperlink"/>
                  <w:i/>
                  <w:iCs/>
                </w:rPr>
                <w:t>C20/42</w:t>
              </w:r>
            </w:hyperlink>
            <w:r w:rsidR="0003234F" w:rsidRPr="0003234F">
              <w:rPr>
                <w:i/>
                <w:iCs/>
                <w:rtl/>
              </w:rPr>
              <w:t xml:space="preserve"> و</w:t>
            </w:r>
            <w:hyperlink r:id="rId20" w:history="1">
              <w:r w:rsidR="0003234F" w:rsidRPr="0003234F">
                <w:rPr>
                  <w:rStyle w:val="Hyperlink"/>
                  <w:i/>
                  <w:iCs/>
                </w:rPr>
                <w:t>C21/42</w:t>
              </w:r>
            </w:hyperlink>
            <w:r w:rsidR="0003234F" w:rsidRPr="0003234F">
              <w:rPr>
                <w:rFonts w:hint="cs"/>
                <w:i/>
                <w:iCs/>
                <w:rtl/>
              </w:rPr>
              <w:t xml:space="preserve"> و</w:t>
            </w:r>
            <w:hyperlink r:id="rId21" w:history="1">
              <w:r w:rsidR="0003234F" w:rsidRPr="0003234F">
                <w:rPr>
                  <w:rStyle w:val="Hyperlink"/>
                  <w:i/>
                  <w:iCs/>
                </w:rPr>
                <w:t>C22/43</w:t>
              </w:r>
            </w:hyperlink>
          </w:p>
        </w:tc>
      </w:tr>
    </w:tbl>
    <w:p w14:paraId="379C98E5" w14:textId="77777777" w:rsidR="00F50E3F" w:rsidRDefault="00F50E3F" w:rsidP="0003234F">
      <w:pPr>
        <w:rPr>
          <w:rtl/>
          <w:lang w:bidi="ar-EG"/>
        </w:rPr>
      </w:pPr>
      <w:r>
        <w:rPr>
          <w:rtl/>
          <w:lang w:bidi="ar-EG"/>
        </w:rPr>
        <w:br w:type="page"/>
      </w:r>
    </w:p>
    <w:p w14:paraId="7821CB3E" w14:textId="77777777" w:rsidR="0003234F" w:rsidRDefault="0003234F" w:rsidP="00C30CAC">
      <w:pPr>
        <w:pStyle w:val="Heading1"/>
        <w:jc w:val="center"/>
      </w:pPr>
      <w:r>
        <w:rPr>
          <w:rFonts w:hint="cs"/>
          <w:rtl/>
        </w:rPr>
        <w:lastRenderedPageBreak/>
        <w:t>المتأخرات والحسابات الخاصة بالمتأخرات</w:t>
      </w:r>
    </w:p>
    <w:p w14:paraId="437F047B" w14:textId="5F6EC6A6" w:rsidR="0003234F" w:rsidRDefault="0003234F" w:rsidP="0003234F">
      <w:pPr>
        <w:pStyle w:val="Heading1"/>
        <w:rPr>
          <w:lang w:bidi="ar-SY"/>
        </w:rPr>
      </w:pPr>
      <w:r>
        <w:rPr>
          <w:lang w:bidi="ar-SY"/>
        </w:rPr>
        <w:t>1</w:t>
      </w:r>
      <w:r>
        <w:rPr>
          <w:lang w:bidi="ar-SY"/>
        </w:rPr>
        <w:tab/>
      </w:r>
      <w:r>
        <w:rPr>
          <w:rFonts w:hint="cs"/>
          <w:rtl/>
        </w:rPr>
        <w:t xml:space="preserve">حالة المتأخرات والحسابات الخاصة بالمتأخرات في </w:t>
      </w:r>
      <w:r>
        <w:rPr>
          <w:lang w:bidi="ar-SY"/>
        </w:rPr>
        <w:t>31</w:t>
      </w:r>
      <w:r>
        <w:rPr>
          <w:rFonts w:hint="cs"/>
          <w:rtl/>
        </w:rPr>
        <w:t xml:space="preserve"> ديسمبر </w:t>
      </w:r>
      <w:r w:rsidR="00A21E47">
        <w:rPr>
          <w:rFonts w:hint="cs"/>
          <w:rtl/>
        </w:rPr>
        <w:t>2022</w:t>
      </w:r>
    </w:p>
    <w:p w14:paraId="7ADBBF5E" w14:textId="35BC95D8" w:rsidR="0003234F" w:rsidRDefault="0003234F" w:rsidP="0003234F">
      <w:pPr>
        <w:rPr>
          <w:rtl/>
          <w:lang w:bidi="ar-SY"/>
        </w:rPr>
      </w:pPr>
      <w:r>
        <w:rPr>
          <w:lang w:bidi="ar-SY"/>
        </w:rPr>
        <w:t>1.1</w:t>
      </w:r>
      <w:r>
        <w:rPr>
          <w:rFonts w:hint="cs"/>
          <w:rtl/>
          <w:lang w:bidi="ar-SY"/>
        </w:rPr>
        <w:tab/>
      </w:r>
      <w:r w:rsidR="00B16BF8" w:rsidRPr="00C30CAC">
        <w:rPr>
          <w:rFonts w:hint="cs"/>
          <w:spacing w:val="-4"/>
          <w:rtl/>
          <w:lang w:bidi="ar-SY"/>
        </w:rPr>
        <w:t>ي</w:t>
      </w:r>
      <w:r w:rsidRPr="00C30CAC">
        <w:rPr>
          <w:rFonts w:hint="cs"/>
          <w:spacing w:val="-4"/>
          <w:rtl/>
          <w:lang w:bidi="ar-SY"/>
        </w:rPr>
        <w:t xml:space="preserve">رد </w:t>
      </w:r>
      <w:r w:rsidR="00B16BF8" w:rsidRPr="00C30CAC">
        <w:rPr>
          <w:rFonts w:hint="cs"/>
          <w:spacing w:val="-4"/>
          <w:rtl/>
          <w:lang w:bidi="ar-SY"/>
        </w:rPr>
        <w:t>تطور</w:t>
      </w:r>
      <w:r w:rsidRPr="00C30CAC">
        <w:rPr>
          <w:rFonts w:hint="cs"/>
          <w:spacing w:val="-4"/>
          <w:rtl/>
          <w:lang w:bidi="ar-SY"/>
        </w:rPr>
        <w:t xml:space="preserve"> </w:t>
      </w:r>
      <w:r w:rsidR="00A21E47" w:rsidRPr="00C30CAC">
        <w:rPr>
          <w:rFonts w:hint="cs"/>
          <w:spacing w:val="-4"/>
          <w:rtl/>
          <w:lang w:bidi="ar-SY"/>
        </w:rPr>
        <w:t>ا</w:t>
      </w:r>
      <w:r w:rsidRPr="00C30CAC">
        <w:rPr>
          <w:rFonts w:hint="cs"/>
          <w:spacing w:val="-4"/>
          <w:rtl/>
          <w:lang w:bidi="ar-SY"/>
        </w:rPr>
        <w:t xml:space="preserve">لمتأخرات والحسابات الخاصة بالمتأخرات </w:t>
      </w:r>
      <w:r w:rsidR="00DF4A9E" w:rsidRPr="00C30CAC">
        <w:rPr>
          <w:rFonts w:hint="cs"/>
          <w:spacing w:val="-4"/>
          <w:rtl/>
          <w:lang w:bidi="ar-SY"/>
        </w:rPr>
        <w:t>من</w:t>
      </w:r>
      <w:r w:rsidR="00A21E47" w:rsidRPr="00C30CAC">
        <w:rPr>
          <w:rFonts w:hint="cs"/>
          <w:spacing w:val="-4"/>
          <w:rtl/>
          <w:lang w:bidi="ar-SY"/>
        </w:rPr>
        <w:t xml:space="preserve"> عام 2014 إلى</w:t>
      </w:r>
      <w:r w:rsidRPr="00C30CAC">
        <w:rPr>
          <w:rFonts w:hint="cs"/>
          <w:spacing w:val="-4"/>
          <w:rtl/>
          <w:lang w:bidi="ar-SY"/>
        </w:rPr>
        <w:t xml:space="preserve"> </w:t>
      </w:r>
      <w:r w:rsidRPr="00C30CAC">
        <w:rPr>
          <w:spacing w:val="-4"/>
          <w:lang w:bidi="ar-SY"/>
        </w:rPr>
        <w:t>31</w:t>
      </w:r>
      <w:r w:rsidRPr="00C30CAC">
        <w:rPr>
          <w:rFonts w:hint="cs"/>
          <w:spacing w:val="-4"/>
          <w:rtl/>
          <w:lang w:bidi="ar-SY"/>
        </w:rPr>
        <w:t xml:space="preserve"> ديسمبر 2022 في </w:t>
      </w:r>
      <w:r w:rsidRPr="00C30CAC">
        <w:rPr>
          <w:rFonts w:hint="cs"/>
          <w:spacing w:val="-4"/>
          <w:rtl/>
        </w:rPr>
        <w:t xml:space="preserve">الملحق </w:t>
      </w:r>
      <w:r w:rsidRPr="00C30CAC">
        <w:rPr>
          <w:rFonts w:hint="cs"/>
          <w:spacing w:val="-4"/>
          <w:rtl/>
          <w:lang w:bidi="ar-SY"/>
        </w:rPr>
        <w:t>ألف بهذه الوثيقة.</w:t>
      </w:r>
    </w:p>
    <w:p w14:paraId="5B496D70" w14:textId="0B8D1975" w:rsidR="0003234F" w:rsidRPr="00C30CAC" w:rsidRDefault="0003234F" w:rsidP="00C30CAC">
      <w:pPr>
        <w:rPr>
          <w:spacing w:val="-2"/>
        </w:rPr>
      </w:pPr>
      <w:r w:rsidRPr="00C30CAC">
        <w:rPr>
          <w:spacing w:val="-2"/>
          <w:lang w:bidi="ar-SY"/>
        </w:rPr>
        <w:t>2.1</w:t>
      </w:r>
      <w:r w:rsidRPr="00C30CAC">
        <w:rPr>
          <w:rFonts w:hint="cs"/>
          <w:spacing w:val="-2"/>
          <w:rtl/>
          <w:lang w:bidi="ar-SY"/>
        </w:rPr>
        <w:tab/>
        <w:t>و</w:t>
      </w:r>
      <w:r w:rsidRPr="00C30CAC">
        <w:rPr>
          <w:rFonts w:hint="cs"/>
          <w:spacing w:val="-2"/>
          <w:rtl/>
          <w:lang w:bidi="ar-EG"/>
        </w:rPr>
        <w:t>سمحت</w:t>
      </w:r>
      <w:r w:rsidRPr="00C30CAC">
        <w:rPr>
          <w:rFonts w:hint="cs"/>
          <w:spacing w:val="-2"/>
          <w:rtl/>
          <w:lang w:bidi="ar-SY"/>
        </w:rPr>
        <w:t xml:space="preserve"> الجزاءات المفروضة والجهود المبذولة لاسترداد المبالغ المستحقة وتصفية الديون غير القابلة للاسترداد، بكبح الزيادة في المتأخرات وتحقيق انخفاض ملموس</w:t>
      </w:r>
      <w:r w:rsidRPr="00C30CAC">
        <w:rPr>
          <w:rFonts w:hint="cs"/>
          <w:spacing w:val="-2"/>
          <w:rtl/>
        </w:rPr>
        <w:t xml:space="preserve"> ومستمر</w:t>
      </w:r>
      <w:r w:rsidRPr="00C30CAC">
        <w:rPr>
          <w:rFonts w:hint="cs"/>
          <w:spacing w:val="-2"/>
          <w:rtl/>
          <w:lang w:bidi="ar-SY"/>
        </w:rPr>
        <w:t xml:space="preserve"> في المتأخرات بين عامي 2015</w:t>
      </w:r>
      <w:r w:rsidRPr="00C30CAC">
        <w:rPr>
          <w:spacing w:val="-2"/>
          <w:rtl/>
          <w:lang w:bidi="ar-SY"/>
        </w:rPr>
        <w:t xml:space="preserve"> </w:t>
      </w:r>
      <w:r w:rsidRPr="00C30CAC">
        <w:rPr>
          <w:rFonts w:hint="cs"/>
          <w:spacing w:val="-2"/>
          <w:rtl/>
          <w:lang w:bidi="ar-SY"/>
        </w:rPr>
        <w:t xml:space="preserve">و2022 (انظر الملحق ألف). </w:t>
      </w:r>
      <w:r w:rsidR="00DF4A9E" w:rsidRPr="00C30CAC">
        <w:rPr>
          <w:rFonts w:hint="cs"/>
          <w:spacing w:val="-2"/>
          <w:rtl/>
          <w:lang w:bidi="ar-SY"/>
        </w:rPr>
        <w:t>وقد</w:t>
      </w:r>
      <w:r w:rsidR="00C30CAC" w:rsidRPr="00C30CAC">
        <w:rPr>
          <w:rFonts w:hint="eastAsia"/>
          <w:spacing w:val="-2"/>
          <w:rtl/>
          <w:lang w:bidi="ar-SY"/>
        </w:rPr>
        <w:t> </w:t>
      </w:r>
      <w:r w:rsidR="00DF4A9E" w:rsidRPr="00C30CAC">
        <w:rPr>
          <w:rFonts w:hint="cs"/>
          <w:spacing w:val="-2"/>
          <w:rtl/>
          <w:lang w:bidi="ar-SY"/>
        </w:rPr>
        <w:t xml:space="preserve">بلغت معدلات الاسترداد </w:t>
      </w:r>
      <w:r w:rsidR="00DF4A9E" w:rsidRPr="00C30CAC">
        <w:rPr>
          <w:spacing w:val="-2"/>
          <w:lang w:bidi="ar-SY"/>
        </w:rPr>
        <w:t>14</w:t>
      </w:r>
      <w:r w:rsidR="00DF4A9E" w:rsidRPr="00C30CAC">
        <w:rPr>
          <w:rFonts w:hint="cs"/>
          <w:spacing w:val="-2"/>
          <w:rtl/>
        </w:rPr>
        <w:t xml:space="preserve"> في المائة في عام 2022 مقابل 7 في المائة في عام 2021 (المبالغ المدفوعة التي تم تخصيصها)</w:t>
      </w:r>
      <w:r w:rsidRPr="00C30CAC">
        <w:rPr>
          <w:rFonts w:hint="cs"/>
          <w:spacing w:val="-2"/>
          <w:rtl/>
          <w:lang w:bidi="ar-SY"/>
        </w:rPr>
        <w:t>. وهكذا، انخفض مجموع المتأخرات والحسابات الخاصة بالمتأخرات والحسابات الخاصة بالمتأخرات الملغاة من 51,7 مليون فرنك سويسري في </w:t>
      </w:r>
      <w:r w:rsidRPr="00C30CAC">
        <w:rPr>
          <w:spacing w:val="-2"/>
          <w:lang w:bidi="ar-SY"/>
        </w:rPr>
        <w:t>31</w:t>
      </w:r>
      <w:r w:rsidRPr="00C30CAC">
        <w:rPr>
          <w:spacing w:val="-2"/>
          <w:rtl/>
          <w:lang w:bidi="ar-SY"/>
        </w:rPr>
        <w:t xml:space="preserve"> </w:t>
      </w:r>
      <w:r w:rsidRPr="00C30CAC">
        <w:rPr>
          <w:rFonts w:hint="cs"/>
          <w:spacing w:val="-2"/>
          <w:rtl/>
          <w:lang w:bidi="ar-SY"/>
        </w:rPr>
        <w:t>ديسمبر 2015 إلى 34,1 مليون فرنك سويسري في </w:t>
      </w:r>
      <w:r w:rsidRPr="00C30CAC">
        <w:rPr>
          <w:spacing w:val="-2"/>
          <w:lang w:bidi="ar-SY"/>
        </w:rPr>
        <w:t>31</w:t>
      </w:r>
      <w:r w:rsidRPr="00C30CAC">
        <w:rPr>
          <w:rFonts w:hint="cs"/>
          <w:spacing w:val="-2"/>
          <w:rtl/>
        </w:rPr>
        <w:t> ديسمبر</w:t>
      </w:r>
      <w:r w:rsidRPr="00C30CAC">
        <w:rPr>
          <w:rFonts w:hint="cs"/>
          <w:spacing w:val="-2"/>
          <w:rtl/>
          <w:lang w:bidi="ar-SY"/>
        </w:rPr>
        <w:t> 2022</w:t>
      </w:r>
      <w:r w:rsidRPr="00C30CAC">
        <w:rPr>
          <w:rFonts w:hint="cs"/>
          <w:spacing w:val="-2"/>
          <w:rtl/>
        </w:rPr>
        <w:t>، ما يعادل انخفاضاً بنسبة 34</w:t>
      </w:r>
      <w:r w:rsidRPr="00C30CAC">
        <w:rPr>
          <w:spacing w:val="-2"/>
          <w:rtl/>
        </w:rPr>
        <w:t xml:space="preserve"> </w:t>
      </w:r>
      <w:r w:rsidRPr="00C30CAC">
        <w:rPr>
          <w:rFonts w:hint="cs"/>
          <w:spacing w:val="-2"/>
          <w:rtl/>
          <w:lang w:bidi="ar-SY"/>
        </w:rPr>
        <w:t>في</w:t>
      </w:r>
      <w:r w:rsidR="00C30CAC" w:rsidRPr="00C30CAC">
        <w:rPr>
          <w:rFonts w:hint="eastAsia"/>
          <w:spacing w:val="-2"/>
          <w:rtl/>
          <w:lang w:bidi="ar-SY"/>
        </w:rPr>
        <w:t> </w:t>
      </w:r>
      <w:r w:rsidRPr="00C30CAC">
        <w:rPr>
          <w:rFonts w:hint="cs"/>
          <w:spacing w:val="-2"/>
          <w:rtl/>
          <w:lang w:bidi="ar-SY"/>
        </w:rPr>
        <w:t>المائة</w:t>
      </w:r>
      <w:r w:rsidRPr="00C30CAC">
        <w:rPr>
          <w:spacing w:val="-2"/>
        </w:rPr>
        <w:t>.</w:t>
      </w:r>
    </w:p>
    <w:p w14:paraId="2AF837EE" w14:textId="58FEB1DB" w:rsidR="0003234F" w:rsidRDefault="0003234F" w:rsidP="0003234F">
      <w:pPr>
        <w:rPr>
          <w:rtl/>
        </w:rPr>
      </w:pPr>
      <w:r>
        <w:rPr>
          <w:lang w:bidi="ar-SY"/>
        </w:rPr>
        <w:t>3.1</w:t>
      </w:r>
      <w:r>
        <w:rPr>
          <w:lang w:bidi="ar-SY"/>
        </w:rPr>
        <w:tab/>
      </w:r>
      <w:r>
        <w:rPr>
          <w:rFonts w:hint="cs"/>
          <w:rtl/>
        </w:rPr>
        <w:t>و</w:t>
      </w:r>
      <w:r w:rsidR="00425C2E">
        <w:rPr>
          <w:rFonts w:hint="cs"/>
          <w:rtl/>
        </w:rPr>
        <w:t>يُسترعى الانتباه أيضاً إلى</w:t>
      </w:r>
      <w:r>
        <w:rPr>
          <w:rFonts w:hint="cs"/>
          <w:rtl/>
        </w:rPr>
        <w:t xml:space="preserve"> </w:t>
      </w:r>
      <w:r w:rsidR="00425C2E">
        <w:rPr>
          <w:rFonts w:hint="cs"/>
          <w:rtl/>
        </w:rPr>
        <w:t>تحسن</w:t>
      </w:r>
      <w:r>
        <w:rPr>
          <w:rFonts w:hint="cs"/>
          <w:rtl/>
        </w:rPr>
        <w:t xml:space="preserve"> وضع المتأخرات </w:t>
      </w:r>
      <w:r w:rsidR="00425C2E">
        <w:rPr>
          <w:rFonts w:hint="cs"/>
          <w:rtl/>
        </w:rPr>
        <w:t>في</w:t>
      </w:r>
      <w:r>
        <w:rPr>
          <w:rFonts w:hint="cs"/>
          <w:rtl/>
        </w:rPr>
        <w:t xml:space="preserve"> السنة الماضية. ففي</w:t>
      </w:r>
      <w:r w:rsidR="009C291D">
        <w:rPr>
          <w:rFonts w:hint="cs"/>
          <w:rtl/>
        </w:rPr>
        <w:t xml:space="preserve"> </w:t>
      </w:r>
      <w:r w:rsidR="009C291D">
        <w:t>31</w:t>
      </w:r>
      <w:r>
        <w:rPr>
          <w:rFonts w:hint="cs"/>
          <w:rtl/>
          <w:lang w:bidi="ar-SY"/>
        </w:rPr>
        <w:t> </w:t>
      </w:r>
      <w:r w:rsidR="00425C2E">
        <w:rPr>
          <w:rFonts w:hint="cs"/>
          <w:rtl/>
          <w:lang w:bidi="ar-SY"/>
        </w:rPr>
        <w:t>ديسمبر</w:t>
      </w:r>
      <w:r>
        <w:rPr>
          <w:rFonts w:hint="cs"/>
          <w:rtl/>
          <w:lang w:bidi="ar-SY"/>
        </w:rPr>
        <w:t> </w:t>
      </w:r>
      <w:r>
        <w:rPr>
          <w:lang w:bidi="ar-SY"/>
        </w:rPr>
        <w:t>2021</w:t>
      </w:r>
      <w:r>
        <w:rPr>
          <w:rFonts w:hint="cs"/>
          <w:rtl/>
        </w:rPr>
        <w:t xml:space="preserve">، </w:t>
      </w:r>
      <w:r w:rsidR="00425C2E">
        <w:rPr>
          <w:rFonts w:hint="cs"/>
          <w:rtl/>
        </w:rPr>
        <w:t>بلغ مجموع</w:t>
      </w:r>
      <w:r>
        <w:rPr>
          <w:rFonts w:hint="cs"/>
          <w:rtl/>
        </w:rPr>
        <w:t xml:space="preserve"> المتأخرات</w:t>
      </w:r>
      <w:r w:rsidR="00425C2E">
        <w:rPr>
          <w:rFonts w:hint="cs"/>
          <w:rtl/>
        </w:rPr>
        <w:t xml:space="preserve"> </w:t>
      </w:r>
      <w:r w:rsidR="00425C2E">
        <w:t>39,9</w:t>
      </w:r>
      <w:r w:rsidR="00425C2E">
        <w:rPr>
          <w:rFonts w:hint="cs"/>
          <w:rtl/>
        </w:rPr>
        <w:t xml:space="preserve"> مليون فرنك سويسري مقابل </w:t>
      </w:r>
      <w:r w:rsidR="00425C2E">
        <w:t>34,1</w:t>
      </w:r>
      <w:r w:rsidR="00425C2E">
        <w:rPr>
          <w:rFonts w:hint="cs"/>
          <w:rtl/>
        </w:rPr>
        <w:t xml:space="preserve"> مليون فرنك سويسري في 31 ديسمبر 2022، ما يمثل</w:t>
      </w:r>
      <w:r>
        <w:rPr>
          <w:rFonts w:hint="cs"/>
          <w:rtl/>
        </w:rPr>
        <w:t xml:space="preserve"> انخفاضاً بنسبة </w:t>
      </w:r>
      <w:r w:rsidR="00425C2E">
        <w:rPr>
          <w:rFonts w:hint="cs"/>
          <w:rtl/>
        </w:rPr>
        <w:t>15</w:t>
      </w:r>
      <w:r>
        <w:rPr>
          <w:rFonts w:hint="cs"/>
          <w:rtl/>
          <w:lang w:bidi="ar-EG"/>
        </w:rPr>
        <w:t xml:space="preserve"> في المائة</w:t>
      </w:r>
      <w:r w:rsidR="00425C2E">
        <w:rPr>
          <w:rFonts w:hint="cs"/>
          <w:rtl/>
          <w:lang w:bidi="ar-EG"/>
        </w:rPr>
        <w:t>.</w:t>
      </w:r>
    </w:p>
    <w:p w14:paraId="0F8681ED" w14:textId="3296774D" w:rsidR="0003234F" w:rsidRDefault="0003234F" w:rsidP="0003234F">
      <w:pPr>
        <w:pStyle w:val="Heading1"/>
        <w:rPr>
          <w:rtl/>
          <w:lang w:bidi="ar-EG"/>
        </w:rPr>
      </w:pPr>
      <w:r>
        <w:rPr>
          <w:spacing w:val="2"/>
          <w:lang w:bidi="ar-SY"/>
        </w:rPr>
        <w:t>2</w:t>
      </w:r>
      <w:r>
        <w:rPr>
          <w:spacing w:val="2"/>
          <w:lang w:bidi="ar-SY"/>
        </w:rPr>
        <w:tab/>
      </w:r>
      <w:r>
        <w:rPr>
          <w:rFonts w:hint="cs"/>
          <w:spacing w:val="6"/>
          <w:rtl/>
        </w:rPr>
        <w:t xml:space="preserve">التدابير المتخذة لتسوية المتأخرات والحسابات الخاصة بالمتأخرات وتنفيذ </w:t>
      </w:r>
      <w:hyperlink r:id="rId22" w:history="1">
        <w:r w:rsidRPr="00C30CAC">
          <w:rPr>
            <w:rStyle w:val="Hyperlink"/>
            <w:rFonts w:hint="cs"/>
            <w:spacing w:val="6"/>
            <w:rtl/>
          </w:rPr>
          <w:t>القرار </w:t>
        </w:r>
        <w:r w:rsidRPr="00C30CAC">
          <w:rPr>
            <w:rStyle w:val="Hyperlink"/>
            <w:spacing w:val="6"/>
            <w:lang w:bidi="ar-SY"/>
          </w:rPr>
          <w:t>41</w:t>
        </w:r>
        <w:r w:rsidRPr="00C30CAC">
          <w:rPr>
            <w:rStyle w:val="Hyperlink"/>
            <w:spacing w:val="6"/>
            <w:rtl/>
          </w:rPr>
          <w:t xml:space="preserve"> </w:t>
        </w:r>
        <w:r w:rsidRPr="00C30CAC">
          <w:rPr>
            <w:rStyle w:val="Hyperlink"/>
            <w:rFonts w:hint="cs"/>
            <w:spacing w:val="6"/>
            <w:rtl/>
          </w:rPr>
          <w:t xml:space="preserve">(المراجَع في دبي، </w:t>
        </w:r>
        <w:r w:rsidRPr="00C30CAC">
          <w:rPr>
            <w:rStyle w:val="Hyperlink"/>
            <w:spacing w:val="6"/>
            <w:lang w:bidi="ar-SY"/>
          </w:rPr>
          <w:t>2018</w:t>
        </w:r>
        <w:r w:rsidRPr="00C30CAC">
          <w:rPr>
            <w:rStyle w:val="Hyperlink"/>
            <w:rFonts w:hint="cs"/>
            <w:spacing w:val="6"/>
            <w:rtl/>
          </w:rPr>
          <w:t>)</w:t>
        </w:r>
        <w:r w:rsidR="00425C2E" w:rsidRPr="00C30CAC">
          <w:rPr>
            <w:rStyle w:val="Hyperlink"/>
            <w:rFonts w:hint="cs"/>
            <w:spacing w:val="6"/>
            <w:rtl/>
          </w:rPr>
          <w:t xml:space="preserve"> لمؤتمر المندوبين المفوضين</w:t>
        </w:r>
      </w:hyperlink>
    </w:p>
    <w:p w14:paraId="36331A1E" w14:textId="2790508F" w:rsidR="0003234F" w:rsidRPr="00425C2E" w:rsidRDefault="0003234F" w:rsidP="0003234F">
      <w:pPr>
        <w:rPr>
          <w:rtl/>
        </w:rPr>
      </w:pPr>
      <w:r>
        <w:rPr>
          <w:lang w:bidi="ar-SY"/>
        </w:rPr>
        <w:t>1.2</w:t>
      </w:r>
      <w:r>
        <w:rPr>
          <w:lang w:bidi="ar-SY"/>
        </w:rPr>
        <w:tab/>
      </w:r>
      <w:r>
        <w:rPr>
          <w:rFonts w:hint="cs"/>
          <w:rtl/>
          <w:lang w:bidi="ar-SY"/>
        </w:rPr>
        <w:t xml:space="preserve">عملاً بالرقم </w:t>
      </w:r>
      <w:r>
        <w:rPr>
          <w:lang w:bidi="ar-SY"/>
        </w:rPr>
        <w:t>169</w:t>
      </w:r>
      <w:r>
        <w:rPr>
          <w:rFonts w:hint="cs"/>
          <w:rtl/>
          <w:lang w:bidi="ar-SY"/>
        </w:rPr>
        <w:t xml:space="preserve"> (المادة </w:t>
      </w:r>
      <w:r>
        <w:rPr>
          <w:lang w:bidi="ar-SY"/>
        </w:rPr>
        <w:t>28</w:t>
      </w:r>
      <w:r>
        <w:rPr>
          <w:rFonts w:hint="cs"/>
          <w:rtl/>
          <w:lang w:bidi="ar-SY"/>
        </w:rPr>
        <w:t>) من دستور</w:t>
      </w:r>
      <w:r w:rsidR="00425C2E">
        <w:rPr>
          <w:rFonts w:hint="cs"/>
          <w:rtl/>
          <w:lang w:bidi="ar-SY"/>
        </w:rPr>
        <w:t xml:space="preserve"> الاتحاد</w:t>
      </w:r>
      <w:r>
        <w:rPr>
          <w:rFonts w:hint="cs"/>
          <w:rtl/>
          <w:lang w:bidi="ar-SY"/>
        </w:rPr>
        <w:t xml:space="preserve">، </w:t>
      </w:r>
      <w:r w:rsidR="00425C2E">
        <w:rPr>
          <w:rFonts w:hint="cs"/>
          <w:rtl/>
          <w:lang w:bidi="ar-SY"/>
        </w:rPr>
        <w:t xml:space="preserve">فإن </w:t>
      </w:r>
      <w:r>
        <w:rPr>
          <w:rFonts w:hint="cs"/>
          <w:rtl/>
          <w:lang w:bidi="ar-SY"/>
        </w:rPr>
        <w:t>"</w:t>
      </w:r>
      <w:r>
        <w:rPr>
          <w:rFonts w:hint="cs"/>
          <w:rtl/>
          <w:lang w:bidi="ar-EG"/>
        </w:rPr>
        <w:t> </w:t>
      </w:r>
      <w:r>
        <w:rPr>
          <w:rFonts w:hint="cs"/>
          <w:i/>
          <w:iCs/>
          <w:rtl/>
          <w:lang w:bidi="ar-SY"/>
        </w:rPr>
        <w:t xml:space="preserve">كل دولة من الدول الأعضاء تتأخر في </w:t>
      </w:r>
      <w:proofErr w:type="spellStart"/>
      <w:r>
        <w:rPr>
          <w:rFonts w:hint="cs"/>
          <w:i/>
          <w:iCs/>
          <w:rtl/>
          <w:lang w:bidi="ar-SY"/>
        </w:rPr>
        <w:t>مدفوعاتها</w:t>
      </w:r>
      <w:proofErr w:type="spellEnd"/>
      <w:r>
        <w:rPr>
          <w:rFonts w:hint="cs"/>
          <w:i/>
          <w:iCs/>
          <w:rtl/>
          <w:lang w:bidi="ar-SY"/>
        </w:rPr>
        <w:t xml:space="preserve"> للاتحاد تفقد حقها في التصويت ...، عندما يعادل مبلغ متأخراتها أو يفوق مبلغ المساهمات المستحقة عليها عن السنتين السابقتين"</w:t>
      </w:r>
      <w:r>
        <w:rPr>
          <w:rFonts w:hint="cs"/>
          <w:rtl/>
          <w:lang w:bidi="ar-SY"/>
        </w:rPr>
        <w:t xml:space="preserve">. </w:t>
      </w:r>
      <w:r w:rsidR="00425C2E">
        <w:rPr>
          <w:rFonts w:hint="cs"/>
          <w:rtl/>
          <w:lang w:bidi="ar-SY"/>
        </w:rPr>
        <w:t xml:space="preserve">ووفقاً للقرار </w:t>
      </w:r>
      <w:r w:rsidR="00425C2E">
        <w:rPr>
          <w:lang w:bidi="ar-SY"/>
        </w:rPr>
        <w:t>41</w:t>
      </w:r>
      <w:r w:rsidR="00425C2E">
        <w:rPr>
          <w:rFonts w:hint="cs"/>
          <w:rtl/>
        </w:rPr>
        <w:t xml:space="preserve"> (المراجَع في دبي، 2018) لمؤتمر المندوبين المفوضين، </w:t>
      </w:r>
      <w:r w:rsidR="004A65E8">
        <w:rPr>
          <w:rFonts w:hint="cs"/>
          <w:rtl/>
        </w:rPr>
        <w:t>فإن الدول الأعضاء يمكنها</w:t>
      </w:r>
      <w:r w:rsidR="003E08AA">
        <w:rPr>
          <w:rFonts w:hint="cs"/>
          <w:rtl/>
        </w:rPr>
        <w:t xml:space="preserve"> أن تقدم</w:t>
      </w:r>
      <w:r w:rsidR="004A65E8">
        <w:rPr>
          <w:rFonts w:hint="cs"/>
          <w:rtl/>
        </w:rPr>
        <w:t xml:space="preserve">، من أجل دفع </w:t>
      </w:r>
      <w:proofErr w:type="spellStart"/>
      <w:r w:rsidR="004A65E8">
        <w:rPr>
          <w:rFonts w:hint="cs"/>
          <w:rtl/>
        </w:rPr>
        <w:t>متأخراتها</w:t>
      </w:r>
      <w:proofErr w:type="spellEnd"/>
      <w:r w:rsidR="004A65E8">
        <w:rPr>
          <w:rFonts w:hint="cs"/>
          <w:rtl/>
        </w:rPr>
        <w:t xml:space="preserve">، </w:t>
      </w:r>
      <w:r w:rsidR="009A31FD">
        <w:rPr>
          <w:rFonts w:hint="cs"/>
          <w:rtl/>
        </w:rPr>
        <w:t>اتفاق</w:t>
      </w:r>
      <w:r w:rsidR="00837E81">
        <w:rPr>
          <w:rFonts w:hint="cs"/>
          <w:rtl/>
        </w:rPr>
        <w:t xml:space="preserve"> </w:t>
      </w:r>
      <w:r w:rsidR="003E08AA">
        <w:rPr>
          <w:rFonts w:hint="cs"/>
          <w:rtl/>
        </w:rPr>
        <w:t xml:space="preserve">سداد تتفق عليه مع الاتحاد </w:t>
      </w:r>
      <w:r w:rsidR="009A31FD">
        <w:rPr>
          <w:rFonts w:hint="cs"/>
          <w:rtl/>
        </w:rPr>
        <w:t>وفقاً ل</w:t>
      </w:r>
      <w:r w:rsidR="003E08AA">
        <w:rPr>
          <w:rFonts w:hint="cs"/>
          <w:rtl/>
        </w:rPr>
        <w:t>لمبادئ التوجيهية التي حددها مجلس الاتحاد في دورته لعام 1999 (انظر الوثيقة</w:t>
      </w:r>
      <w:r w:rsidR="00C30CAC">
        <w:rPr>
          <w:rFonts w:hint="eastAsia"/>
          <w:rtl/>
        </w:rPr>
        <w:t> </w:t>
      </w:r>
      <w:r w:rsidR="003E08AA">
        <w:t>C99/114</w:t>
      </w:r>
      <w:r w:rsidR="003E08AA">
        <w:rPr>
          <w:rFonts w:hint="cs"/>
          <w:rtl/>
        </w:rPr>
        <w:t>).</w:t>
      </w:r>
    </w:p>
    <w:p w14:paraId="617DD381" w14:textId="4772AA57" w:rsidR="0003234F" w:rsidRDefault="0003234F" w:rsidP="0003234F">
      <w:pPr>
        <w:rPr>
          <w:rtl/>
        </w:rPr>
      </w:pPr>
      <w:r>
        <w:rPr>
          <w:lang w:bidi="ar-SY"/>
        </w:rPr>
        <w:t>2.2</w:t>
      </w:r>
      <w:r>
        <w:rPr>
          <w:rFonts w:hint="cs"/>
          <w:rtl/>
        </w:rPr>
        <w:tab/>
        <w:t>و</w:t>
      </w:r>
      <w:r>
        <w:rPr>
          <w:rFonts w:hint="cs"/>
          <w:rtl/>
          <w:lang w:bidi="ar-SY"/>
        </w:rPr>
        <w:t xml:space="preserve">علاوةً على ذلك، </w:t>
      </w:r>
      <w:r>
        <w:rPr>
          <w:rFonts w:hint="cs"/>
          <w:rtl/>
        </w:rPr>
        <w:t xml:space="preserve">تنص الفقرة </w:t>
      </w:r>
      <w:r>
        <w:rPr>
          <w:lang w:bidi="ar-SY"/>
        </w:rPr>
        <w:t>6</w:t>
      </w:r>
      <w:r>
        <w:rPr>
          <w:rFonts w:hint="cs"/>
          <w:rtl/>
        </w:rPr>
        <w:t xml:space="preserve"> من </w:t>
      </w:r>
      <w:r w:rsidR="00C30CAC" w:rsidRPr="00C30CAC">
        <w:rPr>
          <w:rFonts w:hint="cs"/>
          <w:rtl/>
        </w:rPr>
        <w:t>"</w:t>
      </w:r>
      <w:r w:rsidR="00C30CAC">
        <w:rPr>
          <w:rFonts w:hint="cs"/>
          <w:i/>
          <w:iCs/>
          <w:rtl/>
        </w:rPr>
        <w:t>يقرر</w:t>
      </w:r>
      <w:r w:rsidR="00C30CAC" w:rsidRPr="00C30CAC">
        <w:rPr>
          <w:rFonts w:hint="cs"/>
          <w:rtl/>
        </w:rPr>
        <w:t>"</w:t>
      </w:r>
      <w:r w:rsidR="00C30CAC">
        <w:rPr>
          <w:rFonts w:hint="cs"/>
          <w:rtl/>
        </w:rPr>
        <w:t xml:space="preserve"> </w:t>
      </w:r>
      <w:r>
        <w:rPr>
          <w:rFonts w:hint="cs"/>
          <w:rtl/>
        </w:rPr>
        <w:t xml:space="preserve">في </w:t>
      </w:r>
      <w:r>
        <w:rPr>
          <w:rFonts w:hint="cs"/>
          <w:rtl/>
          <w:lang w:bidi="ar-SY"/>
        </w:rPr>
        <w:t>القرار </w:t>
      </w:r>
      <w:r>
        <w:rPr>
          <w:lang w:bidi="ar-SY"/>
        </w:rPr>
        <w:t>152</w:t>
      </w:r>
      <w:r>
        <w:rPr>
          <w:rFonts w:hint="cs"/>
          <w:rtl/>
        </w:rPr>
        <w:t xml:space="preserve"> (المراجَع في بوسان،</w:t>
      </w:r>
      <w:r>
        <w:rPr>
          <w:rFonts w:hint="cs"/>
          <w:rtl/>
          <w:lang w:bidi="ar-SY"/>
        </w:rPr>
        <w:t> </w:t>
      </w:r>
      <w:r>
        <w:rPr>
          <w:lang w:bidi="ar-SY"/>
        </w:rPr>
        <w:t>2014</w:t>
      </w:r>
      <w:r>
        <w:rPr>
          <w:rFonts w:hint="cs"/>
          <w:rtl/>
        </w:rPr>
        <w:t xml:space="preserve">) </w:t>
      </w:r>
      <w:r w:rsidR="003E08AA">
        <w:rPr>
          <w:rFonts w:hint="cs"/>
          <w:rtl/>
        </w:rPr>
        <w:t xml:space="preserve">لمؤتمر المندوبين المفوضين </w:t>
      </w:r>
      <w:r>
        <w:rPr>
          <w:rFonts w:hint="cs"/>
          <w:rtl/>
        </w:rPr>
        <w:t>على أنه في حالة التأخر عن الدفع، "</w:t>
      </w:r>
      <w:r>
        <w:rPr>
          <w:rFonts w:hint="cs"/>
          <w:i/>
          <w:iCs/>
          <w:rtl/>
        </w:rPr>
        <w:t>ينبغي تعليق المشاركة في أعمال الاتحاد في حالة عضو القطاع أو المنتسب، بعد ستة أشهر (</w:t>
      </w:r>
      <w:r>
        <w:rPr>
          <w:i/>
          <w:iCs/>
          <w:lang w:bidi="ar-SY"/>
        </w:rPr>
        <w:t>180</w:t>
      </w:r>
      <w:r>
        <w:rPr>
          <w:rFonts w:hint="cs"/>
          <w:i/>
          <w:iCs/>
          <w:rtl/>
        </w:rPr>
        <w:t> يوماً) من تاريخ استحقاق المساهمة السنوية، وإذا لم يكن ثمة جدول للسداد جرى التفاوض بشأنه والموافقة عليه، ينبغي استبعاد عضو القطاع أو المنتسب بسبب عدم الدفع بعد ثلاثة أشهر (</w:t>
      </w:r>
      <w:r>
        <w:rPr>
          <w:i/>
          <w:iCs/>
          <w:lang w:bidi="ar-SY"/>
        </w:rPr>
        <w:t>90</w:t>
      </w:r>
      <w:r>
        <w:rPr>
          <w:rFonts w:hint="cs"/>
          <w:i/>
          <w:iCs/>
          <w:rtl/>
        </w:rPr>
        <w:t> يوماً) من تاريخ استلام التبليغ بتعليق المشاركة</w:t>
      </w:r>
      <w:r>
        <w:rPr>
          <w:rFonts w:hint="cs"/>
          <w:rtl/>
        </w:rPr>
        <w:t>". ومن جهة أخرى، تنص الفقرة </w:t>
      </w:r>
      <w:r>
        <w:rPr>
          <w:lang w:bidi="ar-SY"/>
        </w:rPr>
        <w:t>7</w:t>
      </w:r>
      <w:r>
        <w:rPr>
          <w:rFonts w:hint="cs"/>
          <w:rtl/>
        </w:rPr>
        <w:t xml:space="preserve"> من </w:t>
      </w:r>
      <w:r w:rsidRPr="00C30CAC">
        <w:rPr>
          <w:rFonts w:hint="cs"/>
          <w:rtl/>
        </w:rPr>
        <w:t>"</w:t>
      </w:r>
      <w:r>
        <w:rPr>
          <w:rFonts w:hint="cs"/>
          <w:i/>
          <w:iCs/>
          <w:rtl/>
        </w:rPr>
        <w:t>يقرر</w:t>
      </w:r>
      <w:r w:rsidRPr="00C30CAC">
        <w:rPr>
          <w:rFonts w:hint="cs"/>
          <w:rtl/>
        </w:rPr>
        <w:t>"</w:t>
      </w:r>
      <w:r>
        <w:rPr>
          <w:rFonts w:hint="cs"/>
          <w:rtl/>
        </w:rPr>
        <w:t xml:space="preserve"> </w:t>
      </w:r>
      <w:r w:rsidR="003E08AA">
        <w:rPr>
          <w:rFonts w:hint="cs"/>
          <w:rtl/>
        </w:rPr>
        <w:t xml:space="preserve">في القرار نفسه </w:t>
      </w:r>
      <w:r>
        <w:rPr>
          <w:rFonts w:hint="cs"/>
          <w:rtl/>
        </w:rPr>
        <w:t>على أنه "بغية الحفاظ على الأعضاء واسترداد الديون المستحقة سابقاً، يجوز أن يكون للأمين العام المرونة في تطبيق الفقرة </w:t>
      </w:r>
      <w:r>
        <w:rPr>
          <w:lang w:bidi="ar-SY"/>
        </w:rPr>
        <w:t>6</w:t>
      </w:r>
      <w:r>
        <w:rPr>
          <w:rFonts w:hint="cs"/>
          <w:rtl/>
        </w:rPr>
        <w:t xml:space="preserve"> من </w:t>
      </w:r>
      <w:r w:rsidRPr="00C30CAC">
        <w:rPr>
          <w:rFonts w:hint="cs"/>
          <w:rtl/>
        </w:rPr>
        <w:t>"</w:t>
      </w:r>
      <w:r w:rsidR="00C30CAC">
        <w:rPr>
          <w:rFonts w:hint="cs"/>
          <w:i/>
          <w:iCs/>
          <w:rtl/>
        </w:rPr>
        <w:t>يقرر</w:t>
      </w:r>
      <w:r w:rsidRPr="00C30CAC">
        <w:rPr>
          <w:rFonts w:hint="cs"/>
          <w:rtl/>
        </w:rPr>
        <w:t>"</w:t>
      </w:r>
      <w:r>
        <w:rPr>
          <w:rFonts w:hint="cs"/>
          <w:rtl/>
        </w:rPr>
        <w:t xml:space="preserve"> في هذا القرار والتفاوض على خطط السداد مع أعضاء القطاعات والمنتسبين".</w:t>
      </w:r>
    </w:p>
    <w:p w14:paraId="3327D734" w14:textId="0AB05363" w:rsidR="0003234F" w:rsidRDefault="0003234F" w:rsidP="0003234F">
      <w:pPr>
        <w:rPr>
          <w:rtl/>
          <w:lang w:bidi="ar-EG"/>
        </w:rPr>
      </w:pPr>
      <w:r>
        <w:rPr>
          <w:lang w:bidi="ar-SY"/>
        </w:rPr>
        <w:t>3.2</w:t>
      </w:r>
      <w:r>
        <w:rPr>
          <w:rFonts w:hint="cs"/>
          <w:rtl/>
          <w:lang w:bidi="ar-SY"/>
        </w:rPr>
        <w:tab/>
      </w:r>
      <w:r>
        <w:rPr>
          <w:rFonts w:hint="cs"/>
          <w:rtl/>
        </w:rPr>
        <w:t>و</w:t>
      </w:r>
      <w:r>
        <w:rPr>
          <w:rFonts w:hint="cs"/>
          <w:rtl/>
          <w:lang w:bidi="ar-SY"/>
        </w:rPr>
        <w:t>أخيراً، وبموجب الرقم </w:t>
      </w:r>
      <w:r>
        <w:rPr>
          <w:lang w:bidi="ar-SY"/>
        </w:rPr>
        <w:t>474</w:t>
      </w:r>
      <w:r>
        <w:rPr>
          <w:rFonts w:hint="cs"/>
          <w:rtl/>
        </w:rPr>
        <w:t xml:space="preserve"> من اتفاقية</w:t>
      </w:r>
      <w:r w:rsidR="003E08AA">
        <w:rPr>
          <w:rFonts w:hint="cs"/>
          <w:rtl/>
        </w:rPr>
        <w:t xml:space="preserve"> الاتحاد</w:t>
      </w:r>
      <w:r>
        <w:rPr>
          <w:rFonts w:hint="cs"/>
          <w:rtl/>
        </w:rPr>
        <w:t xml:space="preserve">، يترتب على المبالغ المستحقة الدفع عن المساهمات </w:t>
      </w:r>
      <w:r>
        <w:rPr>
          <w:rFonts w:hint="cs"/>
          <w:i/>
          <w:iCs/>
          <w:rtl/>
        </w:rPr>
        <w:t>"فائدة ابتداءً من الشهر الرابع من كل سنة مالية للاتحاد</w:t>
      </w:r>
      <w:r>
        <w:rPr>
          <w:rFonts w:hint="cs"/>
          <w:i/>
          <w:iCs/>
        </w:rPr>
        <w:t xml:space="preserve"> </w:t>
      </w:r>
      <w:r>
        <w:rPr>
          <w:rFonts w:hint="cs"/>
          <w:i/>
          <w:iCs/>
          <w:rtl/>
        </w:rPr>
        <w:t xml:space="preserve">بنسبة </w:t>
      </w:r>
      <w:r>
        <w:rPr>
          <w:i/>
          <w:iCs/>
          <w:lang w:bidi="ar-SY"/>
        </w:rPr>
        <w:t>%3</w:t>
      </w:r>
      <w:r>
        <w:rPr>
          <w:rFonts w:hint="cs"/>
          <w:i/>
          <w:iCs/>
          <w:rtl/>
        </w:rPr>
        <w:t xml:space="preserve"> (ثلاثة في المائة) في السنة أثناء الأشهر الثلاثة التالية وبنسبة </w:t>
      </w:r>
      <w:r>
        <w:rPr>
          <w:i/>
          <w:iCs/>
          <w:lang w:bidi="ar-SY"/>
        </w:rPr>
        <w:t>%6</w:t>
      </w:r>
      <w:r>
        <w:rPr>
          <w:rFonts w:hint="cs"/>
          <w:i/>
          <w:iCs/>
          <w:rtl/>
        </w:rPr>
        <w:t xml:space="preserve"> (ستة في المائة) في السنة ابتداءً من أول الشهر السابع"</w:t>
      </w:r>
      <w:r>
        <w:rPr>
          <w:rFonts w:hint="cs"/>
          <w:rtl/>
        </w:rPr>
        <w:t>.</w:t>
      </w:r>
      <w:r>
        <w:rPr>
          <w:rFonts w:hint="cs"/>
          <w:rtl/>
          <w:lang w:bidi="ar-EG"/>
        </w:rPr>
        <w:t xml:space="preserve"> وفي </w:t>
      </w:r>
      <w:r>
        <w:rPr>
          <w:lang w:bidi="ar-SY"/>
        </w:rPr>
        <w:t>31</w:t>
      </w:r>
      <w:r>
        <w:rPr>
          <w:rFonts w:hint="cs"/>
          <w:rtl/>
          <w:lang w:bidi="ar-EG"/>
        </w:rPr>
        <w:t xml:space="preserve"> ديسمبر 2022، حُسبت فوائد بمبلغ </w:t>
      </w:r>
      <w:r>
        <w:rPr>
          <w:lang w:bidi="ar-EG"/>
        </w:rPr>
        <w:t>1 563 188,00</w:t>
      </w:r>
      <w:r>
        <w:rPr>
          <w:rFonts w:hint="cs"/>
          <w:rtl/>
          <w:lang w:bidi="ar-EG"/>
        </w:rPr>
        <w:t xml:space="preserve"> من الفرنكات السويسرية على المتأخرات من المساهمات المستحقة.</w:t>
      </w:r>
    </w:p>
    <w:p w14:paraId="7BAD8103" w14:textId="45E85652" w:rsidR="0003234F" w:rsidRDefault="0003234F" w:rsidP="0003234F">
      <w:pPr>
        <w:rPr>
          <w:rtl/>
          <w:lang w:bidi="ar-SY"/>
        </w:rPr>
      </w:pPr>
      <w:r>
        <w:rPr>
          <w:lang w:bidi="ar-SY"/>
        </w:rPr>
        <w:t>4.2</w:t>
      </w:r>
      <w:r>
        <w:rPr>
          <w:rFonts w:hint="cs"/>
          <w:rtl/>
          <w:lang w:bidi="ar-SY"/>
        </w:rPr>
        <w:tab/>
        <w:t>ويُرسَل إلى كل مدين كشف حساب مرتين في السنة</w:t>
      </w:r>
      <w:r w:rsidR="00BD5B4F">
        <w:rPr>
          <w:rFonts w:hint="cs"/>
          <w:rtl/>
          <w:lang w:bidi="ar-SY"/>
        </w:rPr>
        <w:t xml:space="preserve"> على الأقل</w:t>
      </w:r>
      <w:r>
        <w:rPr>
          <w:rFonts w:hint="cs"/>
          <w:rtl/>
          <w:lang w:bidi="ar-SY"/>
        </w:rPr>
        <w:t xml:space="preserve">، وتُنشر المبالغ المستحقة في الرسالة المعممة التي تصدر عن دائرة إدارة </w:t>
      </w:r>
      <w:r>
        <w:rPr>
          <w:rFonts w:hint="cs"/>
          <w:rtl/>
        </w:rPr>
        <w:t>الموارد</w:t>
      </w:r>
      <w:r>
        <w:rPr>
          <w:rFonts w:hint="cs"/>
          <w:rtl/>
          <w:lang w:bidi="ar-SY"/>
        </w:rPr>
        <w:t> </w:t>
      </w:r>
      <w:r>
        <w:rPr>
          <w:rFonts w:hint="cs"/>
          <w:rtl/>
        </w:rPr>
        <w:t>المالية</w:t>
      </w:r>
      <w:r>
        <w:rPr>
          <w:rFonts w:hint="cs"/>
          <w:rtl/>
          <w:lang w:bidi="ar-SY"/>
        </w:rPr>
        <w:t xml:space="preserve"> </w:t>
      </w:r>
      <w:r w:rsidR="00BD5B4F">
        <w:rPr>
          <w:rFonts w:hint="cs"/>
          <w:rtl/>
          <w:lang w:bidi="ar-SY"/>
        </w:rPr>
        <w:t xml:space="preserve">في الاتحاد </w:t>
      </w:r>
      <w:r>
        <w:rPr>
          <w:rFonts w:hint="cs"/>
          <w:rtl/>
          <w:lang w:bidi="ar-SY"/>
        </w:rPr>
        <w:t>أربع مرات في السنة.</w:t>
      </w:r>
    </w:p>
    <w:p w14:paraId="4A3B4C2C" w14:textId="3F522F16" w:rsidR="0003234F" w:rsidRDefault="0003234F" w:rsidP="0003234F">
      <w:pPr>
        <w:rPr>
          <w:rtl/>
          <w:lang w:bidi="ar-SY"/>
        </w:rPr>
      </w:pPr>
      <w:r>
        <w:rPr>
          <w:lang w:bidi="ar-SY"/>
        </w:rPr>
        <w:t>5.2</w:t>
      </w:r>
      <w:r>
        <w:rPr>
          <w:rFonts w:hint="cs"/>
          <w:rtl/>
          <w:lang w:bidi="ar-SY"/>
        </w:rPr>
        <w:tab/>
        <w:t>وتُوجَّه كل عام رسالة تذكير إلى الدول الأعضاء التي فقدت حقها في التصويت أو التي توشك أن تفقد حقها في التصويت في العام التالي إذا لم تسدد ما عليها من متأخرات. كما تُوجَّه رسالة تذكير إلى الدول الأعضاء المتأخرة في دفع المبالغ المستحقة عن المنشورات لتذكيرها بأنها إذا لم تسدد المبالغ المستحقة، فلن تُرسَل إليها أي منشورات إلا إذا دفعت ثمنها سلفاً.</w:t>
      </w:r>
    </w:p>
    <w:p w14:paraId="5FE60607" w14:textId="0F5966F7" w:rsidR="0003234F" w:rsidRDefault="0003234F" w:rsidP="0003234F">
      <w:pPr>
        <w:rPr>
          <w:rtl/>
          <w:lang w:bidi="ar-SY"/>
        </w:rPr>
      </w:pPr>
      <w:r w:rsidRPr="00B37C62">
        <w:rPr>
          <w:lang w:bidi="ar-SY"/>
        </w:rPr>
        <w:t>6.2</w:t>
      </w:r>
      <w:r w:rsidRPr="00B37C62">
        <w:rPr>
          <w:rFonts w:hint="cs"/>
          <w:rtl/>
          <w:lang w:bidi="ar-SY"/>
        </w:rPr>
        <w:tab/>
        <w:t>واتخذ</w:t>
      </w:r>
      <w:r w:rsidR="00E71B22">
        <w:rPr>
          <w:rFonts w:hint="cs"/>
          <w:rtl/>
          <w:lang w:bidi="ar-SY"/>
        </w:rPr>
        <w:t>ت</w:t>
      </w:r>
      <w:r w:rsidRPr="00B37C62">
        <w:rPr>
          <w:rFonts w:hint="cs"/>
          <w:rtl/>
          <w:lang w:bidi="ar-SY"/>
        </w:rPr>
        <w:t xml:space="preserve"> الأمين</w:t>
      </w:r>
      <w:r w:rsidR="00B37C62" w:rsidRPr="00B37C62">
        <w:rPr>
          <w:rFonts w:hint="cs"/>
          <w:rtl/>
          <w:lang w:bidi="ar-EG"/>
        </w:rPr>
        <w:t>ة</w:t>
      </w:r>
      <w:r w:rsidRPr="00B37C62">
        <w:rPr>
          <w:rFonts w:hint="cs"/>
          <w:rtl/>
          <w:lang w:bidi="ar-SY"/>
        </w:rPr>
        <w:t xml:space="preserve"> العام</w:t>
      </w:r>
      <w:r w:rsidR="00B37C62" w:rsidRPr="00B37C62">
        <w:rPr>
          <w:rFonts w:hint="cs"/>
          <w:rtl/>
          <w:lang w:bidi="ar-SY"/>
        </w:rPr>
        <w:t>ة</w:t>
      </w:r>
      <w:r w:rsidRPr="00B37C62">
        <w:rPr>
          <w:rFonts w:hint="cs"/>
          <w:rtl/>
          <w:lang w:bidi="ar-SY"/>
        </w:rPr>
        <w:t xml:space="preserve"> جميع التدابير الممكنة لتخفيض المبالغ غير المسددة، بما يشمل توجيه رسائل خاصة للتذكير بالموضوع، فضلاً عن الجهود المستمرة التي تبذلها جميع المكاتب الإقليمية التابعة للاتحاد.</w:t>
      </w:r>
    </w:p>
    <w:p w14:paraId="168236C7" w14:textId="0571DCFB" w:rsidR="0003234F" w:rsidRDefault="0003234F" w:rsidP="0003234F">
      <w:pPr>
        <w:rPr>
          <w:rtl/>
          <w:lang w:bidi="ar-SY"/>
        </w:rPr>
      </w:pPr>
      <w:r w:rsidRPr="00B37C62">
        <w:rPr>
          <w:lang w:bidi="ar-SY"/>
        </w:rPr>
        <w:t>7.2</w:t>
      </w:r>
      <w:r w:rsidRPr="00B37C62">
        <w:rPr>
          <w:rFonts w:hint="cs"/>
          <w:rtl/>
          <w:lang w:bidi="ar-SY"/>
        </w:rPr>
        <w:tab/>
        <w:t>ويُطلب من الدول الأعضاء التي عليها متأخرات، أن تُقدّم إلى الأمين</w:t>
      </w:r>
      <w:r w:rsidR="00B37C62" w:rsidRPr="00B37C62">
        <w:rPr>
          <w:rFonts w:hint="cs"/>
          <w:rtl/>
          <w:lang w:bidi="ar-SY"/>
        </w:rPr>
        <w:t>ة</w:t>
      </w:r>
      <w:r w:rsidRPr="00B37C62">
        <w:rPr>
          <w:rFonts w:hint="cs"/>
          <w:rtl/>
          <w:lang w:bidi="ar-SY"/>
        </w:rPr>
        <w:t xml:space="preserve"> العام</w:t>
      </w:r>
      <w:r w:rsidR="00B37C62" w:rsidRPr="00B37C62">
        <w:rPr>
          <w:rFonts w:hint="cs"/>
          <w:rtl/>
          <w:lang w:bidi="ar-SY"/>
        </w:rPr>
        <w:t>ة</w:t>
      </w:r>
      <w:r w:rsidRPr="00B37C62">
        <w:rPr>
          <w:rFonts w:hint="cs"/>
          <w:rtl/>
          <w:lang w:bidi="ar-SY"/>
        </w:rPr>
        <w:t xml:space="preserve"> جداول لتسديد ديونها وأن تتقيد بدقة بشروط التسديد المتفق عليها. وتم إبلاغ الأعضاء الذين أخلّوا بشروط التسديد المتفق عليها بالجزاءات المفروضة عليهم فوراً، ومن بينها إلغاء الحساب الخاص بالمتأخرات والالتزام بإعادة التفاوض على جدول جديد للسداد وفقاً للمبادئ التوجيهية التي وضعها المجلس في </w:t>
      </w:r>
      <w:r w:rsidRPr="00B37C62">
        <w:rPr>
          <w:lang w:val="fr-FR" w:bidi="ar-SY"/>
        </w:rPr>
        <w:t>1999</w:t>
      </w:r>
      <w:r w:rsidRPr="00B37C62">
        <w:rPr>
          <w:rFonts w:hint="cs"/>
          <w:rtl/>
          <w:lang w:bidi="ar-SY"/>
        </w:rPr>
        <w:t>.</w:t>
      </w:r>
    </w:p>
    <w:p w14:paraId="1C7C29EA" w14:textId="35DFB124" w:rsidR="0003234F" w:rsidRDefault="0003234F" w:rsidP="0003234F">
      <w:pPr>
        <w:rPr>
          <w:rtl/>
          <w:lang w:bidi="ar-EG"/>
        </w:rPr>
      </w:pPr>
      <w:r w:rsidRPr="00B37C62">
        <w:rPr>
          <w:lang w:bidi="ar-SY"/>
        </w:rPr>
        <w:lastRenderedPageBreak/>
        <w:t>8.2</w:t>
      </w:r>
      <w:r w:rsidRPr="00B37C62">
        <w:rPr>
          <w:rFonts w:hint="cs"/>
          <w:rtl/>
          <w:lang w:bidi="ar-SY"/>
        </w:rPr>
        <w:tab/>
        <w:t xml:space="preserve">وبالمثل يُطلب من أعضاء القطاعات </w:t>
      </w:r>
      <w:r w:rsidRPr="00B37C62">
        <w:rPr>
          <w:rFonts w:hint="cs"/>
          <w:rtl/>
        </w:rPr>
        <w:t xml:space="preserve">والمنتسبين </w:t>
      </w:r>
      <w:r w:rsidRPr="00B37C62">
        <w:rPr>
          <w:rFonts w:hint="cs"/>
          <w:rtl/>
          <w:lang w:bidi="ar-SY"/>
        </w:rPr>
        <w:t>و</w:t>
      </w:r>
      <w:r w:rsidR="00CB00BE" w:rsidRPr="00B37C62">
        <w:rPr>
          <w:rFonts w:hint="cs"/>
          <w:rtl/>
          <w:lang w:bidi="ar-SY"/>
        </w:rPr>
        <w:t xml:space="preserve">الهيئات </w:t>
      </w:r>
      <w:r w:rsidRPr="00B37C62">
        <w:rPr>
          <w:rFonts w:hint="cs"/>
          <w:rtl/>
          <w:lang w:bidi="ar-SY"/>
        </w:rPr>
        <w:t xml:space="preserve">الأكاديمية المتأخرة في </w:t>
      </w:r>
      <w:proofErr w:type="spellStart"/>
      <w:r w:rsidRPr="00B37C62">
        <w:rPr>
          <w:rFonts w:hint="cs"/>
          <w:rtl/>
          <w:lang w:bidi="ar-SY"/>
        </w:rPr>
        <w:t>مدفوعاتها</w:t>
      </w:r>
      <w:proofErr w:type="spellEnd"/>
      <w:r w:rsidRPr="00B37C62">
        <w:rPr>
          <w:rFonts w:hint="cs"/>
          <w:rtl/>
          <w:lang w:bidi="ar-SY"/>
        </w:rPr>
        <w:t xml:space="preserve"> </w:t>
      </w:r>
      <w:r w:rsidR="003E5047" w:rsidRPr="00B37C62">
        <w:rPr>
          <w:rFonts w:hint="cs"/>
          <w:rtl/>
        </w:rPr>
        <w:t>التفاوض بشأن</w:t>
      </w:r>
      <w:r w:rsidRPr="00B37C62">
        <w:rPr>
          <w:rFonts w:hint="cs"/>
          <w:rtl/>
          <w:lang w:bidi="ar-SY"/>
        </w:rPr>
        <w:t xml:space="preserve"> جداول </w:t>
      </w:r>
      <w:r w:rsidR="003E5047" w:rsidRPr="00B37C62">
        <w:rPr>
          <w:rFonts w:hint="cs"/>
          <w:rtl/>
          <w:lang w:bidi="ar-SY"/>
        </w:rPr>
        <w:t>ال</w:t>
      </w:r>
      <w:r w:rsidRPr="00B37C62">
        <w:rPr>
          <w:rFonts w:hint="cs"/>
          <w:rtl/>
          <w:lang w:bidi="ar-SY"/>
        </w:rPr>
        <w:t>تسديد. وتم إبلاغ الأعضاء الذين لم يلبوا هذا الطلب أو الذين أخلّوا بشروط التسديد المتفق عليها، بتعليق مشاركتهم في أعمال القطاعات أو لجان الدراسات المعنية، حسب الاقتضاء. ويتلقى هؤلاء الأعضاء بشكل منتظم رسائل تذكير بالمبالغ المطلوب سدادها لاستعادة الحق في المشاركة في أعمال الاتحاد.</w:t>
      </w:r>
    </w:p>
    <w:p w14:paraId="6260C3A2" w14:textId="70F3D5C6" w:rsidR="0003234F" w:rsidRPr="00C30CAC" w:rsidRDefault="0003234F" w:rsidP="0003234F">
      <w:pPr>
        <w:rPr>
          <w:rtl/>
          <w:lang w:bidi="ar-EG"/>
        </w:rPr>
      </w:pPr>
      <w:r w:rsidRPr="00C30CAC">
        <w:rPr>
          <w:lang w:bidi="ar-SY"/>
        </w:rPr>
        <w:t>9.2</w:t>
      </w:r>
      <w:r w:rsidRPr="00C30CAC">
        <w:rPr>
          <w:rFonts w:hint="cs"/>
          <w:rtl/>
        </w:rPr>
        <w:tab/>
        <w:t xml:space="preserve">وتطبيقاً لأحكام القرار </w:t>
      </w:r>
      <w:r w:rsidRPr="00C30CAC">
        <w:rPr>
          <w:lang w:bidi="ar-SY"/>
        </w:rPr>
        <w:t>41</w:t>
      </w:r>
      <w:r w:rsidRPr="00C30CAC">
        <w:rPr>
          <w:rFonts w:hint="cs"/>
          <w:rtl/>
        </w:rPr>
        <w:t> (المراجَع في دبي،</w:t>
      </w:r>
      <w:r w:rsidRPr="00C30CAC">
        <w:rPr>
          <w:rFonts w:hint="cs"/>
          <w:rtl/>
          <w:lang w:bidi="ar-SY"/>
        </w:rPr>
        <w:t> </w:t>
      </w:r>
      <w:proofErr w:type="gramStart"/>
      <w:r w:rsidRPr="00C30CAC">
        <w:rPr>
          <w:lang w:bidi="ar-SY"/>
        </w:rPr>
        <w:t>2018</w:t>
      </w:r>
      <w:r w:rsidRPr="00C30CAC">
        <w:rPr>
          <w:rFonts w:hint="cs"/>
          <w:rtl/>
        </w:rPr>
        <w:t>)،</w:t>
      </w:r>
      <w:proofErr w:type="gramEnd"/>
      <w:r w:rsidRPr="00C30CAC">
        <w:rPr>
          <w:rFonts w:hint="cs"/>
          <w:rtl/>
        </w:rPr>
        <w:t xml:space="preserve"> فتح الأمين العام </w:t>
      </w:r>
      <w:r w:rsidR="00B37C62" w:rsidRPr="00C30CAC">
        <w:rPr>
          <w:rFonts w:hint="cs"/>
          <w:rtl/>
        </w:rPr>
        <w:t xml:space="preserve">في عام </w:t>
      </w:r>
      <w:r w:rsidR="00B37C62" w:rsidRPr="00C30CAC">
        <w:t>2022</w:t>
      </w:r>
      <w:r w:rsidR="00B37C62" w:rsidRPr="00C30CAC">
        <w:rPr>
          <w:rFonts w:hint="cs"/>
          <w:rtl/>
        </w:rPr>
        <w:t xml:space="preserve"> </w:t>
      </w:r>
      <w:r w:rsidRPr="00C30CAC">
        <w:rPr>
          <w:rFonts w:hint="cs"/>
          <w:rtl/>
        </w:rPr>
        <w:t xml:space="preserve">مع </w:t>
      </w:r>
      <w:r w:rsidR="003E5047" w:rsidRPr="00C30CAC">
        <w:rPr>
          <w:rFonts w:hint="cs"/>
          <w:rtl/>
        </w:rPr>
        <w:t>دول أعضاء</w:t>
      </w:r>
      <w:r w:rsidRPr="00C30CAC">
        <w:rPr>
          <w:rFonts w:hint="cs"/>
          <w:rtl/>
        </w:rPr>
        <w:t xml:space="preserve"> </w:t>
      </w:r>
      <w:r w:rsidR="003E5047" w:rsidRPr="00C30CAC">
        <w:rPr>
          <w:rFonts w:hint="cs"/>
          <w:rtl/>
        </w:rPr>
        <w:t xml:space="preserve">ثمانية حسابات </w:t>
      </w:r>
      <w:r w:rsidRPr="00C30CAC">
        <w:rPr>
          <w:rFonts w:hint="cs"/>
          <w:rtl/>
        </w:rPr>
        <w:t>جديد</w:t>
      </w:r>
      <w:r w:rsidR="003E5047" w:rsidRPr="00C30CAC">
        <w:rPr>
          <w:rFonts w:hint="cs"/>
          <w:rtl/>
        </w:rPr>
        <w:t>ة</w:t>
      </w:r>
      <w:r w:rsidRPr="00C30CAC">
        <w:rPr>
          <w:rFonts w:hint="cs"/>
          <w:rtl/>
        </w:rPr>
        <w:t xml:space="preserve"> خاص</w:t>
      </w:r>
      <w:r w:rsidR="003E5047" w:rsidRPr="00C30CAC">
        <w:rPr>
          <w:rFonts w:hint="cs"/>
          <w:rtl/>
        </w:rPr>
        <w:t xml:space="preserve">ة </w:t>
      </w:r>
      <w:r w:rsidRPr="00C30CAC">
        <w:rPr>
          <w:rFonts w:hint="cs"/>
          <w:rtl/>
        </w:rPr>
        <w:t>بالمتأخرات. ومن ثم، وقع الأمين العام اتفاقا</w:t>
      </w:r>
      <w:r w:rsidR="003E5047" w:rsidRPr="00C30CAC">
        <w:rPr>
          <w:rFonts w:hint="cs"/>
          <w:rtl/>
        </w:rPr>
        <w:t>ت</w:t>
      </w:r>
      <w:r w:rsidRPr="00C30CAC">
        <w:rPr>
          <w:rFonts w:hint="cs"/>
          <w:rtl/>
        </w:rPr>
        <w:t xml:space="preserve"> سداد </w:t>
      </w:r>
      <w:r w:rsidR="003E5047" w:rsidRPr="00C30CAC">
        <w:rPr>
          <w:rFonts w:hint="cs"/>
          <w:rtl/>
        </w:rPr>
        <w:t>مع جزر القمر وجمهورية الكونغو</w:t>
      </w:r>
      <w:r w:rsidR="00833E51">
        <w:rPr>
          <w:rFonts w:hint="cs"/>
          <w:rtl/>
        </w:rPr>
        <w:t xml:space="preserve"> الديمقراطية</w:t>
      </w:r>
      <w:r w:rsidR="003E5047" w:rsidRPr="00C30CAC">
        <w:rPr>
          <w:rFonts w:hint="cs"/>
          <w:rtl/>
        </w:rPr>
        <w:t xml:space="preserve"> ودومينيكا وغابون وغينيا</w:t>
      </w:r>
      <w:r w:rsidR="00C30CAC">
        <w:rPr>
          <w:rtl/>
        </w:rPr>
        <w:noBreakHyphen/>
      </w:r>
      <w:proofErr w:type="gramStart"/>
      <w:r w:rsidR="003E5047" w:rsidRPr="00C30CAC">
        <w:rPr>
          <w:rFonts w:hint="cs"/>
          <w:rtl/>
        </w:rPr>
        <w:t>بيساو</w:t>
      </w:r>
      <w:proofErr w:type="gramEnd"/>
      <w:r w:rsidR="003E5047" w:rsidRPr="00C30CAC">
        <w:rPr>
          <w:rFonts w:hint="cs"/>
          <w:rtl/>
        </w:rPr>
        <w:t xml:space="preserve"> ونيكاراغوا</w:t>
      </w:r>
      <w:r w:rsidR="009A31FD" w:rsidRPr="00C30CAC">
        <w:rPr>
          <w:rFonts w:hint="cs"/>
          <w:rtl/>
        </w:rPr>
        <w:t xml:space="preserve"> وفانواتو واليمن</w:t>
      </w:r>
      <w:r w:rsidRPr="00C30CAC">
        <w:rPr>
          <w:rFonts w:hint="cs"/>
          <w:rtl/>
          <w:lang w:bidi="ar-EG"/>
        </w:rPr>
        <w:t>.</w:t>
      </w:r>
    </w:p>
    <w:p w14:paraId="265C8714" w14:textId="722640BF" w:rsidR="0003234F" w:rsidRDefault="0003234F" w:rsidP="0003234F">
      <w:pPr>
        <w:rPr>
          <w:spacing w:val="-2"/>
          <w:lang w:bidi="ar-EG"/>
        </w:rPr>
      </w:pPr>
      <w:r>
        <w:rPr>
          <w:spacing w:val="-2"/>
          <w:lang w:bidi="ar-SY"/>
        </w:rPr>
        <w:t>10.2</w:t>
      </w:r>
      <w:r>
        <w:rPr>
          <w:rFonts w:hint="cs"/>
          <w:spacing w:val="-2"/>
          <w:rtl/>
        </w:rPr>
        <w:tab/>
      </w:r>
      <w:r w:rsidR="00CB00BE">
        <w:rPr>
          <w:rFonts w:hint="cs"/>
          <w:spacing w:val="-2"/>
          <w:rtl/>
        </w:rPr>
        <w:t xml:space="preserve">وتم </w:t>
      </w:r>
      <w:r>
        <w:rPr>
          <w:rFonts w:hint="cs"/>
          <w:spacing w:val="-2"/>
          <w:rtl/>
        </w:rPr>
        <w:t xml:space="preserve">إلغاء </w:t>
      </w:r>
      <w:r w:rsidR="009A31FD">
        <w:rPr>
          <w:rFonts w:hint="cs"/>
          <w:spacing w:val="-2"/>
          <w:rtl/>
        </w:rPr>
        <w:t>خمسة</w:t>
      </w:r>
      <w:r>
        <w:rPr>
          <w:rFonts w:hint="cs"/>
          <w:spacing w:val="-2"/>
          <w:rtl/>
        </w:rPr>
        <w:t xml:space="preserve"> حسابات أخرى قبل </w:t>
      </w:r>
      <w:r>
        <w:rPr>
          <w:spacing w:val="-2"/>
        </w:rPr>
        <w:t>2022</w:t>
      </w:r>
      <w:r>
        <w:rPr>
          <w:rFonts w:hint="cs"/>
          <w:spacing w:val="-2"/>
          <w:rtl/>
        </w:rPr>
        <w:t xml:space="preserve">. وبالتالي يتعين على الدول الأعضاء </w:t>
      </w:r>
      <w:r>
        <w:rPr>
          <w:rFonts w:hint="cs"/>
          <w:spacing w:val="-2"/>
          <w:rtl/>
          <w:lang w:bidi="ar-EG"/>
        </w:rPr>
        <w:t>(</w:t>
      </w:r>
      <w:r w:rsidRPr="0003234F">
        <w:rPr>
          <w:spacing w:val="-2"/>
          <w:rtl/>
        </w:rPr>
        <w:t>غينيا الاستوائية</w:t>
      </w:r>
      <w:r w:rsidRPr="0003234F">
        <w:rPr>
          <w:rFonts w:hint="cs"/>
          <w:spacing w:val="-2"/>
          <w:rtl/>
          <w:lang w:bidi="ar-EG"/>
        </w:rPr>
        <w:t xml:space="preserve"> </w:t>
      </w:r>
      <w:r>
        <w:rPr>
          <w:rFonts w:hint="cs"/>
          <w:spacing w:val="-2"/>
          <w:rtl/>
          <w:lang w:bidi="ar-EG"/>
        </w:rPr>
        <w:t>وسيراليون وجمهورية إفريقيا الوسطى) وال</w:t>
      </w:r>
      <w:r w:rsidR="009A31FD">
        <w:rPr>
          <w:rFonts w:hint="cs"/>
          <w:spacing w:val="-2"/>
          <w:rtl/>
          <w:lang w:bidi="ar-EG"/>
        </w:rPr>
        <w:t>منظمات</w:t>
      </w:r>
      <w:r>
        <w:rPr>
          <w:rFonts w:hint="cs"/>
          <w:spacing w:val="-2"/>
          <w:rtl/>
          <w:lang w:bidi="ar-EG"/>
        </w:rPr>
        <w:t xml:space="preserve"> </w:t>
      </w:r>
      <w:r>
        <w:rPr>
          <w:rFonts w:hint="cs"/>
          <w:spacing w:val="-2"/>
          <w:rtl/>
        </w:rPr>
        <w:t>المعنية (</w:t>
      </w:r>
      <w:proofErr w:type="spellStart"/>
      <w:r>
        <w:rPr>
          <w:rFonts w:eastAsia="SimSun"/>
          <w:spacing w:val="-2"/>
        </w:rPr>
        <w:t>Apprentissages</w:t>
      </w:r>
      <w:proofErr w:type="spellEnd"/>
      <w:r>
        <w:rPr>
          <w:rFonts w:eastAsia="SimSun"/>
          <w:spacing w:val="-2"/>
        </w:rPr>
        <w:t xml:space="preserve"> sans Frontières</w:t>
      </w:r>
      <w:r>
        <w:rPr>
          <w:spacing w:val="-2"/>
          <w:rtl/>
        </w:rPr>
        <w:t xml:space="preserve"> </w:t>
      </w:r>
      <w:r>
        <w:rPr>
          <w:rFonts w:hint="cs"/>
          <w:spacing w:val="-2"/>
          <w:rtl/>
        </w:rPr>
        <w:t>(سويسرا)، و</w:t>
      </w:r>
      <w:proofErr w:type="spellStart"/>
      <w:r>
        <w:rPr>
          <w:rFonts w:eastAsia="SimSun"/>
          <w:spacing w:val="-2"/>
        </w:rPr>
        <w:t>Ellipsat</w:t>
      </w:r>
      <w:proofErr w:type="spellEnd"/>
      <w:r>
        <w:rPr>
          <w:rFonts w:eastAsia="SimSun"/>
          <w:spacing w:val="-2"/>
        </w:rPr>
        <w:t xml:space="preserve"> Inc.</w:t>
      </w:r>
      <w:r>
        <w:rPr>
          <w:rFonts w:hint="cs"/>
          <w:spacing w:val="-2"/>
          <w:rtl/>
        </w:rPr>
        <w:t xml:space="preserve"> (الولايات المتحدة الأمريكية))، التفاوض حول جداول جديدة لتسديد الديون المستحقة عليها وفقاً للمبادئ التوجيهية التي وضعها المجلس. و</w:t>
      </w:r>
      <w:r w:rsidR="00837E81">
        <w:rPr>
          <w:rFonts w:hint="cs"/>
          <w:spacing w:val="-2"/>
          <w:rtl/>
        </w:rPr>
        <w:t xml:space="preserve">يلتزم </w:t>
      </w:r>
      <w:r>
        <w:rPr>
          <w:rFonts w:hint="cs"/>
          <w:spacing w:val="-2"/>
          <w:rtl/>
        </w:rPr>
        <w:t>جميع الأعضاء ال</w:t>
      </w:r>
      <w:r w:rsidR="00837E81">
        <w:rPr>
          <w:rFonts w:hint="cs"/>
          <w:spacing w:val="-2"/>
          <w:rtl/>
        </w:rPr>
        <w:t>آ</w:t>
      </w:r>
      <w:r>
        <w:rPr>
          <w:rFonts w:hint="cs"/>
          <w:spacing w:val="-2"/>
          <w:rtl/>
        </w:rPr>
        <w:t>خر</w:t>
      </w:r>
      <w:r w:rsidR="00837E81">
        <w:rPr>
          <w:rFonts w:hint="cs"/>
          <w:spacing w:val="-2"/>
          <w:rtl/>
        </w:rPr>
        <w:t>ين</w:t>
      </w:r>
      <w:r>
        <w:rPr>
          <w:rFonts w:hint="cs"/>
          <w:spacing w:val="-2"/>
          <w:rtl/>
        </w:rPr>
        <w:t xml:space="preserve"> بدقة بجداول تسديد الديون المتفق عليها.</w:t>
      </w:r>
      <w:r w:rsidR="00066791">
        <w:rPr>
          <w:rFonts w:hint="cs"/>
          <w:spacing w:val="-2"/>
          <w:rtl/>
        </w:rPr>
        <w:t xml:space="preserve"> </w:t>
      </w:r>
    </w:p>
    <w:p w14:paraId="46B6C1CA" w14:textId="326A0E5B" w:rsidR="0003234F" w:rsidRDefault="0003234F" w:rsidP="0003234F">
      <w:pPr>
        <w:rPr>
          <w:spacing w:val="2"/>
          <w:rtl/>
          <w:lang w:bidi="ar-EG"/>
        </w:rPr>
      </w:pPr>
      <w:r>
        <w:rPr>
          <w:spacing w:val="-2"/>
          <w:lang w:bidi="ar-SY"/>
        </w:rPr>
        <w:t>11.2</w:t>
      </w:r>
      <w:r>
        <w:rPr>
          <w:rFonts w:hint="cs"/>
          <w:spacing w:val="-2"/>
          <w:rtl/>
        </w:rPr>
        <w:tab/>
        <w:t xml:space="preserve">وفيما يتعلق ببطاقات التبليغ عن الشبكات </w:t>
      </w:r>
      <w:proofErr w:type="spellStart"/>
      <w:r>
        <w:rPr>
          <w:rFonts w:hint="cs"/>
          <w:spacing w:val="-2"/>
          <w:rtl/>
        </w:rPr>
        <w:t>الساتلية</w:t>
      </w:r>
      <w:proofErr w:type="spellEnd"/>
      <w:r>
        <w:rPr>
          <w:rFonts w:hint="cs"/>
          <w:spacing w:val="-2"/>
          <w:rtl/>
        </w:rPr>
        <w:t> </w:t>
      </w:r>
      <w:r>
        <w:rPr>
          <w:spacing w:val="-2"/>
        </w:rPr>
        <w:t>(SNF)</w:t>
      </w:r>
      <w:r>
        <w:rPr>
          <w:rFonts w:hint="cs"/>
          <w:spacing w:val="-2"/>
          <w:rtl/>
        </w:rPr>
        <w:t>، وفقاً ل</w:t>
      </w:r>
      <w:r w:rsidR="00CB00BE">
        <w:rPr>
          <w:rFonts w:hint="cs"/>
          <w:spacing w:val="-2"/>
          <w:rtl/>
        </w:rPr>
        <w:t>ل</w:t>
      </w:r>
      <w:r>
        <w:rPr>
          <w:rFonts w:hint="cs"/>
          <w:spacing w:val="-2"/>
          <w:rtl/>
        </w:rPr>
        <w:t>مقرر</w:t>
      </w:r>
      <w:r w:rsidR="00837E81">
        <w:rPr>
          <w:rFonts w:hint="cs"/>
          <w:spacing w:val="-2"/>
          <w:rtl/>
        </w:rPr>
        <w:t xml:space="preserve"> </w:t>
      </w:r>
      <w:r>
        <w:rPr>
          <w:spacing w:val="-2"/>
          <w:lang w:bidi="ar-SY"/>
        </w:rPr>
        <w:t>545</w:t>
      </w:r>
      <w:r>
        <w:rPr>
          <w:rFonts w:hint="cs"/>
          <w:spacing w:val="-2"/>
          <w:rtl/>
        </w:rPr>
        <w:t xml:space="preserve"> </w:t>
      </w:r>
      <w:r w:rsidR="00CB00BE">
        <w:rPr>
          <w:rFonts w:hint="cs"/>
          <w:spacing w:val="-2"/>
          <w:rtl/>
        </w:rPr>
        <w:t xml:space="preserve">لمجلس الاتحاد </w:t>
      </w:r>
      <w:r>
        <w:rPr>
          <w:rFonts w:hint="cs"/>
          <w:spacing w:val="-2"/>
          <w:rtl/>
        </w:rPr>
        <w:t>(</w:t>
      </w:r>
      <w:r w:rsidR="00837E81">
        <w:rPr>
          <w:rFonts w:hint="cs"/>
          <w:spacing w:val="-2"/>
          <w:rtl/>
        </w:rPr>
        <w:t>دورة</w:t>
      </w:r>
      <w:r>
        <w:rPr>
          <w:rFonts w:hint="cs"/>
          <w:spacing w:val="-2"/>
          <w:rtl/>
        </w:rPr>
        <w:t xml:space="preserve"> </w:t>
      </w:r>
      <w:proofErr w:type="gramStart"/>
      <w:r>
        <w:rPr>
          <w:spacing w:val="-2"/>
          <w:lang w:bidi="ar-SY"/>
        </w:rPr>
        <w:t>2007</w:t>
      </w:r>
      <w:r>
        <w:rPr>
          <w:rFonts w:hint="cs"/>
          <w:spacing w:val="-2"/>
          <w:rtl/>
        </w:rPr>
        <w:t>)،</w:t>
      </w:r>
      <w:proofErr w:type="gramEnd"/>
      <w:r>
        <w:rPr>
          <w:rFonts w:hint="cs"/>
          <w:spacing w:val="-2"/>
          <w:rtl/>
        </w:rPr>
        <w:t xml:space="preserve"> فإن</w:t>
      </w:r>
      <w:r w:rsidR="00D40D66">
        <w:rPr>
          <w:rFonts w:hint="eastAsia"/>
          <w:spacing w:val="-2"/>
          <w:rtl/>
        </w:rPr>
        <w:t> </w:t>
      </w:r>
      <w:r>
        <w:rPr>
          <w:spacing w:val="-2"/>
          <w:lang w:bidi="ar-SY"/>
        </w:rPr>
        <w:t>27</w:t>
      </w:r>
      <w:r>
        <w:rPr>
          <w:rFonts w:hint="cs"/>
          <w:spacing w:val="-2"/>
          <w:rtl/>
        </w:rPr>
        <w:t xml:space="preserve"> إدارة/مشغلاً </w:t>
      </w:r>
      <w:r>
        <w:rPr>
          <w:rFonts w:hint="cs"/>
          <w:spacing w:val="2"/>
          <w:rtl/>
        </w:rPr>
        <w:t>من أصل </w:t>
      </w:r>
      <w:r>
        <w:rPr>
          <w:spacing w:val="2"/>
          <w:lang w:bidi="ar-SY"/>
        </w:rPr>
        <w:t>28</w:t>
      </w:r>
      <w:r>
        <w:rPr>
          <w:rFonts w:hint="cs"/>
          <w:spacing w:val="2"/>
          <w:rtl/>
        </w:rPr>
        <w:t xml:space="preserve"> من الذين كان يحق لهم أن تراجَع فواتيرهم، سددوا ديونهم ووقّع أحد الكيانات على جدول تسديد (شركة </w:t>
      </w:r>
      <w:proofErr w:type="spellStart"/>
      <w:r>
        <w:rPr>
          <w:spacing w:val="2"/>
          <w:lang w:bidi="ar-SY"/>
        </w:rPr>
        <w:t>Ellipsat</w:t>
      </w:r>
      <w:proofErr w:type="spellEnd"/>
      <w:r>
        <w:rPr>
          <w:spacing w:val="2"/>
          <w:lang w:bidi="ar-SY"/>
        </w:rPr>
        <w:t xml:space="preserve"> Inc.</w:t>
      </w:r>
      <w:r>
        <w:rPr>
          <w:rFonts w:hint="cs"/>
          <w:spacing w:val="2"/>
          <w:rtl/>
        </w:rPr>
        <w:t xml:space="preserve">، الولايات المتحدة الأمريكية، بما في ذلك الدين المستحق على شركة </w:t>
      </w:r>
      <w:r>
        <w:rPr>
          <w:spacing w:val="2"/>
          <w:lang w:bidi="ar-SY"/>
        </w:rPr>
        <w:t xml:space="preserve">Virtual </w:t>
      </w:r>
      <w:proofErr w:type="spellStart"/>
      <w:r>
        <w:rPr>
          <w:spacing w:val="2"/>
          <w:lang w:bidi="ar-SY"/>
        </w:rPr>
        <w:t>Geosatellite</w:t>
      </w:r>
      <w:proofErr w:type="spellEnd"/>
      <w:r>
        <w:rPr>
          <w:rFonts w:hint="cs"/>
          <w:spacing w:val="2"/>
          <w:rtl/>
        </w:rPr>
        <w:t xml:space="preserve"> سابقاً التي قامت بحيازتها شركة </w:t>
      </w:r>
      <w:proofErr w:type="spellStart"/>
      <w:r>
        <w:rPr>
          <w:spacing w:val="2"/>
          <w:lang w:bidi="ar-SY"/>
        </w:rPr>
        <w:t>Ellipsat</w:t>
      </w:r>
      <w:proofErr w:type="spellEnd"/>
      <w:r>
        <w:rPr>
          <w:spacing w:val="2"/>
          <w:lang w:bidi="ar-SY"/>
        </w:rPr>
        <w:t xml:space="preserve"> Inc.</w:t>
      </w:r>
      <w:r>
        <w:rPr>
          <w:rFonts w:hint="cs"/>
          <w:spacing w:val="2"/>
          <w:rtl/>
        </w:rPr>
        <w:t>). ومع ذلك، أُلغي اتفاق ا</w:t>
      </w:r>
      <w:r w:rsidR="002B7170">
        <w:rPr>
          <w:rFonts w:hint="cs"/>
          <w:spacing w:val="2"/>
          <w:rtl/>
        </w:rPr>
        <w:t>لسداد</w:t>
      </w:r>
      <w:r>
        <w:rPr>
          <w:rFonts w:hint="cs"/>
          <w:spacing w:val="2"/>
          <w:rtl/>
        </w:rPr>
        <w:t xml:space="preserve"> المُوقع من جانب شركة </w:t>
      </w:r>
      <w:proofErr w:type="spellStart"/>
      <w:r>
        <w:rPr>
          <w:spacing w:val="2"/>
          <w:lang w:val="fr-FR"/>
        </w:rPr>
        <w:t>Ellipsat</w:t>
      </w:r>
      <w:proofErr w:type="spellEnd"/>
      <w:r>
        <w:rPr>
          <w:spacing w:val="2"/>
          <w:lang w:bidi="ar-SY"/>
        </w:rPr>
        <w:t xml:space="preserve"> Inc.</w:t>
      </w:r>
      <w:r>
        <w:rPr>
          <w:rFonts w:hint="cs"/>
          <w:spacing w:val="2"/>
          <w:rtl/>
        </w:rPr>
        <w:t xml:space="preserve"> في</w:t>
      </w:r>
      <w:r w:rsidR="00D40D66">
        <w:rPr>
          <w:rFonts w:hint="eastAsia"/>
          <w:spacing w:val="2"/>
          <w:rtl/>
        </w:rPr>
        <w:t> </w:t>
      </w:r>
      <w:r>
        <w:rPr>
          <w:rFonts w:hint="cs"/>
          <w:spacing w:val="2"/>
          <w:rtl/>
        </w:rPr>
        <w:t>عام</w:t>
      </w:r>
      <w:r>
        <w:rPr>
          <w:rFonts w:hint="cs"/>
          <w:spacing w:val="2"/>
          <w:rtl/>
          <w:lang w:bidi="ar"/>
        </w:rPr>
        <w:t> </w:t>
      </w:r>
      <w:r>
        <w:rPr>
          <w:spacing w:val="2"/>
          <w:lang w:bidi="ar"/>
        </w:rPr>
        <w:t>2017</w:t>
      </w:r>
      <w:r>
        <w:rPr>
          <w:rFonts w:hint="cs"/>
          <w:spacing w:val="2"/>
          <w:rtl/>
        </w:rPr>
        <w:t xml:space="preserve"> لعدم</w:t>
      </w:r>
      <w:r>
        <w:rPr>
          <w:rFonts w:hint="cs"/>
          <w:spacing w:val="2"/>
          <w:rtl/>
          <w:lang w:bidi="ar"/>
        </w:rPr>
        <w:t> </w:t>
      </w:r>
      <w:r>
        <w:rPr>
          <w:rFonts w:hint="cs"/>
          <w:spacing w:val="2"/>
          <w:rtl/>
        </w:rPr>
        <w:t>الدفع</w:t>
      </w:r>
      <w:r>
        <w:rPr>
          <w:rFonts w:hint="cs"/>
          <w:spacing w:val="2"/>
          <w:rtl/>
          <w:lang w:bidi="ar"/>
        </w:rPr>
        <w:t xml:space="preserve">. </w:t>
      </w:r>
      <w:r>
        <w:rPr>
          <w:rFonts w:hint="cs"/>
          <w:spacing w:val="2"/>
          <w:rtl/>
        </w:rPr>
        <w:t xml:space="preserve">وفي الوقت الحالي، </w:t>
      </w:r>
      <w:r w:rsidR="00837E81">
        <w:rPr>
          <w:rFonts w:hint="cs"/>
          <w:spacing w:val="2"/>
          <w:rtl/>
        </w:rPr>
        <w:t>لدى</w:t>
      </w:r>
      <w:r>
        <w:rPr>
          <w:rFonts w:hint="cs"/>
          <w:spacing w:val="2"/>
          <w:rtl/>
        </w:rPr>
        <w:t xml:space="preserve"> شركة </w:t>
      </w:r>
      <w:proofErr w:type="spellStart"/>
      <w:r>
        <w:rPr>
          <w:spacing w:val="2"/>
          <w:lang w:val="fr-FR"/>
        </w:rPr>
        <w:t>Ellipsat</w:t>
      </w:r>
      <w:proofErr w:type="spellEnd"/>
      <w:r>
        <w:rPr>
          <w:spacing w:val="2"/>
          <w:lang w:bidi="ar-SY"/>
        </w:rPr>
        <w:t xml:space="preserve"> Inc.</w:t>
      </w:r>
      <w:r>
        <w:rPr>
          <w:rFonts w:hint="cs"/>
          <w:spacing w:val="2"/>
          <w:rtl/>
        </w:rPr>
        <w:t xml:space="preserve"> دين غير مسدد</w:t>
      </w:r>
      <w:r w:rsidR="00837E81">
        <w:rPr>
          <w:rFonts w:hint="cs"/>
          <w:spacing w:val="2"/>
          <w:rtl/>
        </w:rPr>
        <w:t xml:space="preserve"> بشأن </w:t>
      </w:r>
      <w:r>
        <w:rPr>
          <w:rFonts w:hint="cs"/>
          <w:spacing w:val="2"/>
          <w:rtl/>
        </w:rPr>
        <w:t xml:space="preserve">بطاقات التبليغ عن الشبكات الساتلية، بقيمة </w:t>
      </w:r>
      <w:r>
        <w:rPr>
          <w:spacing w:val="2"/>
          <w:lang w:bidi="ar"/>
        </w:rPr>
        <w:t>37 291</w:t>
      </w:r>
      <w:r>
        <w:rPr>
          <w:rFonts w:hint="cs"/>
          <w:spacing w:val="2"/>
          <w:rtl/>
        </w:rPr>
        <w:t xml:space="preserve"> فرنكاً سويسرياً في </w:t>
      </w:r>
      <w:r>
        <w:rPr>
          <w:rFonts w:hint="cs"/>
          <w:spacing w:val="2"/>
          <w:rtl/>
          <w:lang w:bidi="ar"/>
        </w:rPr>
        <w:t xml:space="preserve">31 </w:t>
      </w:r>
      <w:r>
        <w:rPr>
          <w:rFonts w:hint="cs"/>
          <w:spacing w:val="2"/>
          <w:rtl/>
        </w:rPr>
        <w:t xml:space="preserve">ديسمبر </w:t>
      </w:r>
      <w:r>
        <w:rPr>
          <w:rFonts w:hint="cs"/>
          <w:spacing w:val="2"/>
          <w:rtl/>
          <w:lang w:val="fr-FR" w:bidi="ar"/>
        </w:rPr>
        <w:t>2022</w:t>
      </w:r>
      <w:r>
        <w:rPr>
          <w:rFonts w:hint="cs"/>
          <w:spacing w:val="2"/>
          <w:rtl/>
          <w:lang w:bidi="ar-EG"/>
        </w:rPr>
        <w:t>.</w:t>
      </w:r>
    </w:p>
    <w:p w14:paraId="6C352CB6" w14:textId="2CCB72F2" w:rsidR="0003234F" w:rsidRDefault="0003234F" w:rsidP="0003234F">
      <w:pPr>
        <w:rPr>
          <w:rtl/>
        </w:rPr>
      </w:pPr>
      <w:r>
        <w:rPr>
          <w:lang w:bidi="ar-SY"/>
        </w:rPr>
        <w:t>12.2</w:t>
      </w:r>
      <w:r>
        <w:rPr>
          <w:lang w:bidi="ar-SY"/>
        </w:rPr>
        <w:tab/>
      </w:r>
      <w:r w:rsidRPr="007B5BD3">
        <w:rPr>
          <w:rFonts w:hint="cs"/>
          <w:rtl/>
        </w:rPr>
        <w:t>وقد كُلّف المجلس بموجب القرار </w:t>
      </w:r>
      <w:r w:rsidRPr="007B5BD3">
        <w:rPr>
          <w:lang w:bidi="ar-SY"/>
        </w:rPr>
        <w:t>41</w:t>
      </w:r>
      <w:r w:rsidRPr="007B5BD3">
        <w:rPr>
          <w:rFonts w:hint="cs"/>
          <w:rtl/>
        </w:rPr>
        <w:t xml:space="preserve"> (المراجَع في دبي، </w:t>
      </w:r>
      <w:r w:rsidRPr="007B5BD3">
        <w:rPr>
          <w:lang w:bidi="ar-SY"/>
        </w:rPr>
        <w:t>2018</w:t>
      </w:r>
      <w:r w:rsidRPr="007B5BD3">
        <w:rPr>
          <w:rFonts w:hint="cs"/>
          <w:rtl/>
        </w:rPr>
        <w:t>) بأن يعيد النظر في مستوى احتياطي الحسابات المدينة بغية ضمان تغطية المبالغ المستحقة بالشكل المناسب. واعتباراً من </w:t>
      </w:r>
      <w:r w:rsidRPr="007B5BD3">
        <w:rPr>
          <w:lang w:bidi="ar-SY"/>
        </w:rPr>
        <w:t>2009</w:t>
      </w:r>
      <w:r w:rsidRPr="007B5BD3">
        <w:rPr>
          <w:rFonts w:hint="cs"/>
          <w:rtl/>
        </w:rPr>
        <w:t>، إثر إدخال المعايير المحاسبية الدولية للقطاع العام</w:t>
      </w:r>
      <w:r w:rsidR="00D40D66">
        <w:rPr>
          <w:rFonts w:hint="eastAsia"/>
          <w:rtl/>
        </w:rPr>
        <w:t> </w:t>
      </w:r>
      <w:r w:rsidR="008F3B46">
        <w:t>(IPSAS)</w:t>
      </w:r>
      <w:r w:rsidRPr="007B5BD3">
        <w:rPr>
          <w:rFonts w:hint="cs"/>
          <w:rtl/>
        </w:rPr>
        <w:t>، وضعت مبادئ جديدة لتحديد احتياطي الحسابات المدينة.</w:t>
      </w:r>
    </w:p>
    <w:p w14:paraId="4F012326" w14:textId="38A121D8" w:rsidR="0003234F" w:rsidRDefault="0003234F" w:rsidP="0003234F">
      <w:pPr>
        <w:rPr>
          <w:rtl/>
          <w:lang w:bidi="ar-SY"/>
        </w:rPr>
      </w:pPr>
      <w:r>
        <w:t>13</w:t>
      </w:r>
      <w:r>
        <w:rPr>
          <w:lang w:bidi="ar-SY"/>
        </w:rPr>
        <w:t>.2</w:t>
      </w:r>
      <w:r>
        <w:rPr>
          <w:rFonts w:hint="cs"/>
          <w:rtl/>
        </w:rPr>
        <w:tab/>
      </w:r>
      <w:r>
        <w:rPr>
          <w:rFonts w:hint="cs"/>
          <w:rtl/>
          <w:lang w:bidi="ar-SY"/>
        </w:rPr>
        <w:t>وهكذا، في </w:t>
      </w:r>
      <w:r>
        <w:rPr>
          <w:lang w:bidi="ar-SY"/>
        </w:rPr>
        <w:t>31</w:t>
      </w:r>
      <w:r>
        <w:rPr>
          <w:rtl/>
          <w:lang w:bidi="ar-SY"/>
        </w:rPr>
        <w:t xml:space="preserve"> </w:t>
      </w:r>
      <w:r>
        <w:rPr>
          <w:rFonts w:hint="cs"/>
          <w:rtl/>
          <w:lang w:bidi="ar-SY"/>
        </w:rPr>
        <w:t xml:space="preserve">ديسمبر </w:t>
      </w:r>
      <w:r>
        <w:rPr>
          <w:lang w:bidi="ar-SY"/>
        </w:rPr>
        <w:t>2022</w:t>
      </w:r>
      <w:r>
        <w:rPr>
          <w:rFonts w:hint="cs"/>
          <w:rtl/>
          <w:lang w:bidi="ar-SY"/>
        </w:rPr>
        <w:t xml:space="preserve"> بلغ احتياطي الحسابات المدينة </w:t>
      </w:r>
      <w:r>
        <w:t>35,5</w:t>
      </w:r>
      <w:r>
        <w:rPr>
          <w:rtl/>
        </w:rPr>
        <w:t xml:space="preserve"> </w:t>
      </w:r>
      <w:r>
        <w:rPr>
          <w:rFonts w:hint="cs"/>
          <w:rtl/>
          <w:lang w:bidi="ar-SY"/>
        </w:rPr>
        <w:t xml:space="preserve">مليون فرنك سويسري وغطى </w:t>
      </w:r>
      <w:r>
        <w:rPr>
          <w:lang w:bidi="ar-SY"/>
        </w:rPr>
        <w:t>100</w:t>
      </w:r>
      <w:r>
        <w:rPr>
          <w:rFonts w:hint="cs"/>
          <w:rtl/>
          <w:lang w:bidi="ar-SY"/>
        </w:rPr>
        <w:t> في المائة من المبالغ الواجب مراعاتها في الاحتياطي وفقاً للمبادئ الجديدة المذكورة أعلاه. وي</w:t>
      </w:r>
      <w:r w:rsidR="00D7086A">
        <w:rPr>
          <w:rFonts w:hint="cs"/>
          <w:rtl/>
        </w:rPr>
        <w:t>راجَع</w:t>
      </w:r>
      <w:r>
        <w:rPr>
          <w:rFonts w:hint="cs"/>
          <w:rtl/>
          <w:lang w:bidi="ar-SY"/>
        </w:rPr>
        <w:t xml:space="preserve"> رصيد احتياطي الحسابات المدينة بصورة منتظمة في </w:t>
      </w:r>
      <w:r>
        <w:rPr>
          <w:lang w:bidi="ar-SY"/>
        </w:rPr>
        <w:t>31</w:t>
      </w:r>
      <w:r>
        <w:rPr>
          <w:rFonts w:hint="cs"/>
          <w:rtl/>
          <w:lang w:bidi="ar-SY"/>
        </w:rPr>
        <w:t> ديسمبر من كل سنة. وجدير بالملاحظة أن هذه التغطية بنسبة </w:t>
      </w:r>
      <w:r>
        <w:rPr>
          <w:lang w:bidi="ar-SY"/>
        </w:rPr>
        <w:t>100</w:t>
      </w:r>
      <w:r>
        <w:rPr>
          <w:rtl/>
          <w:lang w:bidi="ar-SY"/>
        </w:rPr>
        <w:t xml:space="preserve"> </w:t>
      </w:r>
      <w:r>
        <w:rPr>
          <w:rFonts w:hint="cs"/>
          <w:rtl/>
          <w:lang w:bidi="ar-SY"/>
        </w:rPr>
        <w:t>في المائة لا تعفي الأعضاء من التزاماتهم تجاه الاتحاد.</w:t>
      </w:r>
    </w:p>
    <w:p w14:paraId="79AE4B55" w14:textId="77777777" w:rsidR="0003234F" w:rsidRDefault="0003234F" w:rsidP="0003234F">
      <w:pPr>
        <w:pStyle w:val="Heading1"/>
        <w:rPr>
          <w:rtl/>
        </w:rPr>
      </w:pPr>
      <w:r>
        <w:rPr>
          <w:lang w:bidi="ar-SY"/>
        </w:rPr>
        <w:t>3</w:t>
      </w:r>
      <w:r>
        <w:rPr>
          <w:lang w:bidi="ar-SY"/>
        </w:rPr>
        <w:tab/>
      </w:r>
      <w:r>
        <w:rPr>
          <w:rFonts w:hint="cs"/>
          <w:rtl/>
        </w:rPr>
        <w:t>التوصية</w:t>
      </w:r>
    </w:p>
    <w:p w14:paraId="2E8CF69D" w14:textId="06443370" w:rsidR="0003234F" w:rsidRDefault="0003234F" w:rsidP="0003234F">
      <w:pPr>
        <w:rPr>
          <w:rtl/>
          <w:lang w:bidi="ar-EG"/>
        </w:rPr>
      </w:pPr>
      <w:r>
        <w:rPr>
          <w:lang w:bidi="ar-SY"/>
        </w:rPr>
        <w:t>1.3</w:t>
      </w:r>
      <w:r>
        <w:rPr>
          <w:rFonts w:hint="cs"/>
          <w:rtl/>
        </w:rPr>
        <w:tab/>
        <w:t xml:space="preserve">يُرجى من المجلس </w:t>
      </w:r>
      <w:r>
        <w:rPr>
          <w:rFonts w:hint="cs"/>
          <w:rtl/>
          <w:lang w:bidi="ar-SY"/>
        </w:rPr>
        <w:t>أن يوافق على شطب الفوائد على المتأخرات والديون غير القابلة للاسترداد بمبلغ</w:t>
      </w:r>
      <w:r>
        <w:rPr>
          <w:rFonts w:hint="cs"/>
          <w:rtl/>
        </w:rPr>
        <w:t xml:space="preserve"> إجمالي قدره </w:t>
      </w:r>
      <w:r>
        <w:rPr>
          <w:b/>
          <w:bCs/>
        </w:rPr>
        <w:t>2 969 139,02</w:t>
      </w:r>
      <w:r>
        <w:rPr>
          <w:b/>
          <w:bCs/>
          <w:rtl/>
        </w:rPr>
        <w:t xml:space="preserve"> </w:t>
      </w:r>
      <w:r>
        <w:rPr>
          <w:rFonts w:hint="cs"/>
          <w:b/>
          <w:bCs/>
          <w:rtl/>
          <w:lang w:bidi="ar-SY"/>
        </w:rPr>
        <w:t>من الفرنكات السويسرية</w:t>
      </w:r>
      <w:r>
        <w:rPr>
          <w:rFonts w:hint="cs"/>
          <w:rtl/>
          <w:lang w:bidi="ar-EG"/>
        </w:rPr>
        <w:t xml:space="preserve">، </w:t>
      </w:r>
      <w:r>
        <w:rPr>
          <w:rFonts w:hint="cs"/>
          <w:rtl/>
          <w:lang w:bidi="ar-SY"/>
        </w:rPr>
        <w:t>وفقاً للمبادئ التوجيهية التي وضعها المجلس في </w:t>
      </w:r>
      <w:r>
        <w:rPr>
          <w:lang w:bidi="ar-SY"/>
        </w:rPr>
        <w:t>1999</w:t>
      </w:r>
      <w:r>
        <w:rPr>
          <w:rFonts w:hint="cs"/>
          <w:rtl/>
        </w:rPr>
        <w:t>،</w:t>
      </w:r>
      <w:r>
        <w:rPr>
          <w:rFonts w:hint="cs"/>
          <w:rtl/>
          <w:lang w:bidi="ar-SY"/>
        </w:rPr>
        <w:t xml:space="preserve"> مقابل سحب مبلغ مناظر من احتياطي الحسابات المدينة.</w:t>
      </w:r>
      <w:r>
        <w:rPr>
          <w:rFonts w:hint="cs"/>
          <w:rtl/>
          <w:lang w:bidi="ar-EG"/>
        </w:rPr>
        <w:t xml:space="preserve"> وفيما يلي التفاصيل المتعلقة بالديون غير القابلة للاسترداد:</w:t>
      </w:r>
    </w:p>
    <w:p w14:paraId="70DDACE4" w14:textId="77777777" w:rsidR="0003234F" w:rsidRDefault="0003234F" w:rsidP="0003234F">
      <w:pPr>
        <w:rPr>
          <w:rtl/>
        </w:rPr>
      </w:pPr>
      <w:r>
        <w:rPr>
          <w:lang w:bidi="ar-SY"/>
        </w:rPr>
        <w:t>2.3</w:t>
      </w:r>
      <w:r>
        <w:rPr>
          <w:rFonts w:hint="cs"/>
          <w:rtl/>
        </w:rPr>
        <w:tab/>
        <w:t>الفوائد على المتأخرات:</w:t>
      </w:r>
    </w:p>
    <w:p w14:paraId="033E8817" w14:textId="159B042D" w:rsidR="0003234F" w:rsidRDefault="0003234F" w:rsidP="00D40D66">
      <w:pPr>
        <w:pStyle w:val="enumlev1"/>
        <w:rPr>
          <w:rtl/>
        </w:rPr>
      </w:pPr>
      <w:r>
        <w:rPr>
          <w:rFonts w:hint="cs"/>
          <w:rtl/>
        </w:rPr>
        <w:t>-</w:t>
      </w:r>
      <w:r>
        <w:rPr>
          <w:rFonts w:hint="cs"/>
          <w:rtl/>
        </w:rPr>
        <w:tab/>
      </w:r>
      <w:r>
        <w:t>733 619,90</w:t>
      </w:r>
      <w:r>
        <w:rPr>
          <w:rFonts w:hint="cs"/>
          <w:rtl/>
        </w:rPr>
        <w:t xml:space="preserve"> من الفرنكات السويسرية مستحقة على ليبيا التي </w:t>
      </w:r>
      <w:r w:rsidR="00567037">
        <w:rPr>
          <w:rFonts w:hint="cs"/>
          <w:rtl/>
        </w:rPr>
        <w:t xml:space="preserve">سددت مساهماتها للفترة </w:t>
      </w:r>
      <w:r w:rsidR="00567037">
        <w:t>2022-2017</w:t>
      </w:r>
      <w:r w:rsidR="00567037">
        <w:rPr>
          <w:rFonts w:hint="cs"/>
          <w:rtl/>
          <w:lang w:bidi="ar-SA"/>
        </w:rPr>
        <w:t>.</w:t>
      </w:r>
      <w:r>
        <w:rPr>
          <w:rFonts w:hint="cs"/>
          <w:rtl/>
        </w:rPr>
        <w:t xml:space="preserve"> </w:t>
      </w:r>
    </w:p>
    <w:p w14:paraId="10F78525" w14:textId="23DEF97D" w:rsidR="0003234F" w:rsidRPr="0003234F" w:rsidRDefault="0003234F" w:rsidP="00D40D66">
      <w:pPr>
        <w:pStyle w:val="enumlev1"/>
        <w:rPr>
          <w:rtl/>
        </w:rPr>
      </w:pPr>
      <w:r w:rsidRPr="0003234F">
        <w:rPr>
          <w:rFonts w:hint="cs"/>
          <w:rtl/>
        </w:rPr>
        <w:t>-</w:t>
      </w:r>
      <w:r w:rsidRPr="0003234F">
        <w:rPr>
          <w:rFonts w:hint="cs"/>
          <w:rtl/>
        </w:rPr>
        <w:tab/>
      </w:r>
      <w:r w:rsidRPr="0003234F">
        <w:rPr>
          <w:lang w:val="fr-CH"/>
        </w:rPr>
        <w:t>27 124,40</w:t>
      </w:r>
      <w:r w:rsidRPr="0003234F">
        <w:rPr>
          <w:rFonts w:hint="cs"/>
          <w:rtl/>
          <w:lang w:val="fr-CH"/>
        </w:rPr>
        <w:t xml:space="preserve"> </w:t>
      </w:r>
      <w:r w:rsidRPr="0003234F">
        <w:rPr>
          <w:rFonts w:hint="cs"/>
          <w:rtl/>
        </w:rPr>
        <w:t>من الفرنكات السويسرية مستحقة على الإمارات العربية المتحدة التي سددت مساهم</w:t>
      </w:r>
      <w:r w:rsidR="00567037">
        <w:rPr>
          <w:rFonts w:hint="cs"/>
          <w:rtl/>
        </w:rPr>
        <w:t>تها لعام 2022</w:t>
      </w:r>
      <w:r w:rsidRPr="0003234F">
        <w:rPr>
          <w:rFonts w:hint="cs"/>
          <w:rtl/>
        </w:rPr>
        <w:t>.</w:t>
      </w:r>
    </w:p>
    <w:p w14:paraId="793E8989" w14:textId="7844FEB6" w:rsidR="0003234F" w:rsidRDefault="00D40D66" w:rsidP="00D40D66">
      <w:pPr>
        <w:pStyle w:val="enumlev1"/>
        <w:rPr>
          <w:rtl/>
        </w:rPr>
      </w:pPr>
      <w:r>
        <w:rPr>
          <w:rtl/>
        </w:rPr>
        <w:tab/>
      </w:r>
      <w:r w:rsidR="0003234F">
        <w:rPr>
          <w:rFonts w:hint="cs"/>
          <w:rtl/>
        </w:rPr>
        <w:t xml:space="preserve">ويبلغ إجمالي الفوائد على المتأخرات </w:t>
      </w:r>
      <w:r w:rsidR="0003234F">
        <w:rPr>
          <w:b/>
          <w:bCs/>
        </w:rPr>
        <w:t>760 744,30</w:t>
      </w:r>
      <w:r w:rsidR="0003234F">
        <w:rPr>
          <w:rtl/>
        </w:rPr>
        <w:t xml:space="preserve"> </w:t>
      </w:r>
      <w:r w:rsidR="0003234F">
        <w:rPr>
          <w:rFonts w:hint="cs"/>
          <w:b/>
          <w:bCs/>
          <w:rtl/>
        </w:rPr>
        <w:t>من الفرنكات السويسرية</w:t>
      </w:r>
      <w:r w:rsidR="0003234F">
        <w:rPr>
          <w:rFonts w:hint="cs"/>
          <w:rtl/>
        </w:rPr>
        <w:t>.</w:t>
      </w:r>
    </w:p>
    <w:p w14:paraId="6F2F4939" w14:textId="33CAB784" w:rsidR="0003234F" w:rsidRDefault="0003234F" w:rsidP="0003234F">
      <w:pPr>
        <w:keepNext/>
        <w:keepLines/>
        <w:rPr>
          <w:spacing w:val="-2"/>
          <w:rtl/>
        </w:rPr>
      </w:pPr>
      <w:r>
        <w:rPr>
          <w:lang w:bidi="ar-SY"/>
        </w:rPr>
        <w:t>3.3</w:t>
      </w:r>
      <w:r>
        <w:rPr>
          <w:rFonts w:hint="cs"/>
          <w:rtl/>
        </w:rPr>
        <w:tab/>
      </w:r>
      <w:r w:rsidR="00567037">
        <w:rPr>
          <w:rFonts w:hint="cs"/>
          <w:rtl/>
        </w:rPr>
        <w:t xml:space="preserve">ويبين الجدول أدناه </w:t>
      </w:r>
      <w:r>
        <w:rPr>
          <w:rFonts w:hint="cs"/>
          <w:spacing w:val="-2"/>
          <w:rtl/>
        </w:rPr>
        <w:t xml:space="preserve">المبالغ المستحقة على </w:t>
      </w:r>
      <w:r w:rsidR="00567037">
        <w:rPr>
          <w:rFonts w:hint="cs"/>
          <w:spacing w:val="-2"/>
          <w:rtl/>
        </w:rPr>
        <w:t>المنظمات</w:t>
      </w:r>
      <w:r>
        <w:rPr>
          <w:rFonts w:hint="cs"/>
          <w:spacing w:val="-2"/>
          <w:rtl/>
        </w:rPr>
        <w:t xml:space="preserve"> </w:t>
      </w:r>
      <w:r w:rsidR="00567037">
        <w:rPr>
          <w:rFonts w:hint="cs"/>
          <w:spacing w:val="-2"/>
          <w:rtl/>
        </w:rPr>
        <w:t>التي</w:t>
      </w:r>
      <w:r>
        <w:rPr>
          <w:rFonts w:hint="cs"/>
          <w:spacing w:val="-2"/>
          <w:rtl/>
        </w:rPr>
        <w:t xml:space="preserve"> ينبغي اعتبار</w:t>
      </w:r>
      <w:r w:rsidR="00567037">
        <w:rPr>
          <w:rFonts w:hint="cs"/>
          <w:spacing w:val="-2"/>
          <w:rtl/>
        </w:rPr>
        <w:t xml:space="preserve"> ديونها</w:t>
      </w:r>
      <w:r>
        <w:rPr>
          <w:rFonts w:hint="cs"/>
          <w:spacing w:val="-2"/>
          <w:rtl/>
        </w:rPr>
        <w:t xml:space="preserve"> ديوناً غير قابلة للاسترداد. وتبيَّن حالتان بهذا الشأن:</w:t>
      </w:r>
    </w:p>
    <w:p w14:paraId="041904AD" w14:textId="08630172" w:rsidR="0003234F" w:rsidRDefault="0003234F" w:rsidP="00D40D66">
      <w:pPr>
        <w:pStyle w:val="enumlev1"/>
        <w:rPr>
          <w:rtl/>
        </w:rPr>
      </w:pPr>
      <w:r>
        <w:rPr>
          <w:rFonts w:hint="cs"/>
          <w:rtl/>
        </w:rPr>
        <w:t>-</w:t>
      </w:r>
      <w:r>
        <w:rPr>
          <w:rFonts w:hint="cs"/>
          <w:rtl/>
        </w:rPr>
        <w:tab/>
      </w:r>
      <w:r w:rsidR="00567037">
        <w:rPr>
          <w:rFonts w:hint="cs"/>
          <w:rtl/>
        </w:rPr>
        <w:t>منظمات</w:t>
      </w:r>
      <w:r>
        <w:rPr>
          <w:rFonts w:hint="cs"/>
          <w:rtl/>
        </w:rPr>
        <w:t xml:space="preserve"> استُنفدت بشأنها إجراءات الاسترداد؛</w:t>
      </w:r>
    </w:p>
    <w:p w14:paraId="4ED502CA" w14:textId="6D99DE9F" w:rsidR="0003234F" w:rsidRDefault="0003234F" w:rsidP="00D40D66">
      <w:pPr>
        <w:pStyle w:val="enumlev1"/>
        <w:rPr>
          <w:rtl/>
        </w:rPr>
      </w:pPr>
      <w:r>
        <w:rPr>
          <w:rFonts w:hint="cs"/>
          <w:rtl/>
        </w:rPr>
        <w:t>-</w:t>
      </w:r>
      <w:r>
        <w:rPr>
          <w:rFonts w:hint="cs"/>
          <w:rtl/>
        </w:rPr>
        <w:tab/>
      </w:r>
      <w:r w:rsidR="00567037">
        <w:rPr>
          <w:rFonts w:hint="cs"/>
          <w:rtl/>
        </w:rPr>
        <w:t>منظمات</w:t>
      </w:r>
      <w:r>
        <w:rPr>
          <w:rFonts w:hint="cs"/>
          <w:rtl/>
        </w:rPr>
        <w:t xml:space="preserve"> قيد التصفية القانونية وفقاً لما أفادت به الإدارات المعنية أو السلطات الوطنية المختصة.</w:t>
      </w:r>
    </w:p>
    <w:p w14:paraId="5CD8E416" w14:textId="74C6B3D3" w:rsidR="0003234F" w:rsidRDefault="00D40D66" w:rsidP="00500780">
      <w:pPr>
        <w:keepNext/>
        <w:spacing w:after="120"/>
        <w:rPr>
          <w:rtl/>
        </w:rPr>
      </w:pPr>
      <w:r>
        <w:rPr>
          <w:rtl/>
        </w:rPr>
        <w:lastRenderedPageBreak/>
        <w:tab/>
      </w:r>
      <w:r w:rsidR="0003234F">
        <w:rPr>
          <w:rFonts w:hint="cs"/>
          <w:rtl/>
        </w:rPr>
        <w:t xml:space="preserve">وفيما يلي </w:t>
      </w:r>
      <w:r w:rsidR="00567037">
        <w:rPr>
          <w:rFonts w:hint="cs"/>
          <w:rtl/>
        </w:rPr>
        <w:t>المنظمات</w:t>
      </w:r>
      <w:r w:rsidR="0003234F">
        <w:rPr>
          <w:rFonts w:hint="cs"/>
          <w:rtl/>
        </w:rPr>
        <w:t xml:space="preserve"> المعنية:</w:t>
      </w:r>
    </w:p>
    <w:tbl>
      <w:tblPr>
        <w:bidiVisual/>
        <w:tblW w:w="9492" w:type="dxa"/>
        <w:jc w:val="center"/>
        <w:tblLook w:val="04A0" w:firstRow="1" w:lastRow="0" w:firstColumn="1" w:lastColumn="0" w:noHBand="0" w:noVBand="1"/>
      </w:tblPr>
      <w:tblGrid>
        <w:gridCol w:w="2154"/>
        <w:gridCol w:w="5660"/>
        <w:gridCol w:w="1678"/>
      </w:tblGrid>
      <w:tr w:rsidR="0003234F" w:rsidRPr="004A5572" w14:paraId="097D91D1" w14:textId="77777777" w:rsidTr="00D40D66">
        <w:trPr>
          <w:trHeight w:val="288"/>
          <w:jc w:val="center"/>
        </w:trPr>
        <w:tc>
          <w:tcPr>
            <w:tcW w:w="2154" w:type="dxa"/>
            <w:tcBorders>
              <w:top w:val="single" w:sz="8" w:space="0" w:color="auto"/>
              <w:left w:val="single" w:sz="4" w:space="0" w:color="auto"/>
              <w:bottom w:val="nil"/>
              <w:right w:val="single" w:sz="4" w:space="0" w:color="auto"/>
            </w:tcBorders>
            <w:shd w:val="clear" w:color="auto" w:fill="C0C0C0"/>
            <w:noWrap/>
            <w:vAlign w:val="center"/>
            <w:hideMark/>
          </w:tcPr>
          <w:p w14:paraId="07B2FEA1" w14:textId="77777777" w:rsidR="0003234F" w:rsidRPr="004A5572" w:rsidRDefault="0003234F" w:rsidP="00D40D66">
            <w:pPr>
              <w:keepNext/>
              <w:spacing w:before="40" w:after="40" w:line="260" w:lineRule="exact"/>
              <w:jc w:val="center"/>
              <w:rPr>
                <w:b/>
                <w:bCs/>
                <w:color w:val="000000"/>
                <w:sz w:val="18"/>
                <w:szCs w:val="18"/>
                <w:rtl/>
                <w:lang w:eastAsia="en-GB"/>
              </w:rPr>
            </w:pPr>
            <w:r w:rsidRPr="004A5572">
              <w:rPr>
                <w:rFonts w:hint="cs"/>
                <w:b/>
                <w:bCs/>
                <w:sz w:val="18"/>
                <w:szCs w:val="18"/>
                <w:rtl/>
              </w:rPr>
              <w:t>البلد</w:t>
            </w:r>
          </w:p>
        </w:tc>
        <w:tc>
          <w:tcPr>
            <w:tcW w:w="5660" w:type="dxa"/>
            <w:tcBorders>
              <w:top w:val="single" w:sz="8" w:space="0" w:color="auto"/>
              <w:left w:val="nil"/>
              <w:bottom w:val="nil"/>
              <w:right w:val="single" w:sz="4" w:space="0" w:color="auto"/>
            </w:tcBorders>
            <w:shd w:val="clear" w:color="auto" w:fill="C0C0C0"/>
            <w:noWrap/>
            <w:hideMark/>
          </w:tcPr>
          <w:p w14:paraId="78DF29C5" w14:textId="0E98F621" w:rsidR="0003234F" w:rsidRPr="004A5572" w:rsidRDefault="00567037" w:rsidP="00D40D66">
            <w:pPr>
              <w:keepNext/>
              <w:spacing w:before="40" w:after="40" w:line="260" w:lineRule="exact"/>
              <w:jc w:val="center"/>
              <w:rPr>
                <w:b/>
                <w:bCs/>
                <w:color w:val="000000"/>
                <w:sz w:val="18"/>
                <w:szCs w:val="18"/>
                <w:lang w:eastAsia="en-GB" w:bidi="ar-EG"/>
              </w:rPr>
            </w:pPr>
            <w:r w:rsidRPr="004A5572">
              <w:rPr>
                <w:rFonts w:hint="cs"/>
                <w:b/>
                <w:bCs/>
                <w:sz w:val="18"/>
                <w:szCs w:val="18"/>
                <w:rtl/>
              </w:rPr>
              <w:t>المنظمة</w:t>
            </w:r>
          </w:p>
        </w:tc>
        <w:tc>
          <w:tcPr>
            <w:tcW w:w="1678" w:type="dxa"/>
            <w:tcBorders>
              <w:top w:val="single" w:sz="8" w:space="0" w:color="auto"/>
              <w:left w:val="nil"/>
              <w:bottom w:val="nil"/>
              <w:right w:val="single" w:sz="4" w:space="0" w:color="auto"/>
            </w:tcBorders>
            <w:shd w:val="clear" w:color="auto" w:fill="C0C0C0"/>
            <w:noWrap/>
            <w:vAlign w:val="center"/>
            <w:hideMark/>
          </w:tcPr>
          <w:p w14:paraId="24526F1E" w14:textId="77777777" w:rsidR="0003234F" w:rsidRPr="004A5572" w:rsidRDefault="0003234F" w:rsidP="00D40D66">
            <w:pPr>
              <w:keepNext/>
              <w:spacing w:before="40" w:after="40" w:line="260" w:lineRule="exact"/>
              <w:jc w:val="center"/>
              <w:rPr>
                <w:b/>
                <w:bCs/>
                <w:color w:val="000000"/>
                <w:sz w:val="18"/>
                <w:szCs w:val="18"/>
                <w:lang w:eastAsia="en-GB"/>
              </w:rPr>
            </w:pPr>
            <w:r w:rsidRPr="004A5572">
              <w:rPr>
                <w:rFonts w:hint="cs"/>
                <w:b/>
                <w:bCs/>
                <w:color w:val="000000"/>
                <w:sz w:val="18"/>
                <w:szCs w:val="18"/>
                <w:rtl/>
                <w:lang w:eastAsia="en-GB"/>
              </w:rPr>
              <w:t>السنة</w:t>
            </w:r>
          </w:p>
        </w:tc>
      </w:tr>
      <w:tr w:rsidR="0003234F" w:rsidRPr="004A5572" w14:paraId="08C37954" w14:textId="77777777" w:rsidTr="00D40D66">
        <w:trPr>
          <w:trHeight w:val="288"/>
          <w:jc w:val="center"/>
        </w:trPr>
        <w:tc>
          <w:tcPr>
            <w:tcW w:w="2154" w:type="dxa"/>
            <w:tcBorders>
              <w:top w:val="single" w:sz="4" w:space="0" w:color="auto"/>
              <w:left w:val="single" w:sz="4" w:space="0" w:color="auto"/>
              <w:bottom w:val="single" w:sz="4" w:space="0" w:color="auto"/>
              <w:right w:val="single" w:sz="4" w:space="0" w:color="auto"/>
            </w:tcBorders>
            <w:shd w:val="clear" w:color="auto" w:fill="FFFFFF"/>
            <w:hideMark/>
          </w:tcPr>
          <w:p w14:paraId="314FB014" w14:textId="29A5F52E" w:rsidR="0003234F" w:rsidRPr="004A5572" w:rsidRDefault="0003234F" w:rsidP="00D40D66">
            <w:pPr>
              <w:keepNext/>
              <w:spacing w:before="40" w:after="40" w:line="260" w:lineRule="exact"/>
              <w:jc w:val="left"/>
              <w:rPr>
                <w:sz w:val="18"/>
                <w:szCs w:val="18"/>
                <w:lang w:eastAsia="en-GB" w:bidi="ar-EG"/>
              </w:rPr>
            </w:pPr>
            <w:r w:rsidRPr="004A5572">
              <w:rPr>
                <w:rFonts w:hint="cs"/>
                <w:sz w:val="18"/>
                <w:szCs w:val="18"/>
                <w:rtl/>
                <w:lang w:eastAsia="en-GB" w:bidi="ar-EG"/>
              </w:rPr>
              <w:t>الجزائر</w:t>
            </w:r>
          </w:p>
        </w:tc>
        <w:tc>
          <w:tcPr>
            <w:tcW w:w="5660" w:type="dxa"/>
            <w:tcBorders>
              <w:top w:val="single" w:sz="4" w:space="0" w:color="auto"/>
              <w:left w:val="nil"/>
              <w:bottom w:val="single" w:sz="4" w:space="0" w:color="auto"/>
              <w:right w:val="single" w:sz="4" w:space="0" w:color="auto"/>
            </w:tcBorders>
            <w:shd w:val="clear" w:color="auto" w:fill="FFFFFF"/>
            <w:hideMark/>
          </w:tcPr>
          <w:p w14:paraId="5922CF19" w14:textId="75ED73C9" w:rsidR="0003234F" w:rsidRPr="004A5572" w:rsidRDefault="0003234F" w:rsidP="00D40D66">
            <w:pPr>
              <w:keepNext/>
              <w:bidi w:val="0"/>
              <w:spacing w:before="40" w:after="40" w:line="260" w:lineRule="exact"/>
              <w:jc w:val="left"/>
              <w:rPr>
                <w:sz w:val="18"/>
                <w:szCs w:val="18"/>
                <w:lang w:eastAsia="en-GB"/>
              </w:rPr>
            </w:pPr>
            <w:r w:rsidRPr="004A5572">
              <w:rPr>
                <w:sz w:val="18"/>
                <w:szCs w:val="18"/>
                <w:lang w:eastAsia="en-GB"/>
              </w:rPr>
              <w:t>INPTIC, Alger</w:t>
            </w:r>
          </w:p>
        </w:tc>
        <w:tc>
          <w:tcPr>
            <w:tcW w:w="1678" w:type="dxa"/>
            <w:tcBorders>
              <w:top w:val="single" w:sz="4" w:space="0" w:color="auto"/>
              <w:left w:val="nil"/>
              <w:bottom w:val="single" w:sz="4" w:space="0" w:color="auto"/>
              <w:right w:val="single" w:sz="4" w:space="0" w:color="auto"/>
            </w:tcBorders>
            <w:shd w:val="clear" w:color="auto" w:fill="FFFFFF"/>
            <w:hideMark/>
          </w:tcPr>
          <w:p w14:paraId="276FD823" w14:textId="32C2BCB0" w:rsidR="0003234F" w:rsidRPr="004A5572" w:rsidRDefault="0003234F" w:rsidP="00D40D66">
            <w:pPr>
              <w:keepNext/>
              <w:spacing w:before="40" w:after="40" w:line="260" w:lineRule="exact"/>
              <w:jc w:val="center"/>
              <w:rPr>
                <w:sz w:val="18"/>
                <w:szCs w:val="18"/>
                <w:rtl/>
                <w:lang w:eastAsia="en-GB" w:bidi="ar-EG"/>
              </w:rPr>
            </w:pPr>
            <w:r w:rsidRPr="004A5572">
              <w:rPr>
                <w:sz w:val="18"/>
                <w:szCs w:val="18"/>
                <w:lang w:eastAsia="en-GB"/>
              </w:rPr>
              <w:t>2013-2012</w:t>
            </w:r>
          </w:p>
        </w:tc>
      </w:tr>
      <w:tr w:rsidR="0003234F" w:rsidRPr="004A5572" w14:paraId="6E3F4192" w14:textId="77777777" w:rsidTr="00D40D66">
        <w:trPr>
          <w:trHeight w:val="288"/>
          <w:jc w:val="center"/>
        </w:trPr>
        <w:tc>
          <w:tcPr>
            <w:tcW w:w="2154" w:type="dxa"/>
            <w:tcBorders>
              <w:top w:val="single" w:sz="4" w:space="0" w:color="auto"/>
              <w:left w:val="single" w:sz="4" w:space="0" w:color="auto"/>
              <w:bottom w:val="single" w:sz="4" w:space="0" w:color="auto"/>
              <w:right w:val="single" w:sz="4" w:space="0" w:color="auto"/>
            </w:tcBorders>
            <w:shd w:val="clear" w:color="auto" w:fill="FFFFFF"/>
          </w:tcPr>
          <w:p w14:paraId="2902E729" w14:textId="4AA4FAA1" w:rsidR="0003234F" w:rsidRPr="004A5572" w:rsidRDefault="0003234F" w:rsidP="00D40D66">
            <w:pPr>
              <w:spacing w:before="40" w:after="40" w:line="260" w:lineRule="exact"/>
              <w:jc w:val="left"/>
              <w:rPr>
                <w:sz w:val="18"/>
                <w:szCs w:val="18"/>
                <w:rtl/>
                <w:lang w:eastAsia="en-GB" w:bidi="ar-EG"/>
              </w:rPr>
            </w:pPr>
            <w:r w:rsidRPr="004A5572">
              <w:rPr>
                <w:rFonts w:hint="cs"/>
                <w:sz w:val="18"/>
                <w:szCs w:val="18"/>
                <w:rtl/>
                <w:lang w:eastAsia="en-GB" w:bidi="ar-EG"/>
              </w:rPr>
              <w:t>كوت ديفوار</w:t>
            </w:r>
          </w:p>
        </w:tc>
        <w:tc>
          <w:tcPr>
            <w:tcW w:w="5660" w:type="dxa"/>
            <w:tcBorders>
              <w:top w:val="single" w:sz="4" w:space="0" w:color="auto"/>
              <w:left w:val="nil"/>
              <w:bottom w:val="single" w:sz="4" w:space="0" w:color="auto"/>
              <w:right w:val="single" w:sz="4" w:space="0" w:color="auto"/>
            </w:tcBorders>
            <w:shd w:val="clear" w:color="auto" w:fill="FFFFFF"/>
          </w:tcPr>
          <w:p w14:paraId="6F6AE430" w14:textId="4232D625" w:rsidR="0003234F" w:rsidRPr="004A5572" w:rsidRDefault="0003234F" w:rsidP="00D40D66">
            <w:pPr>
              <w:bidi w:val="0"/>
              <w:spacing w:before="40" w:after="40" w:line="260" w:lineRule="exact"/>
              <w:jc w:val="left"/>
              <w:rPr>
                <w:sz w:val="18"/>
                <w:szCs w:val="18"/>
                <w:lang w:val="fr-CH" w:eastAsia="en-GB"/>
              </w:rPr>
            </w:pPr>
            <w:r w:rsidRPr="004A5572">
              <w:rPr>
                <w:sz w:val="18"/>
                <w:szCs w:val="18"/>
                <w:lang w:val="fr-CH" w:eastAsia="en-GB"/>
              </w:rPr>
              <w:t>Association des Consommateurs de Télécommunications de Côte d'Ivoire - ACOTELCI, Abidjan</w:t>
            </w:r>
          </w:p>
        </w:tc>
        <w:tc>
          <w:tcPr>
            <w:tcW w:w="1678" w:type="dxa"/>
            <w:tcBorders>
              <w:top w:val="single" w:sz="4" w:space="0" w:color="auto"/>
              <w:left w:val="nil"/>
              <w:bottom w:val="single" w:sz="4" w:space="0" w:color="auto"/>
              <w:right w:val="single" w:sz="4" w:space="0" w:color="auto"/>
            </w:tcBorders>
            <w:shd w:val="clear" w:color="auto" w:fill="FFFFFF"/>
          </w:tcPr>
          <w:p w14:paraId="72C0EC89" w14:textId="0796BF0A" w:rsidR="0003234F" w:rsidRPr="004A5572" w:rsidRDefault="0003234F" w:rsidP="00D40D66">
            <w:pPr>
              <w:spacing w:before="40" w:after="40" w:line="260" w:lineRule="exact"/>
              <w:jc w:val="center"/>
              <w:rPr>
                <w:sz w:val="18"/>
                <w:szCs w:val="18"/>
                <w:lang w:eastAsia="en-GB"/>
              </w:rPr>
            </w:pPr>
            <w:r w:rsidRPr="004A5572">
              <w:rPr>
                <w:sz w:val="18"/>
                <w:szCs w:val="18"/>
                <w:lang w:eastAsia="en-GB"/>
              </w:rPr>
              <w:t>2008-2007</w:t>
            </w:r>
          </w:p>
        </w:tc>
      </w:tr>
      <w:tr w:rsidR="0003234F" w:rsidRPr="004A5572" w14:paraId="2A1FFD5B" w14:textId="77777777" w:rsidTr="00D40D66">
        <w:trPr>
          <w:trHeight w:val="288"/>
          <w:jc w:val="center"/>
        </w:trPr>
        <w:tc>
          <w:tcPr>
            <w:tcW w:w="2154" w:type="dxa"/>
            <w:tcBorders>
              <w:top w:val="single" w:sz="4" w:space="0" w:color="auto"/>
              <w:left w:val="single" w:sz="4" w:space="0" w:color="auto"/>
              <w:bottom w:val="single" w:sz="4" w:space="0" w:color="auto"/>
              <w:right w:val="single" w:sz="4" w:space="0" w:color="auto"/>
            </w:tcBorders>
            <w:shd w:val="clear" w:color="auto" w:fill="FFFFFF"/>
          </w:tcPr>
          <w:p w14:paraId="076BCA46" w14:textId="63AC8132" w:rsidR="0003234F" w:rsidRPr="004A5572" w:rsidRDefault="0003234F" w:rsidP="00D40D66">
            <w:pPr>
              <w:spacing w:before="40" w:after="40" w:line="260" w:lineRule="exact"/>
              <w:jc w:val="left"/>
              <w:rPr>
                <w:sz w:val="18"/>
                <w:szCs w:val="18"/>
                <w:rtl/>
                <w:lang w:eastAsia="en-GB" w:bidi="ar-EG"/>
              </w:rPr>
            </w:pPr>
            <w:r w:rsidRPr="004A5572">
              <w:rPr>
                <w:rFonts w:hint="cs"/>
                <w:sz w:val="18"/>
                <w:szCs w:val="18"/>
                <w:rtl/>
                <w:lang w:eastAsia="en-GB" w:bidi="ar-EG"/>
              </w:rPr>
              <w:t>كوت ديفوار</w:t>
            </w:r>
          </w:p>
        </w:tc>
        <w:tc>
          <w:tcPr>
            <w:tcW w:w="5660" w:type="dxa"/>
            <w:tcBorders>
              <w:top w:val="single" w:sz="4" w:space="0" w:color="auto"/>
              <w:left w:val="nil"/>
              <w:bottom w:val="single" w:sz="4" w:space="0" w:color="auto"/>
              <w:right w:val="single" w:sz="4" w:space="0" w:color="auto"/>
            </w:tcBorders>
            <w:shd w:val="clear" w:color="auto" w:fill="FFFFFF"/>
          </w:tcPr>
          <w:p w14:paraId="4D3B8917" w14:textId="334E2B60"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Côte d'Ivoire Telecom, Abidjan</w:t>
            </w:r>
          </w:p>
        </w:tc>
        <w:tc>
          <w:tcPr>
            <w:tcW w:w="1678" w:type="dxa"/>
            <w:tcBorders>
              <w:top w:val="single" w:sz="4" w:space="0" w:color="auto"/>
              <w:left w:val="nil"/>
              <w:bottom w:val="single" w:sz="4" w:space="0" w:color="auto"/>
              <w:right w:val="single" w:sz="4" w:space="0" w:color="auto"/>
            </w:tcBorders>
            <w:shd w:val="clear" w:color="auto" w:fill="FFFFFF"/>
          </w:tcPr>
          <w:p w14:paraId="000710E6" w14:textId="54D4AD33" w:rsidR="00D40D66" w:rsidRPr="004A5572" w:rsidRDefault="00D40D66" w:rsidP="00D40D66">
            <w:pPr>
              <w:spacing w:before="40" w:after="40" w:line="260" w:lineRule="exact"/>
              <w:jc w:val="center"/>
              <w:rPr>
                <w:sz w:val="18"/>
                <w:szCs w:val="18"/>
                <w:lang w:eastAsia="en-GB"/>
              </w:rPr>
            </w:pPr>
            <w:r w:rsidRPr="004A5572">
              <w:rPr>
                <w:sz w:val="18"/>
                <w:szCs w:val="18"/>
                <w:lang w:eastAsia="en-GB"/>
              </w:rPr>
              <w:t>2022-2006</w:t>
            </w:r>
          </w:p>
        </w:tc>
      </w:tr>
      <w:tr w:rsidR="0003234F" w:rsidRPr="004A5572" w14:paraId="08A0BEA7" w14:textId="77777777" w:rsidTr="00D40D66">
        <w:trPr>
          <w:trHeight w:val="288"/>
          <w:jc w:val="center"/>
        </w:trPr>
        <w:tc>
          <w:tcPr>
            <w:tcW w:w="2154" w:type="dxa"/>
            <w:tcBorders>
              <w:top w:val="single" w:sz="4" w:space="0" w:color="auto"/>
              <w:left w:val="single" w:sz="4" w:space="0" w:color="auto"/>
              <w:bottom w:val="single" w:sz="4" w:space="0" w:color="auto"/>
              <w:right w:val="single" w:sz="4" w:space="0" w:color="auto"/>
            </w:tcBorders>
            <w:shd w:val="clear" w:color="auto" w:fill="FFFFFF"/>
          </w:tcPr>
          <w:p w14:paraId="3AF9D4C5" w14:textId="1E8B025F" w:rsidR="0003234F" w:rsidRPr="004A5572" w:rsidRDefault="0003234F" w:rsidP="00D40D66">
            <w:pPr>
              <w:spacing w:before="40" w:after="40" w:line="260" w:lineRule="exact"/>
              <w:jc w:val="left"/>
              <w:rPr>
                <w:sz w:val="18"/>
                <w:szCs w:val="18"/>
                <w:rtl/>
                <w:lang w:eastAsia="en-GB" w:bidi="ar-EG"/>
              </w:rPr>
            </w:pPr>
            <w:r w:rsidRPr="004A5572">
              <w:rPr>
                <w:rFonts w:hint="cs"/>
                <w:sz w:val="18"/>
                <w:szCs w:val="18"/>
                <w:rtl/>
                <w:lang w:eastAsia="en-GB" w:bidi="ar-EG"/>
              </w:rPr>
              <w:t>فيجي</w:t>
            </w:r>
          </w:p>
        </w:tc>
        <w:tc>
          <w:tcPr>
            <w:tcW w:w="5660" w:type="dxa"/>
            <w:tcBorders>
              <w:top w:val="single" w:sz="4" w:space="0" w:color="auto"/>
              <w:left w:val="nil"/>
              <w:bottom w:val="single" w:sz="4" w:space="0" w:color="auto"/>
              <w:right w:val="single" w:sz="4" w:space="0" w:color="auto"/>
            </w:tcBorders>
            <w:shd w:val="clear" w:color="auto" w:fill="FFFFFF"/>
          </w:tcPr>
          <w:p w14:paraId="1D645A6B" w14:textId="58E2C4DC"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South Pacific Commission, Suva</w:t>
            </w:r>
          </w:p>
        </w:tc>
        <w:tc>
          <w:tcPr>
            <w:tcW w:w="1678" w:type="dxa"/>
            <w:tcBorders>
              <w:top w:val="single" w:sz="4" w:space="0" w:color="auto"/>
              <w:left w:val="nil"/>
              <w:bottom w:val="single" w:sz="4" w:space="0" w:color="auto"/>
              <w:right w:val="single" w:sz="4" w:space="0" w:color="auto"/>
            </w:tcBorders>
            <w:shd w:val="clear" w:color="auto" w:fill="FFFFFF"/>
          </w:tcPr>
          <w:p w14:paraId="2DED6DF9" w14:textId="6F390E31" w:rsidR="0003234F" w:rsidRPr="004A5572" w:rsidRDefault="0003234F" w:rsidP="00D40D66">
            <w:pPr>
              <w:spacing w:before="40" w:after="40" w:line="260" w:lineRule="exact"/>
              <w:jc w:val="center"/>
              <w:rPr>
                <w:sz w:val="18"/>
                <w:szCs w:val="18"/>
                <w:rtl/>
                <w:lang w:eastAsia="en-GB" w:bidi="ar-EG"/>
              </w:rPr>
            </w:pPr>
            <w:r w:rsidRPr="004A5572">
              <w:rPr>
                <w:sz w:val="18"/>
                <w:szCs w:val="18"/>
                <w:lang w:eastAsia="en-GB"/>
              </w:rPr>
              <w:t>2013-2012</w:t>
            </w:r>
          </w:p>
        </w:tc>
      </w:tr>
      <w:tr w:rsidR="0003234F" w:rsidRPr="004A5572" w14:paraId="1921A83E" w14:textId="77777777" w:rsidTr="00D40D66">
        <w:trPr>
          <w:trHeight w:val="288"/>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4E125159" w14:textId="606AEFED" w:rsidR="0003234F" w:rsidRPr="004A5572" w:rsidRDefault="0003234F" w:rsidP="00D40D66">
            <w:pPr>
              <w:spacing w:before="40" w:after="40" w:line="260" w:lineRule="exact"/>
              <w:jc w:val="left"/>
              <w:rPr>
                <w:color w:val="000000"/>
                <w:sz w:val="18"/>
                <w:szCs w:val="18"/>
                <w:lang w:eastAsia="en-GB"/>
              </w:rPr>
            </w:pPr>
            <w:r w:rsidRPr="004A5572">
              <w:rPr>
                <w:rFonts w:hint="cs"/>
                <w:color w:val="000000"/>
                <w:sz w:val="18"/>
                <w:szCs w:val="18"/>
                <w:rtl/>
                <w:lang w:eastAsia="en-GB"/>
              </w:rPr>
              <w:t>فنلندا</w:t>
            </w:r>
          </w:p>
        </w:tc>
        <w:tc>
          <w:tcPr>
            <w:tcW w:w="5660" w:type="dxa"/>
            <w:tcBorders>
              <w:top w:val="nil"/>
              <w:left w:val="nil"/>
              <w:bottom w:val="single" w:sz="4" w:space="0" w:color="auto"/>
              <w:right w:val="single" w:sz="4" w:space="0" w:color="auto"/>
            </w:tcBorders>
            <w:shd w:val="clear" w:color="auto" w:fill="FFFFFF"/>
            <w:hideMark/>
          </w:tcPr>
          <w:p w14:paraId="2FC7A843" w14:textId="200F6B1C" w:rsidR="0003234F" w:rsidRPr="004A5572" w:rsidRDefault="0003234F" w:rsidP="00D40D66">
            <w:pPr>
              <w:bidi w:val="0"/>
              <w:spacing w:before="40" w:after="40" w:line="260" w:lineRule="exact"/>
              <w:jc w:val="left"/>
              <w:rPr>
                <w:color w:val="000000"/>
                <w:sz w:val="18"/>
                <w:szCs w:val="18"/>
                <w:lang w:val="en-GB" w:eastAsia="en-GB"/>
              </w:rPr>
            </w:pPr>
            <w:r w:rsidRPr="004A5572">
              <w:rPr>
                <w:sz w:val="18"/>
                <w:szCs w:val="18"/>
                <w:lang w:eastAsia="en-GB"/>
              </w:rPr>
              <w:t xml:space="preserve">Octagon Telecom Oy (former Oy </w:t>
            </w:r>
            <w:proofErr w:type="spellStart"/>
            <w:r w:rsidRPr="004A5572">
              <w:rPr>
                <w:sz w:val="18"/>
                <w:szCs w:val="18"/>
                <w:lang w:eastAsia="en-GB"/>
              </w:rPr>
              <w:t>Cubio</w:t>
            </w:r>
            <w:proofErr w:type="spellEnd"/>
            <w:r w:rsidRPr="004A5572">
              <w:rPr>
                <w:sz w:val="18"/>
                <w:szCs w:val="18"/>
                <w:lang w:eastAsia="en-GB"/>
              </w:rPr>
              <w:t xml:space="preserve"> Communications Ltd.), Helsinki</w:t>
            </w:r>
          </w:p>
        </w:tc>
        <w:tc>
          <w:tcPr>
            <w:tcW w:w="1678" w:type="dxa"/>
            <w:tcBorders>
              <w:top w:val="nil"/>
              <w:left w:val="nil"/>
              <w:bottom w:val="single" w:sz="4" w:space="0" w:color="auto"/>
              <w:right w:val="single" w:sz="4" w:space="0" w:color="auto"/>
            </w:tcBorders>
            <w:shd w:val="clear" w:color="auto" w:fill="FFFFFF"/>
            <w:hideMark/>
          </w:tcPr>
          <w:p w14:paraId="198EDF85" w14:textId="7EEF0D42" w:rsidR="0003234F" w:rsidRPr="004A5572" w:rsidRDefault="0003234F" w:rsidP="00D40D66">
            <w:pPr>
              <w:spacing w:before="40" w:after="40" w:line="260" w:lineRule="exact"/>
              <w:jc w:val="center"/>
              <w:rPr>
                <w:color w:val="000000"/>
                <w:sz w:val="18"/>
                <w:szCs w:val="18"/>
                <w:lang w:eastAsia="en-GB"/>
              </w:rPr>
            </w:pPr>
            <w:r w:rsidRPr="004A5572">
              <w:rPr>
                <w:sz w:val="18"/>
                <w:szCs w:val="18"/>
                <w:lang w:eastAsia="en-GB"/>
              </w:rPr>
              <w:t>2013-2012</w:t>
            </w:r>
          </w:p>
        </w:tc>
      </w:tr>
      <w:tr w:rsidR="0003234F" w:rsidRPr="004A5572" w14:paraId="6B9CD7C0" w14:textId="77777777" w:rsidTr="00D40D66">
        <w:trPr>
          <w:trHeight w:val="288"/>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4A8ED8AF"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الهند</w:t>
            </w:r>
          </w:p>
        </w:tc>
        <w:tc>
          <w:tcPr>
            <w:tcW w:w="5660" w:type="dxa"/>
            <w:tcBorders>
              <w:top w:val="nil"/>
              <w:left w:val="nil"/>
              <w:bottom w:val="single" w:sz="4" w:space="0" w:color="auto"/>
              <w:right w:val="single" w:sz="4" w:space="0" w:color="auto"/>
            </w:tcBorders>
            <w:shd w:val="clear" w:color="auto" w:fill="FFFFFF"/>
            <w:hideMark/>
          </w:tcPr>
          <w:p w14:paraId="651B815F" w14:textId="4583A2DB"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Tata Communications, New Delhi</w:t>
            </w:r>
          </w:p>
        </w:tc>
        <w:tc>
          <w:tcPr>
            <w:tcW w:w="1678" w:type="dxa"/>
            <w:tcBorders>
              <w:top w:val="nil"/>
              <w:left w:val="nil"/>
              <w:bottom w:val="single" w:sz="4" w:space="0" w:color="auto"/>
              <w:right w:val="single" w:sz="4" w:space="0" w:color="auto"/>
            </w:tcBorders>
            <w:shd w:val="clear" w:color="auto" w:fill="FFFFFF"/>
            <w:hideMark/>
          </w:tcPr>
          <w:p w14:paraId="6B3F0482" w14:textId="0FA81341" w:rsidR="0003234F" w:rsidRPr="004A5572" w:rsidRDefault="0003234F" w:rsidP="00D40D66">
            <w:pPr>
              <w:spacing w:before="40" w:after="40" w:line="260" w:lineRule="exact"/>
              <w:jc w:val="center"/>
              <w:rPr>
                <w:sz w:val="18"/>
                <w:szCs w:val="18"/>
                <w:lang w:eastAsia="en-GB"/>
              </w:rPr>
            </w:pPr>
            <w:r w:rsidRPr="004A5572">
              <w:rPr>
                <w:rFonts w:hint="cs"/>
                <w:sz w:val="18"/>
                <w:szCs w:val="18"/>
                <w:rtl/>
                <w:lang w:eastAsia="en-GB"/>
              </w:rPr>
              <w:t>2013</w:t>
            </w:r>
          </w:p>
        </w:tc>
      </w:tr>
      <w:tr w:rsidR="0003234F" w:rsidRPr="004A5572" w14:paraId="5794CADD" w14:textId="77777777" w:rsidTr="00D40D66">
        <w:trPr>
          <w:trHeight w:val="288"/>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7B0DC992"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الهند</w:t>
            </w:r>
          </w:p>
        </w:tc>
        <w:tc>
          <w:tcPr>
            <w:tcW w:w="5660" w:type="dxa"/>
            <w:tcBorders>
              <w:top w:val="nil"/>
              <w:left w:val="nil"/>
              <w:bottom w:val="single" w:sz="4" w:space="0" w:color="auto"/>
              <w:right w:val="single" w:sz="4" w:space="0" w:color="auto"/>
            </w:tcBorders>
            <w:shd w:val="clear" w:color="auto" w:fill="FFFFFF"/>
            <w:hideMark/>
          </w:tcPr>
          <w:p w14:paraId="5AFAEABC" w14:textId="61012322" w:rsidR="0003234F" w:rsidRPr="004A5572" w:rsidRDefault="0003234F" w:rsidP="00D40D66">
            <w:pPr>
              <w:bidi w:val="0"/>
              <w:spacing w:before="40" w:after="40" w:line="260" w:lineRule="exact"/>
              <w:jc w:val="left"/>
              <w:rPr>
                <w:sz w:val="18"/>
                <w:szCs w:val="18"/>
                <w:lang w:val="fr-CH" w:eastAsia="en-GB"/>
              </w:rPr>
            </w:pPr>
            <w:r w:rsidRPr="004A5572">
              <w:rPr>
                <w:sz w:val="18"/>
                <w:szCs w:val="18"/>
                <w:lang w:eastAsia="en-GB"/>
              </w:rPr>
              <w:t xml:space="preserve">Vihaan </w:t>
            </w:r>
            <w:proofErr w:type="spellStart"/>
            <w:r w:rsidRPr="004A5572">
              <w:rPr>
                <w:sz w:val="18"/>
                <w:szCs w:val="18"/>
                <w:lang w:eastAsia="en-GB"/>
              </w:rPr>
              <w:t>Ntwks</w:t>
            </w:r>
            <w:proofErr w:type="spellEnd"/>
            <w:r w:rsidRPr="004A5572">
              <w:rPr>
                <w:sz w:val="18"/>
                <w:szCs w:val="18"/>
                <w:lang w:eastAsia="en-GB"/>
              </w:rPr>
              <w:t>. Ltd., Gurgaon</w:t>
            </w:r>
          </w:p>
        </w:tc>
        <w:tc>
          <w:tcPr>
            <w:tcW w:w="1678" w:type="dxa"/>
            <w:tcBorders>
              <w:top w:val="nil"/>
              <w:left w:val="nil"/>
              <w:bottom w:val="single" w:sz="4" w:space="0" w:color="auto"/>
              <w:right w:val="single" w:sz="4" w:space="0" w:color="auto"/>
            </w:tcBorders>
            <w:shd w:val="clear" w:color="auto" w:fill="FFFFFF"/>
            <w:hideMark/>
          </w:tcPr>
          <w:p w14:paraId="670C2282" w14:textId="1DF98EAB" w:rsidR="0003234F" w:rsidRPr="004A5572" w:rsidRDefault="0003234F" w:rsidP="00D40D66">
            <w:pPr>
              <w:spacing w:before="40" w:after="40" w:line="260" w:lineRule="exact"/>
              <w:jc w:val="center"/>
              <w:rPr>
                <w:sz w:val="18"/>
                <w:szCs w:val="18"/>
                <w:lang w:eastAsia="en-GB"/>
              </w:rPr>
            </w:pPr>
            <w:r w:rsidRPr="004A5572">
              <w:rPr>
                <w:rFonts w:hint="cs"/>
                <w:sz w:val="18"/>
                <w:szCs w:val="18"/>
                <w:rtl/>
                <w:lang w:eastAsia="en-GB"/>
              </w:rPr>
              <w:t>2013</w:t>
            </w:r>
          </w:p>
        </w:tc>
      </w:tr>
      <w:tr w:rsidR="0003234F" w:rsidRPr="004A5572" w14:paraId="10DF477B" w14:textId="77777777" w:rsidTr="00D40D66">
        <w:trPr>
          <w:trHeight w:val="288"/>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023760DF" w14:textId="182C40D6"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المكسيك</w:t>
            </w:r>
          </w:p>
        </w:tc>
        <w:tc>
          <w:tcPr>
            <w:tcW w:w="5660" w:type="dxa"/>
            <w:tcBorders>
              <w:top w:val="nil"/>
              <w:left w:val="nil"/>
              <w:bottom w:val="single" w:sz="4" w:space="0" w:color="auto"/>
              <w:right w:val="single" w:sz="4" w:space="0" w:color="auto"/>
            </w:tcBorders>
            <w:shd w:val="clear" w:color="auto" w:fill="FFFFFF"/>
            <w:hideMark/>
          </w:tcPr>
          <w:p w14:paraId="218C03A9" w14:textId="152ABC7F"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CANITEC, Mexico City</w:t>
            </w:r>
          </w:p>
        </w:tc>
        <w:tc>
          <w:tcPr>
            <w:tcW w:w="1678" w:type="dxa"/>
            <w:tcBorders>
              <w:top w:val="nil"/>
              <w:left w:val="nil"/>
              <w:bottom w:val="single" w:sz="4" w:space="0" w:color="auto"/>
              <w:right w:val="single" w:sz="4" w:space="0" w:color="auto"/>
            </w:tcBorders>
            <w:shd w:val="clear" w:color="auto" w:fill="FFFFFF"/>
            <w:hideMark/>
          </w:tcPr>
          <w:p w14:paraId="13752A2A" w14:textId="0BF33AE0" w:rsidR="0003234F" w:rsidRPr="004A5572" w:rsidRDefault="0003234F" w:rsidP="00D40D66">
            <w:pPr>
              <w:spacing w:before="40" w:after="40" w:line="260" w:lineRule="exact"/>
              <w:jc w:val="center"/>
              <w:rPr>
                <w:sz w:val="18"/>
                <w:szCs w:val="18"/>
                <w:lang w:eastAsia="en-GB"/>
              </w:rPr>
            </w:pPr>
            <w:r w:rsidRPr="004A5572">
              <w:rPr>
                <w:sz w:val="18"/>
                <w:szCs w:val="18"/>
                <w:lang w:eastAsia="en-GB"/>
              </w:rPr>
              <w:t>2013-2011</w:t>
            </w:r>
          </w:p>
        </w:tc>
      </w:tr>
      <w:tr w:rsidR="0003234F" w:rsidRPr="004A5572" w14:paraId="23AF8365" w14:textId="77777777" w:rsidTr="00D40D66">
        <w:trPr>
          <w:trHeight w:val="288"/>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60C5F254" w14:textId="1A13F7EF"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باكستان</w:t>
            </w:r>
          </w:p>
        </w:tc>
        <w:tc>
          <w:tcPr>
            <w:tcW w:w="5660" w:type="dxa"/>
            <w:tcBorders>
              <w:top w:val="nil"/>
              <w:left w:val="nil"/>
              <w:bottom w:val="single" w:sz="4" w:space="0" w:color="auto"/>
              <w:right w:val="single" w:sz="4" w:space="0" w:color="auto"/>
            </w:tcBorders>
            <w:shd w:val="clear" w:color="auto" w:fill="FFFFFF"/>
            <w:hideMark/>
          </w:tcPr>
          <w:p w14:paraId="24EE66A5" w14:textId="1CBB0D35"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e Worldwide Group, Islamabad</w:t>
            </w:r>
          </w:p>
        </w:tc>
        <w:tc>
          <w:tcPr>
            <w:tcW w:w="1678" w:type="dxa"/>
            <w:tcBorders>
              <w:top w:val="nil"/>
              <w:left w:val="nil"/>
              <w:bottom w:val="single" w:sz="4" w:space="0" w:color="auto"/>
              <w:right w:val="single" w:sz="4" w:space="0" w:color="auto"/>
            </w:tcBorders>
            <w:shd w:val="clear" w:color="auto" w:fill="FFFFFF"/>
            <w:hideMark/>
          </w:tcPr>
          <w:p w14:paraId="68E49185" w14:textId="438CF174" w:rsidR="0003234F" w:rsidRPr="004A5572" w:rsidRDefault="0003234F" w:rsidP="00D40D66">
            <w:pPr>
              <w:spacing w:before="40" w:after="40" w:line="260" w:lineRule="exact"/>
              <w:jc w:val="center"/>
              <w:rPr>
                <w:sz w:val="18"/>
                <w:szCs w:val="18"/>
                <w:lang w:eastAsia="en-GB"/>
              </w:rPr>
            </w:pPr>
            <w:r w:rsidRPr="004A5572">
              <w:rPr>
                <w:sz w:val="18"/>
                <w:szCs w:val="18"/>
                <w:lang w:eastAsia="en-GB"/>
              </w:rPr>
              <w:t>2013-2011</w:t>
            </w:r>
          </w:p>
        </w:tc>
      </w:tr>
      <w:tr w:rsidR="0003234F" w:rsidRPr="004A5572" w14:paraId="3F15E49D" w14:textId="77777777" w:rsidTr="00D40D66">
        <w:trPr>
          <w:trHeight w:val="288"/>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1F5078A2" w14:textId="074862E3"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السودان</w:t>
            </w:r>
          </w:p>
        </w:tc>
        <w:tc>
          <w:tcPr>
            <w:tcW w:w="5660" w:type="dxa"/>
            <w:tcBorders>
              <w:top w:val="nil"/>
              <w:left w:val="nil"/>
              <w:bottom w:val="single" w:sz="4" w:space="0" w:color="auto"/>
              <w:right w:val="single" w:sz="4" w:space="0" w:color="auto"/>
            </w:tcBorders>
            <w:shd w:val="clear" w:color="auto" w:fill="FFFFFF"/>
            <w:hideMark/>
          </w:tcPr>
          <w:p w14:paraId="6D30A881" w14:textId="5E2B8CF2"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Open University of Sudan, Khartoum</w:t>
            </w:r>
          </w:p>
        </w:tc>
        <w:tc>
          <w:tcPr>
            <w:tcW w:w="1678" w:type="dxa"/>
            <w:tcBorders>
              <w:top w:val="nil"/>
              <w:left w:val="nil"/>
              <w:bottom w:val="single" w:sz="4" w:space="0" w:color="auto"/>
              <w:right w:val="single" w:sz="4" w:space="0" w:color="auto"/>
            </w:tcBorders>
            <w:shd w:val="clear" w:color="auto" w:fill="FFFFFF"/>
            <w:hideMark/>
          </w:tcPr>
          <w:p w14:paraId="7EBD4BE7" w14:textId="0B3A1418" w:rsidR="0003234F" w:rsidRPr="004A5572" w:rsidRDefault="00624673" w:rsidP="00D40D66">
            <w:pPr>
              <w:spacing w:before="40" w:after="40" w:line="260" w:lineRule="exact"/>
              <w:jc w:val="center"/>
              <w:rPr>
                <w:sz w:val="18"/>
                <w:szCs w:val="18"/>
                <w:lang w:eastAsia="en-GB"/>
              </w:rPr>
            </w:pPr>
            <w:r w:rsidRPr="004A5572">
              <w:rPr>
                <w:sz w:val="18"/>
                <w:szCs w:val="18"/>
                <w:lang w:eastAsia="en-GB"/>
              </w:rPr>
              <w:t>2014</w:t>
            </w:r>
            <w:r w:rsidR="0003234F" w:rsidRPr="004A5572">
              <w:rPr>
                <w:sz w:val="18"/>
                <w:szCs w:val="18"/>
                <w:lang w:eastAsia="en-GB"/>
              </w:rPr>
              <w:t>-</w:t>
            </w:r>
            <w:r w:rsidRPr="004A5572">
              <w:rPr>
                <w:sz w:val="18"/>
                <w:szCs w:val="18"/>
                <w:lang w:eastAsia="en-GB"/>
              </w:rPr>
              <w:t>2013</w:t>
            </w:r>
          </w:p>
        </w:tc>
      </w:tr>
      <w:tr w:rsidR="0003234F" w:rsidRPr="004A5572" w14:paraId="79CCEE6C" w14:textId="77777777" w:rsidTr="00D40D66">
        <w:trPr>
          <w:trHeight w:val="315"/>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21F30A4D"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تونس</w:t>
            </w:r>
          </w:p>
        </w:tc>
        <w:tc>
          <w:tcPr>
            <w:tcW w:w="5660" w:type="dxa"/>
            <w:tcBorders>
              <w:top w:val="nil"/>
              <w:left w:val="nil"/>
              <w:bottom w:val="single" w:sz="4" w:space="0" w:color="auto"/>
              <w:right w:val="single" w:sz="4" w:space="0" w:color="auto"/>
            </w:tcBorders>
            <w:shd w:val="clear" w:color="auto" w:fill="FFFFFF"/>
            <w:hideMark/>
          </w:tcPr>
          <w:p w14:paraId="03DEEF0A" w14:textId="381CE2E6" w:rsidR="0003234F" w:rsidRPr="004A5572" w:rsidRDefault="0003234F" w:rsidP="00D40D66">
            <w:pPr>
              <w:bidi w:val="0"/>
              <w:spacing w:before="40" w:after="40" w:line="260" w:lineRule="exact"/>
              <w:jc w:val="left"/>
              <w:rPr>
                <w:sz w:val="18"/>
                <w:szCs w:val="18"/>
                <w:lang w:val="en-GB" w:eastAsia="en-GB"/>
              </w:rPr>
            </w:pPr>
            <w:r w:rsidRPr="004A5572">
              <w:rPr>
                <w:sz w:val="18"/>
                <w:szCs w:val="18"/>
                <w:lang w:eastAsia="en-GB"/>
              </w:rPr>
              <w:t xml:space="preserve">Orascom Telecom </w:t>
            </w:r>
            <w:proofErr w:type="spellStart"/>
            <w:r w:rsidRPr="004A5572">
              <w:rPr>
                <w:sz w:val="18"/>
                <w:szCs w:val="18"/>
                <w:lang w:eastAsia="en-GB"/>
              </w:rPr>
              <w:t>Tunisiana</w:t>
            </w:r>
            <w:proofErr w:type="spellEnd"/>
            <w:r w:rsidRPr="004A5572">
              <w:rPr>
                <w:sz w:val="18"/>
                <w:szCs w:val="18"/>
                <w:lang w:eastAsia="en-GB"/>
              </w:rPr>
              <w:t>, Tunis Carthage</w:t>
            </w:r>
          </w:p>
        </w:tc>
        <w:tc>
          <w:tcPr>
            <w:tcW w:w="1678" w:type="dxa"/>
            <w:tcBorders>
              <w:top w:val="nil"/>
              <w:left w:val="nil"/>
              <w:bottom w:val="single" w:sz="4" w:space="0" w:color="auto"/>
              <w:right w:val="single" w:sz="4" w:space="0" w:color="auto"/>
            </w:tcBorders>
            <w:shd w:val="clear" w:color="auto" w:fill="FFFFFF"/>
            <w:hideMark/>
          </w:tcPr>
          <w:p w14:paraId="1A84F58D" w14:textId="670F265C" w:rsidR="0003234F" w:rsidRPr="004A5572" w:rsidRDefault="0003234F" w:rsidP="00D40D66">
            <w:pPr>
              <w:spacing w:before="40" w:after="40" w:line="260" w:lineRule="exact"/>
              <w:jc w:val="center"/>
              <w:rPr>
                <w:sz w:val="18"/>
                <w:szCs w:val="18"/>
                <w:lang w:eastAsia="en-GB"/>
              </w:rPr>
            </w:pPr>
            <w:r w:rsidRPr="004A5572">
              <w:rPr>
                <w:rFonts w:hint="cs"/>
                <w:sz w:val="18"/>
                <w:szCs w:val="18"/>
                <w:rtl/>
                <w:lang w:eastAsia="en-GB"/>
              </w:rPr>
              <w:t>2013</w:t>
            </w:r>
          </w:p>
        </w:tc>
      </w:tr>
      <w:tr w:rsidR="0003234F" w:rsidRPr="004A5572" w14:paraId="5A1ADAB6" w14:textId="77777777" w:rsidTr="00D40D66">
        <w:trPr>
          <w:trHeight w:val="315"/>
          <w:jc w:val="center"/>
        </w:trPr>
        <w:tc>
          <w:tcPr>
            <w:tcW w:w="2154" w:type="dxa"/>
            <w:tcBorders>
              <w:top w:val="single" w:sz="4" w:space="0" w:color="auto"/>
              <w:left w:val="single" w:sz="4" w:space="0" w:color="auto"/>
              <w:bottom w:val="single" w:sz="4" w:space="0" w:color="auto"/>
              <w:right w:val="single" w:sz="4" w:space="0" w:color="auto"/>
            </w:tcBorders>
            <w:shd w:val="clear" w:color="auto" w:fill="FFFFFF"/>
          </w:tcPr>
          <w:p w14:paraId="5F960A0B" w14:textId="719ACED6" w:rsidR="0003234F" w:rsidRPr="004A5572" w:rsidRDefault="0003234F" w:rsidP="00D40D66">
            <w:pPr>
              <w:spacing w:before="40" w:after="40" w:line="260" w:lineRule="exact"/>
              <w:jc w:val="left"/>
              <w:rPr>
                <w:sz w:val="18"/>
                <w:szCs w:val="18"/>
                <w:rtl/>
                <w:lang w:eastAsia="en-GB"/>
              </w:rPr>
            </w:pPr>
            <w:r w:rsidRPr="004A5572">
              <w:rPr>
                <w:rFonts w:hint="cs"/>
                <w:sz w:val="18"/>
                <w:szCs w:val="18"/>
                <w:rtl/>
                <w:lang w:eastAsia="en-GB"/>
              </w:rPr>
              <w:t>المملكة المتحدة</w:t>
            </w:r>
          </w:p>
        </w:tc>
        <w:tc>
          <w:tcPr>
            <w:tcW w:w="5660" w:type="dxa"/>
            <w:tcBorders>
              <w:top w:val="nil"/>
              <w:left w:val="nil"/>
              <w:bottom w:val="single" w:sz="4" w:space="0" w:color="auto"/>
              <w:right w:val="single" w:sz="4" w:space="0" w:color="auto"/>
            </w:tcBorders>
            <w:shd w:val="clear" w:color="auto" w:fill="FFFFFF"/>
          </w:tcPr>
          <w:p w14:paraId="1A0C2822" w14:textId="644FDE86" w:rsidR="0003234F" w:rsidRPr="004A5572" w:rsidRDefault="0003234F" w:rsidP="00D40D66">
            <w:pPr>
              <w:bidi w:val="0"/>
              <w:spacing w:before="40" w:after="40" w:line="260" w:lineRule="exact"/>
              <w:jc w:val="left"/>
              <w:rPr>
                <w:sz w:val="18"/>
                <w:szCs w:val="18"/>
                <w:lang w:val="en-GB" w:eastAsia="en-GB"/>
              </w:rPr>
            </w:pPr>
            <w:r w:rsidRPr="004A5572">
              <w:rPr>
                <w:sz w:val="18"/>
                <w:szCs w:val="18"/>
                <w:lang w:eastAsia="en-GB"/>
              </w:rPr>
              <w:t>KRE Corporate Recovery LLP (former ICO Satellite Limited), Berks</w:t>
            </w:r>
          </w:p>
        </w:tc>
        <w:tc>
          <w:tcPr>
            <w:tcW w:w="1678" w:type="dxa"/>
            <w:tcBorders>
              <w:top w:val="nil"/>
              <w:left w:val="nil"/>
              <w:bottom w:val="single" w:sz="4" w:space="0" w:color="auto"/>
              <w:right w:val="single" w:sz="4" w:space="0" w:color="auto"/>
            </w:tcBorders>
            <w:shd w:val="clear" w:color="auto" w:fill="FFFFFF"/>
          </w:tcPr>
          <w:p w14:paraId="5F6C558D" w14:textId="55A57DDE" w:rsidR="0003234F" w:rsidRPr="004A5572" w:rsidRDefault="0003234F" w:rsidP="00D40D66">
            <w:pPr>
              <w:spacing w:before="40" w:after="40" w:line="260" w:lineRule="exact"/>
              <w:jc w:val="center"/>
              <w:rPr>
                <w:sz w:val="18"/>
                <w:szCs w:val="18"/>
                <w:rtl/>
                <w:lang w:eastAsia="en-GB" w:bidi="ar-EG"/>
              </w:rPr>
            </w:pPr>
            <w:r w:rsidRPr="004A5572">
              <w:rPr>
                <w:sz w:val="18"/>
                <w:szCs w:val="18"/>
                <w:lang w:eastAsia="en-GB"/>
              </w:rPr>
              <w:t>2013-2012</w:t>
            </w:r>
          </w:p>
        </w:tc>
      </w:tr>
      <w:tr w:rsidR="0003234F" w:rsidRPr="004A5572" w14:paraId="5DBF6A9A" w14:textId="77777777" w:rsidTr="00D40D66">
        <w:trPr>
          <w:trHeight w:val="315"/>
          <w:jc w:val="center"/>
        </w:trPr>
        <w:tc>
          <w:tcPr>
            <w:tcW w:w="2154" w:type="dxa"/>
            <w:tcBorders>
              <w:top w:val="single" w:sz="4" w:space="0" w:color="auto"/>
              <w:left w:val="single" w:sz="4" w:space="0" w:color="auto"/>
              <w:bottom w:val="single" w:sz="4" w:space="0" w:color="auto"/>
              <w:right w:val="single" w:sz="4" w:space="0" w:color="auto"/>
            </w:tcBorders>
            <w:shd w:val="clear" w:color="auto" w:fill="FFFFFF"/>
            <w:hideMark/>
          </w:tcPr>
          <w:p w14:paraId="45E39B06"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الولايات المتحدة</w:t>
            </w:r>
          </w:p>
        </w:tc>
        <w:tc>
          <w:tcPr>
            <w:tcW w:w="5660" w:type="dxa"/>
            <w:tcBorders>
              <w:top w:val="nil"/>
              <w:left w:val="nil"/>
              <w:bottom w:val="single" w:sz="4" w:space="0" w:color="auto"/>
              <w:right w:val="single" w:sz="4" w:space="0" w:color="auto"/>
            </w:tcBorders>
            <w:shd w:val="clear" w:color="auto" w:fill="FFFFFF"/>
            <w:hideMark/>
          </w:tcPr>
          <w:p w14:paraId="47BEFD56" w14:textId="0F753C52" w:rsidR="0003234F" w:rsidRPr="004A5572" w:rsidRDefault="0003234F" w:rsidP="00D40D66">
            <w:pPr>
              <w:bidi w:val="0"/>
              <w:spacing w:before="40" w:after="40" w:line="260" w:lineRule="exact"/>
              <w:jc w:val="left"/>
              <w:rPr>
                <w:sz w:val="18"/>
                <w:szCs w:val="18"/>
                <w:lang w:eastAsia="en-GB"/>
              </w:rPr>
            </w:pPr>
            <w:proofErr w:type="spellStart"/>
            <w:r w:rsidRPr="004A5572">
              <w:rPr>
                <w:sz w:val="18"/>
                <w:szCs w:val="18"/>
                <w:lang w:eastAsia="en-GB"/>
              </w:rPr>
              <w:t>Animatele</w:t>
            </w:r>
            <w:proofErr w:type="spellEnd"/>
            <w:r w:rsidRPr="004A5572">
              <w:rPr>
                <w:sz w:val="18"/>
                <w:szCs w:val="18"/>
                <w:lang w:eastAsia="en-GB"/>
              </w:rPr>
              <w:t xml:space="preserve"> Inc., New York</w:t>
            </w:r>
          </w:p>
        </w:tc>
        <w:tc>
          <w:tcPr>
            <w:tcW w:w="1678" w:type="dxa"/>
            <w:tcBorders>
              <w:top w:val="nil"/>
              <w:left w:val="nil"/>
              <w:bottom w:val="single" w:sz="4" w:space="0" w:color="auto"/>
              <w:right w:val="single" w:sz="4" w:space="0" w:color="auto"/>
            </w:tcBorders>
            <w:shd w:val="clear" w:color="auto" w:fill="FFFFFF"/>
            <w:hideMark/>
          </w:tcPr>
          <w:p w14:paraId="0509A303" w14:textId="5F784B01" w:rsidR="0003234F" w:rsidRPr="004A5572" w:rsidRDefault="0003234F" w:rsidP="00D40D66">
            <w:pPr>
              <w:spacing w:before="40" w:after="40" w:line="260" w:lineRule="exact"/>
              <w:jc w:val="center"/>
              <w:rPr>
                <w:sz w:val="18"/>
                <w:szCs w:val="18"/>
                <w:lang w:eastAsia="en-GB"/>
              </w:rPr>
            </w:pPr>
            <w:r w:rsidRPr="004A5572">
              <w:rPr>
                <w:sz w:val="18"/>
                <w:szCs w:val="18"/>
                <w:lang w:eastAsia="en-GB"/>
              </w:rPr>
              <w:t>2011</w:t>
            </w:r>
          </w:p>
        </w:tc>
      </w:tr>
      <w:tr w:rsidR="0003234F" w:rsidRPr="004A5572" w14:paraId="3C276B48" w14:textId="77777777" w:rsidTr="00D40D66">
        <w:trPr>
          <w:trHeight w:val="315"/>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13697ED9"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الولايات المتحدة</w:t>
            </w:r>
          </w:p>
        </w:tc>
        <w:tc>
          <w:tcPr>
            <w:tcW w:w="5660" w:type="dxa"/>
            <w:tcBorders>
              <w:top w:val="nil"/>
              <w:left w:val="nil"/>
              <w:bottom w:val="single" w:sz="4" w:space="0" w:color="auto"/>
              <w:right w:val="single" w:sz="4" w:space="0" w:color="auto"/>
            </w:tcBorders>
            <w:shd w:val="clear" w:color="auto" w:fill="FFFFFF"/>
            <w:hideMark/>
          </w:tcPr>
          <w:p w14:paraId="513409B2" w14:textId="2058619D"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AOL, New York</w:t>
            </w:r>
          </w:p>
        </w:tc>
        <w:tc>
          <w:tcPr>
            <w:tcW w:w="1678" w:type="dxa"/>
            <w:tcBorders>
              <w:top w:val="nil"/>
              <w:left w:val="nil"/>
              <w:bottom w:val="single" w:sz="4" w:space="0" w:color="auto"/>
              <w:right w:val="single" w:sz="4" w:space="0" w:color="auto"/>
            </w:tcBorders>
            <w:shd w:val="clear" w:color="auto" w:fill="FFFFFF"/>
            <w:hideMark/>
          </w:tcPr>
          <w:p w14:paraId="5464DAB6" w14:textId="6B39184B" w:rsidR="0003234F" w:rsidRPr="004A5572" w:rsidRDefault="0003234F" w:rsidP="00D40D66">
            <w:pPr>
              <w:spacing w:before="40" w:after="40" w:line="260" w:lineRule="exact"/>
              <w:jc w:val="center"/>
              <w:rPr>
                <w:sz w:val="18"/>
                <w:szCs w:val="18"/>
                <w:lang w:eastAsia="en-GB"/>
              </w:rPr>
            </w:pPr>
            <w:r w:rsidRPr="004A5572">
              <w:rPr>
                <w:sz w:val="18"/>
                <w:szCs w:val="18"/>
                <w:lang w:eastAsia="en-GB"/>
              </w:rPr>
              <w:t>2003-2002</w:t>
            </w:r>
          </w:p>
        </w:tc>
      </w:tr>
      <w:tr w:rsidR="0003234F" w:rsidRPr="004A5572" w14:paraId="7FE4256F" w14:textId="77777777" w:rsidTr="00D40D66">
        <w:trPr>
          <w:trHeight w:val="315"/>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4F4B89F7"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الولايات المتحدة</w:t>
            </w:r>
          </w:p>
        </w:tc>
        <w:tc>
          <w:tcPr>
            <w:tcW w:w="5660" w:type="dxa"/>
            <w:tcBorders>
              <w:top w:val="nil"/>
              <w:left w:val="nil"/>
              <w:bottom w:val="single" w:sz="4" w:space="0" w:color="auto"/>
              <w:right w:val="single" w:sz="4" w:space="0" w:color="auto"/>
            </w:tcBorders>
            <w:shd w:val="clear" w:color="auto" w:fill="FFFFFF"/>
            <w:hideMark/>
          </w:tcPr>
          <w:p w14:paraId="1FF89649" w14:textId="5F78C522"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Compuware Corporation, Detroit</w:t>
            </w:r>
          </w:p>
        </w:tc>
        <w:tc>
          <w:tcPr>
            <w:tcW w:w="1678" w:type="dxa"/>
            <w:tcBorders>
              <w:top w:val="nil"/>
              <w:left w:val="nil"/>
              <w:bottom w:val="single" w:sz="4" w:space="0" w:color="auto"/>
              <w:right w:val="single" w:sz="4" w:space="0" w:color="auto"/>
            </w:tcBorders>
            <w:shd w:val="clear" w:color="auto" w:fill="FFFFFF"/>
            <w:hideMark/>
          </w:tcPr>
          <w:p w14:paraId="1EAA21EC" w14:textId="2038E5BD" w:rsidR="0003234F" w:rsidRPr="004A5572" w:rsidRDefault="0003234F" w:rsidP="00D40D66">
            <w:pPr>
              <w:spacing w:before="40" w:after="40" w:line="260" w:lineRule="exact"/>
              <w:jc w:val="center"/>
              <w:rPr>
                <w:sz w:val="18"/>
                <w:szCs w:val="18"/>
                <w:lang w:eastAsia="en-GB"/>
              </w:rPr>
            </w:pPr>
            <w:r w:rsidRPr="004A5572">
              <w:rPr>
                <w:sz w:val="18"/>
                <w:szCs w:val="18"/>
                <w:lang w:eastAsia="en-GB"/>
              </w:rPr>
              <w:t>2010-2009</w:t>
            </w:r>
          </w:p>
        </w:tc>
      </w:tr>
      <w:tr w:rsidR="0003234F" w:rsidRPr="004A5572" w14:paraId="43C34F0B" w14:textId="77777777" w:rsidTr="00D40D66">
        <w:trPr>
          <w:trHeight w:val="315"/>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6E7D1732"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الولايات المتحدة</w:t>
            </w:r>
          </w:p>
        </w:tc>
        <w:tc>
          <w:tcPr>
            <w:tcW w:w="5660" w:type="dxa"/>
            <w:tcBorders>
              <w:top w:val="nil"/>
              <w:left w:val="nil"/>
              <w:bottom w:val="single" w:sz="4" w:space="0" w:color="auto"/>
              <w:right w:val="single" w:sz="4" w:space="0" w:color="auto"/>
            </w:tcBorders>
            <w:shd w:val="clear" w:color="auto" w:fill="FFFFFF"/>
            <w:hideMark/>
          </w:tcPr>
          <w:p w14:paraId="4FEFCD61" w14:textId="398B89A4" w:rsidR="0003234F" w:rsidRPr="004A5572" w:rsidRDefault="0003234F" w:rsidP="00D40D66">
            <w:pPr>
              <w:bidi w:val="0"/>
              <w:spacing w:before="40" w:after="40" w:line="260" w:lineRule="exact"/>
              <w:jc w:val="left"/>
              <w:rPr>
                <w:sz w:val="18"/>
                <w:szCs w:val="18"/>
                <w:lang w:eastAsia="en-GB"/>
              </w:rPr>
            </w:pPr>
            <w:proofErr w:type="spellStart"/>
            <w:r w:rsidRPr="004A5572">
              <w:rPr>
                <w:sz w:val="18"/>
                <w:szCs w:val="18"/>
                <w:lang w:eastAsia="en-GB"/>
              </w:rPr>
              <w:t>Covad</w:t>
            </w:r>
            <w:proofErr w:type="spellEnd"/>
            <w:r w:rsidRPr="004A5572">
              <w:rPr>
                <w:sz w:val="18"/>
                <w:szCs w:val="18"/>
                <w:lang w:eastAsia="en-GB"/>
              </w:rPr>
              <w:t xml:space="preserve"> Communications Co., San Jose</w:t>
            </w:r>
          </w:p>
        </w:tc>
        <w:tc>
          <w:tcPr>
            <w:tcW w:w="1678" w:type="dxa"/>
            <w:tcBorders>
              <w:top w:val="nil"/>
              <w:left w:val="nil"/>
              <w:bottom w:val="single" w:sz="4" w:space="0" w:color="auto"/>
              <w:right w:val="single" w:sz="4" w:space="0" w:color="auto"/>
            </w:tcBorders>
            <w:shd w:val="clear" w:color="auto" w:fill="FFFFFF"/>
            <w:hideMark/>
          </w:tcPr>
          <w:p w14:paraId="3DA6D196" w14:textId="5BCE6527" w:rsidR="0003234F" w:rsidRPr="004A5572" w:rsidRDefault="0003234F" w:rsidP="00D40D66">
            <w:pPr>
              <w:spacing w:before="40" w:after="40" w:line="260" w:lineRule="exact"/>
              <w:jc w:val="center"/>
              <w:rPr>
                <w:sz w:val="18"/>
                <w:szCs w:val="18"/>
                <w:lang w:eastAsia="en-GB"/>
              </w:rPr>
            </w:pPr>
            <w:r w:rsidRPr="004A5572">
              <w:rPr>
                <w:sz w:val="18"/>
                <w:szCs w:val="18"/>
                <w:lang w:eastAsia="en-GB"/>
              </w:rPr>
              <w:t>2002-2001</w:t>
            </w:r>
          </w:p>
        </w:tc>
      </w:tr>
      <w:tr w:rsidR="0003234F" w:rsidRPr="004A5572" w14:paraId="0C1FCCB2" w14:textId="77777777" w:rsidTr="00D40D66">
        <w:trPr>
          <w:trHeight w:val="315"/>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36BC33E3"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الولايات المتحدة</w:t>
            </w:r>
          </w:p>
        </w:tc>
        <w:tc>
          <w:tcPr>
            <w:tcW w:w="5660" w:type="dxa"/>
            <w:tcBorders>
              <w:top w:val="nil"/>
              <w:left w:val="nil"/>
              <w:bottom w:val="single" w:sz="4" w:space="0" w:color="auto"/>
              <w:right w:val="single" w:sz="4" w:space="0" w:color="auto"/>
            </w:tcBorders>
            <w:shd w:val="clear" w:color="auto" w:fill="FFFFFF"/>
            <w:hideMark/>
          </w:tcPr>
          <w:p w14:paraId="6D1F4B9A" w14:textId="6C60E987"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Cypress Semiconductor Corp., San Jose</w:t>
            </w:r>
          </w:p>
        </w:tc>
        <w:tc>
          <w:tcPr>
            <w:tcW w:w="1678" w:type="dxa"/>
            <w:tcBorders>
              <w:top w:val="nil"/>
              <w:left w:val="nil"/>
              <w:bottom w:val="single" w:sz="4" w:space="0" w:color="auto"/>
              <w:right w:val="single" w:sz="4" w:space="0" w:color="auto"/>
            </w:tcBorders>
            <w:shd w:val="clear" w:color="auto" w:fill="FFFFFF"/>
            <w:hideMark/>
          </w:tcPr>
          <w:p w14:paraId="64A43F5D" w14:textId="4D0D520F" w:rsidR="0003234F" w:rsidRPr="004A5572" w:rsidRDefault="0003234F" w:rsidP="00D40D66">
            <w:pPr>
              <w:spacing w:before="40" w:after="40" w:line="260" w:lineRule="exact"/>
              <w:jc w:val="center"/>
              <w:rPr>
                <w:sz w:val="18"/>
                <w:szCs w:val="18"/>
                <w:lang w:eastAsia="en-GB"/>
              </w:rPr>
            </w:pPr>
            <w:r w:rsidRPr="004A5572">
              <w:rPr>
                <w:sz w:val="18"/>
                <w:szCs w:val="18"/>
                <w:lang w:eastAsia="en-GB"/>
              </w:rPr>
              <w:t>2005-2004</w:t>
            </w:r>
          </w:p>
        </w:tc>
      </w:tr>
      <w:tr w:rsidR="0003234F" w:rsidRPr="004A5572" w14:paraId="3D8CAF41" w14:textId="77777777" w:rsidTr="00D40D66">
        <w:trPr>
          <w:trHeight w:val="315"/>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3AFC9072"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الولايات المتحدة</w:t>
            </w:r>
          </w:p>
        </w:tc>
        <w:tc>
          <w:tcPr>
            <w:tcW w:w="5660" w:type="dxa"/>
            <w:tcBorders>
              <w:top w:val="nil"/>
              <w:left w:val="nil"/>
              <w:bottom w:val="single" w:sz="4" w:space="0" w:color="auto"/>
              <w:right w:val="single" w:sz="4" w:space="0" w:color="auto"/>
            </w:tcBorders>
            <w:shd w:val="clear" w:color="auto" w:fill="FFFFFF"/>
            <w:hideMark/>
          </w:tcPr>
          <w:p w14:paraId="063E3FB5" w14:textId="5E5D35C6" w:rsidR="0003234F" w:rsidRPr="004A5572" w:rsidRDefault="0003234F" w:rsidP="00D40D66">
            <w:pPr>
              <w:bidi w:val="0"/>
              <w:spacing w:before="40" w:after="40" w:line="260" w:lineRule="exact"/>
              <w:jc w:val="left"/>
              <w:rPr>
                <w:sz w:val="18"/>
                <w:szCs w:val="18"/>
                <w:lang w:eastAsia="en-GB"/>
              </w:rPr>
            </w:pPr>
            <w:proofErr w:type="spellStart"/>
            <w:r w:rsidRPr="004A5572">
              <w:rPr>
                <w:sz w:val="18"/>
                <w:szCs w:val="18"/>
                <w:lang w:eastAsia="en-GB"/>
              </w:rPr>
              <w:t>Lightwaves</w:t>
            </w:r>
            <w:proofErr w:type="spellEnd"/>
            <w:r w:rsidRPr="004A5572">
              <w:rPr>
                <w:sz w:val="18"/>
                <w:szCs w:val="18"/>
                <w:lang w:eastAsia="en-GB"/>
              </w:rPr>
              <w:t xml:space="preserve"> Inc., Cedar Rapids</w:t>
            </w:r>
          </w:p>
        </w:tc>
        <w:tc>
          <w:tcPr>
            <w:tcW w:w="1678" w:type="dxa"/>
            <w:tcBorders>
              <w:top w:val="nil"/>
              <w:left w:val="nil"/>
              <w:bottom w:val="single" w:sz="4" w:space="0" w:color="auto"/>
              <w:right w:val="single" w:sz="4" w:space="0" w:color="auto"/>
            </w:tcBorders>
            <w:shd w:val="clear" w:color="auto" w:fill="FFFFFF"/>
            <w:hideMark/>
          </w:tcPr>
          <w:p w14:paraId="1D1EB183" w14:textId="76AC4FD9" w:rsidR="0003234F" w:rsidRPr="004A5572" w:rsidRDefault="0003234F" w:rsidP="00D40D66">
            <w:pPr>
              <w:spacing w:before="40" w:after="40" w:line="260" w:lineRule="exact"/>
              <w:jc w:val="center"/>
              <w:rPr>
                <w:sz w:val="18"/>
                <w:szCs w:val="18"/>
                <w:lang w:eastAsia="en-GB"/>
              </w:rPr>
            </w:pPr>
            <w:r w:rsidRPr="004A5572">
              <w:rPr>
                <w:sz w:val="18"/>
                <w:szCs w:val="18"/>
                <w:lang w:eastAsia="en-GB"/>
              </w:rPr>
              <w:t>2009</w:t>
            </w:r>
          </w:p>
        </w:tc>
      </w:tr>
      <w:tr w:rsidR="0003234F" w:rsidRPr="004A5572" w14:paraId="668D8685" w14:textId="77777777" w:rsidTr="00D40D66">
        <w:trPr>
          <w:trHeight w:val="315"/>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592C2116"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الولايات المتحدة</w:t>
            </w:r>
          </w:p>
        </w:tc>
        <w:tc>
          <w:tcPr>
            <w:tcW w:w="5660" w:type="dxa"/>
            <w:tcBorders>
              <w:top w:val="nil"/>
              <w:left w:val="nil"/>
              <w:bottom w:val="single" w:sz="4" w:space="0" w:color="auto"/>
              <w:right w:val="single" w:sz="4" w:space="0" w:color="auto"/>
            </w:tcBorders>
            <w:shd w:val="clear" w:color="auto" w:fill="FFFFFF"/>
            <w:hideMark/>
          </w:tcPr>
          <w:p w14:paraId="0CFE25FB" w14:textId="3C0EE0B6"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The Village Group Inc., Waltham</w:t>
            </w:r>
          </w:p>
        </w:tc>
        <w:tc>
          <w:tcPr>
            <w:tcW w:w="1678" w:type="dxa"/>
            <w:tcBorders>
              <w:top w:val="nil"/>
              <w:left w:val="nil"/>
              <w:bottom w:val="single" w:sz="4" w:space="0" w:color="auto"/>
              <w:right w:val="single" w:sz="4" w:space="0" w:color="auto"/>
            </w:tcBorders>
            <w:shd w:val="clear" w:color="auto" w:fill="FFFFFF"/>
            <w:hideMark/>
          </w:tcPr>
          <w:p w14:paraId="0D03D19F" w14:textId="2D0991CE" w:rsidR="0003234F" w:rsidRPr="004A5572" w:rsidRDefault="0003234F" w:rsidP="00D40D66">
            <w:pPr>
              <w:spacing w:before="40" w:after="40" w:line="260" w:lineRule="exact"/>
              <w:jc w:val="center"/>
              <w:rPr>
                <w:sz w:val="18"/>
                <w:szCs w:val="18"/>
                <w:lang w:eastAsia="en-GB"/>
              </w:rPr>
            </w:pPr>
            <w:r w:rsidRPr="004A5572">
              <w:rPr>
                <w:sz w:val="18"/>
                <w:szCs w:val="18"/>
                <w:lang w:eastAsia="en-GB"/>
              </w:rPr>
              <w:t>2008-2007</w:t>
            </w:r>
          </w:p>
        </w:tc>
      </w:tr>
      <w:tr w:rsidR="0003234F" w:rsidRPr="004A5572" w14:paraId="73020588" w14:textId="77777777" w:rsidTr="00D40D66">
        <w:trPr>
          <w:trHeight w:val="315"/>
          <w:jc w:val="center"/>
        </w:trPr>
        <w:tc>
          <w:tcPr>
            <w:tcW w:w="2154" w:type="dxa"/>
            <w:tcBorders>
              <w:top w:val="nil"/>
              <w:left w:val="single" w:sz="4" w:space="0" w:color="auto"/>
              <w:bottom w:val="single" w:sz="4" w:space="0" w:color="auto"/>
              <w:right w:val="single" w:sz="4" w:space="0" w:color="auto"/>
            </w:tcBorders>
            <w:shd w:val="clear" w:color="auto" w:fill="FFFFFF"/>
            <w:hideMark/>
          </w:tcPr>
          <w:p w14:paraId="5E6E7A46" w14:textId="77777777" w:rsidR="0003234F" w:rsidRPr="004A5572" w:rsidRDefault="0003234F" w:rsidP="00D40D66">
            <w:pPr>
              <w:spacing w:before="40" w:after="40" w:line="260" w:lineRule="exact"/>
              <w:jc w:val="left"/>
              <w:rPr>
                <w:sz w:val="18"/>
                <w:szCs w:val="18"/>
                <w:lang w:eastAsia="en-GB"/>
              </w:rPr>
            </w:pPr>
            <w:r w:rsidRPr="004A5572">
              <w:rPr>
                <w:rFonts w:hint="cs"/>
                <w:sz w:val="18"/>
                <w:szCs w:val="18"/>
                <w:rtl/>
                <w:lang w:eastAsia="en-GB"/>
              </w:rPr>
              <w:t>الولايات المتحدة</w:t>
            </w:r>
          </w:p>
        </w:tc>
        <w:tc>
          <w:tcPr>
            <w:tcW w:w="5660" w:type="dxa"/>
            <w:tcBorders>
              <w:top w:val="nil"/>
              <w:left w:val="nil"/>
              <w:bottom w:val="single" w:sz="4" w:space="0" w:color="auto"/>
              <w:right w:val="single" w:sz="4" w:space="0" w:color="auto"/>
            </w:tcBorders>
            <w:shd w:val="clear" w:color="auto" w:fill="FFFFFF"/>
            <w:hideMark/>
          </w:tcPr>
          <w:p w14:paraId="4F55C717" w14:textId="58959AE1" w:rsidR="0003234F" w:rsidRPr="004A5572" w:rsidRDefault="0003234F" w:rsidP="00D40D66">
            <w:pPr>
              <w:bidi w:val="0"/>
              <w:spacing w:before="40" w:after="40" w:line="260" w:lineRule="exact"/>
              <w:jc w:val="left"/>
              <w:rPr>
                <w:sz w:val="18"/>
                <w:szCs w:val="18"/>
                <w:lang w:eastAsia="en-GB"/>
              </w:rPr>
            </w:pPr>
            <w:r w:rsidRPr="004A5572">
              <w:rPr>
                <w:sz w:val="18"/>
                <w:szCs w:val="18"/>
                <w:lang w:eastAsia="en-GB"/>
              </w:rPr>
              <w:t>Vocal Technologies Ltd, Amherst</w:t>
            </w:r>
          </w:p>
        </w:tc>
        <w:tc>
          <w:tcPr>
            <w:tcW w:w="1678" w:type="dxa"/>
            <w:tcBorders>
              <w:top w:val="nil"/>
              <w:left w:val="nil"/>
              <w:bottom w:val="single" w:sz="4" w:space="0" w:color="auto"/>
              <w:right w:val="single" w:sz="4" w:space="0" w:color="auto"/>
            </w:tcBorders>
            <w:shd w:val="clear" w:color="auto" w:fill="FFFFFF"/>
            <w:hideMark/>
          </w:tcPr>
          <w:p w14:paraId="28C39A45" w14:textId="009BEAF5" w:rsidR="0003234F" w:rsidRPr="004A5572" w:rsidRDefault="0003234F" w:rsidP="00D40D66">
            <w:pPr>
              <w:spacing w:before="40" w:after="40" w:line="260" w:lineRule="exact"/>
              <w:jc w:val="center"/>
              <w:rPr>
                <w:sz w:val="18"/>
                <w:szCs w:val="18"/>
                <w:lang w:eastAsia="en-GB"/>
              </w:rPr>
            </w:pPr>
            <w:r w:rsidRPr="004A5572">
              <w:rPr>
                <w:sz w:val="18"/>
                <w:szCs w:val="18"/>
                <w:lang w:eastAsia="en-GB"/>
              </w:rPr>
              <w:t>2002-1998</w:t>
            </w:r>
          </w:p>
        </w:tc>
      </w:tr>
    </w:tbl>
    <w:p w14:paraId="2F35E542" w14:textId="20C2F686" w:rsidR="0003234F" w:rsidRDefault="0003234F" w:rsidP="0003234F">
      <w:pPr>
        <w:spacing w:before="240"/>
        <w:rPr>
          <w:sz w:val="20"/>
          <w:szCs w:val="20"/>
        </w:rPr>
      </w:pPr>
      <w:r>
        <w:rPr>
          <w:rFonts w:hint="cs"/>
          <w:sz w:val="20"/>
          <w:szCs w:val="20"/>
          <w:rtl/>
        </w:rPr>
        <w:t xml:space="preserve">وتبلغ هذه الديون ما مجموعه </w:t>
      </w:r>
      <w:r>
        <w:rPr>
          <w:b/>
          <w:bCs/>
          <w:sz w:val="20"/>
          <w:szCs w:val="20"/>
          <w:lang w:bidi="ar-SY"/>
        </w:rPr>
        <w:t>2 208 394,72</w:t>
      </w:r>
      <w:r>
        <w:rPr>
          <w:b/>
          <w:bCs/>
          <w:sz w:val="20"/>
          <w:szCs w:val="20"/>
          <w:rtl/>
          <w:lang w:bidi="ar-EG"/>
        </w:rPr>
        <w:t xml:space="preserve"> </w:t>
      </w:r>
      <w:r>
        <w:rPr>
          <w:rFonts w:hint="cs"/>
          <w:b/>
          <w:bCs/>
          <w:sz w:val="20"/>
          <w:szCs w:val="20"/>
          <w:rtl/>
        </w:rPr>
        <w:t>من الفرنكات السويسرية</w:t>
      </w:r>
      <w:r>
        <w:rPr>
          <w:rFonts w:hint="cs"/>
          <w:sz w:val="20"/>
          <w:szCs w:val="20"/>
          <w:rtl/>
        </w:rPr>
        <w:t>. ويتضمن</w:t>
      </w:r>
      <w:r>
        <w:rPr>
          <w:rFonts w:hint="cs"/>
          <w:sz w:val="20"/>
          <w:szCs w:val="20"/>
          <w:rtl/>
          <w:lang w:bidi="ar-EG"/>
        </w:rPr>
        <w:t xml:space="preserve"> الملحق </w:t>
      </w:r>
      <w:r>
        <w:rPr>
          <w:rFonts w:hint="cs"/>
          <w:sz w:val="20"/>
          <w:szCs w:val="20"/>
          <w:rtl/>
        </w:rPr>
        <w:t>باء مزيداً من التفاصيل.</w:t>
      </w:r>
    </w:p>
    <w:p w14:paraId="41A8D5A4" w14:textId="77777777" w:rsidR="0003234F" w:rsidRDefault="0003234F" w:rsidP="0003234F">
      <w:pPr>
        <w:rPr>
          <w:rtl/>
          <w:lang w:bidi="ar-EG"/>
        </w:rPr>
      </w:pPr>
      <w:r>
        <w:rPr>
          <w:rtl/>
        </w:rPr>
        <w:br w:type="page"/>
      </w:r>
    </w:p>
    <w:p w14:paraId="0518C50E" w14:textId="77777777" w:rsidR="0003234F" w:rsidRPr="00C1413A" w:rsidRDefault="0003234F" w:rsidP="0003234F">
      <w:pPr>
        <w:pStyle w:val="AnnexNo"/>
        <w:rPr>
          <w:rtl/>
        </w:rPr>
      </w:pPr>
      <w:r w:rsidRPr="00C1413A">
        <w:rPr>
          <w:rFonts w:hint="cs"/>
          <w:rtl/>
        </w:rPr>
        <w:lastRenderedPageBreak/>
        <w:t>الملحـق ألف</w:t>
      </w:r>
    </w:p>
    <w:p w14:paraId="224C60B6" w14:textId="77777777" w:rsidR="0003234F" w:rsidRDefault="0003234F" w:rsidP="00D40D66">
      <w:pPr>
        <w:pStyle w:val="Annextitle"/>
        <w:spacing w:after="0"/>
        <w:rPr>
          <w:rtl/>
        </w:rPr>
      </w:pPr>
      <w:r w:rsidRPr="00C1413A">
        <w:rPr>
          <w:rFonts w:hint="cs"/>
          <w:rtl/>
        </w:rPr>
        <w:t>تطور المتأخرات والحسابات الخاصة بالمتأخرات</w:t>
      </w:r>
    </w:p>
    <w:p w14:paraId="6726E98D" w14:textId="77777777" w:rsidR="0003234F" w:rsidRDefault="0003234F" w:rsidP="00D40D66">
      <w:pPr>
        <w:pStyle w:val="TableHead"/>
        <w:spacing w:before="0" w:after="240"/>
        <w:rPr>
          <w:rtl/>
        </w:rPr>
      </w:pPr>
      <w:r>
        <w:rPr>
          <w:rFonts w:hint="cs"/>
          <w:rtl/>
        </w:rPr>
        <w:t>(بآلاف الفرنكات السويسرية)</w:t>
      </w:r>
    </w:p>
    <w:tbl>
      <w:tblPr>
        <w:bidiVisual/>
        <w:tblW w:w="5000" w:type="pct"/>
        <w:jc w:val="center"/>
        <w:tblLook w:val="04A0" w:firstRow="1" w:lastRow="0" w:firstColumn="1" w:lastColumn="0" w:noHBand="0" w:noVBand="1"/>
      </w:tblPr>
      <w:tblGrid>
        <w:gridCol w:w="2839"/>
        <w:gridCol w:w="850"/>
        <w:gridCol w:w="850"/>
        <w:gridCol w:w="850"/>
        <w:gridCol w:w="850"/>
        <w:gridCol w:w="850"/>
        <w:gridCol w:w="850"/>
        <w:gridCol w:w="850"/>
        <w:gridCol w:w="850"/>
      </w:tblGrid>
      <w:tr w:rsidR="0003234F" w:rsidRPr="0003234F" w14:paraId="0416E07E" w14:textId="77777777" w:rsidTr="00CC68EE">
        <w:trPr>
          <w:jc w:val="center"/>
        </w:trPr>
        <w:tc>
          <w:tcPr>
            <w:tcW w:w="2839" w:type="dxa"/>
            <w:noWrap/>
            <w:vAlign w:val="center"/>
            <w:hideMark/>
          </w:tcPr>
          <w:p w14:paraId="5ADAB258" w14:textId="77777777" w:rsidR="0003234F" w:rsidRPr="0003234F" w:rsidRDefault="0003234F" w:rsidP="00CC68EE">
            <w:pPr>
              <w:pStyle w:val="TableHead"/>
              <w:keepNext w:val="0"/>
              <w:spacing w:after="0" w:line="168" w:lineRule="auto"/>
              <w:jc w:val="both"/>
            </w:pPr>
            <w:r w:rsidRPr="0003234F">
              <w:rPr>
                <w:rFonts w:hint="cs"/>
                <w:rtl/>
              </w:rPr>
              <w:t xml:space="preserve">الحالة في </w:t>
            </w:r>
            <w:r w:rsidRPr="0003234F">
              <w:t>31</w:t>
            </w:r>
            <w:r w:rsidRPr="0003234F">
              <w:rPr>
                <w:rFonts w:hint="cs"/>
                <w:rtl/>
              </w:rPr>
              <w:t xml:space="preserve"> ديسمبر</w:t>
            </w:r>
          </w:p>
        </w:tc>
        <w:tc>
          <w:tcPr>
            <w:tcW w:w="850" w:type="dxa"/>
            <w:vAlign w:val="center"/>
            <w:hideMark/>
          </w:tcPr>
          <w:p w14:paraId="12F8B7EF" w14:textId="08623540" w:rsidR="0003234F" w:rsidRPr="0003234F" w:rsidRDefault="0003234F" w:rsidP="00CC68EE">
            <w:pPr>
              <w:pStyle w:val="TableHead"/>
              <w:keepNext w:val="0"/>
              <w:spacing w:after="0" w:line="168" w:lineRule="auto"/>
            </w:pPr>
            <w:r w:rsidRPr="0003234F">
              <w:rPr>
                <w:color w:val="000000"/>
              </w:rPr>
              <w:t>2015</w:t>
            </w:r>
          </w:p>
        </w:tc>
        <w:tc>
          <w:tcPr>
            <w:tcW w:w="850" w:type="dxa"/>
            <w:vAlign w:val="center"/>
            <w:hideMark/>
          </w:tcPr>
          <w:p w14:paraId="6AB4F6C1" w14:textId="62353358" w:rsidR="0003234F" w:rsidRPr="0003234F" w:rsidRDefault="0003234F" w:rsidP="00CC68EE">
            <w:pPr>
              <w:pStyle w:val="TableHead"/>
              <w:keepNext w:val="0"/>
              <w:spacing w:after="0" w:line="168" w:lineRule="auto"/>
            </w:pPr>
            <w:r w:rsidRPr="0003234F">
              <w:rPr>
                <w:color w:val="000000"/>
              </w:rPr>
              <w:t>2016</w:t>
            </w:r>
          </w:p>
        </w:tc>
        <w:tc>
          <w:tcPr>
            <w:tcW w:w="850" w:type="dxa"/>
            <w:vAlign w:val="center"/>
            <w:hideMark/>
          </w:tcPr>
          <w:p w14:paraId="3B6B4D63" w14:textId="43A4C15E" w:rsidR="0003234F" w:rsidRPr="0003234F" w:rsidRDefault="0003234F" w:rsidP="00CC68EE">
            <w:pPr>
              <w:pStyle w:val="TableHead"/>
              <w:keepNext w:val="0"/>
              <w:spacing w:after="0" w:line="168" w:lineRule="auto"/>
            </w:pPr>
            <w:r w:rsidRPr="0003234F">
              <w:t>2017</w:t>
            </w:r>
          </w:p>
        </w:tc>
        <w:tc>
          <w:tcPr>
            <w:tcW w:w="850" w:type="dxa"/>
            <w:vAlign w:val="center"/>
            <w:hideMark/>
          </w:tcPr>
          <w:p w14:paraId="1E84B1CC" w14:textId="305CA272" w:rsidR="0003234F" w:rsidRPr="0003234F" w:rsidRDefault="0003234F" w:rsidP="00CC68EE">
            <w:pPr>
              <w:pStyle w:val="TableHead"/>
              <w:keepNext w:val="0"/>
              <w:spacing w:after="0" w:line="168" w:lineRule="auto"/>
            </w:pPr>
            <w:r w:rsidRPr="0003234F">
              <w:t>2018</w:t>
            </w:r>
          </w:p>
        </w:tc>
        <w:tc>
          <w:tcPr>
            <w:tcW w:w="850" w:type="dxa"/>
            <w:vAlign w:val="center"/>
            <w:hideMark/>
          </w:tcPr>
          <w:p w14:paraId="63A5A8FD" w14:textId="20D6D383" w:rsidR="0003234F" w:rsidRPr="0003234F" w:rsidRDefault="0003234F" w:rsidP="00CC68EE">
            <w:pPr>
              <w:pStyle w:val="TableHead"/>
              <w:keepNext w:val="0"/>
              <w:spacing w:after="0" w:line="168" w:lineRule="auto"/>
            </w:pPr>
            <w:r w:rsidRPr="0003234F">
              <w:t>2019</w:t>
            </w:r>
          </w:p>
        </w:tc>
        <w:tc>
          <w:tcPr>
            <w:tcW w:w="850" w:type="dxa"/>
            <w:vAlign w:val="center"/>
            <w:hideMark/>
          </w:tcPr>
          <w:p w14:paraId="6550CF7E" w14:textId="13D8D317" w:rsidR="0003234F" w:rsidRPr="0003234F" w:rsidRDefault="0003234F" w:rsidP="00CC68EE">
            <w:pPr>
              <w:pStyle w:val="TableHead"/>
              <w:keepNext w:val="0"/>
              <w:spacing w:after="0" w:line="168" w:lineRule="auto"/>
            </w:pPr>
            <w:r w:rsidRPr="0003234F">
              <w:t>2020</w:t>
            </w:r>
          </w:p>
        </w:tc>
        <w:tc>
          <w:tcPr>
            <w:tcW w:w="850" w:type="dxa"/>
            <w:vAlign w:val="center"/>
            <w:hideMark/>
          </w:tcPr>
          <w:p w14:paraId="68350FF4" w14:textId="6C0B535C" w:rsidR="0003234F" w:rsidRPr="0003234F" w:rsidRDefault="0003234F" w:rsidP="00CC68EE">
            <w:pPr>
              <w:pStyle w:val="TableHead"/>
              <w:keepNext w:val="0"/>
              <w:spacing w:after="0" w:line="168" w:lineRule="auto"/>
            </w:pPr>
            <w:r w:rsidRPr="0003234F">
              <w:t>2021</w:t>
            </w:r>
          </w:p>
        </w:tc>
        <w:tc>
          <w:tcPr>
            <w:tcW w:w="850" w:type="dxa"/>
            <w:vAlign w:val="center"/>
            <w:hideMark/>
          </w:tcPr>
          <w:p w14:paraId="56B1F528" w14:textId="07A27B26" w:rsidR="0003234F" w:rsidRPr="0003234F" w:rsidRDefault="0003234F" w:rsidP="00CC68EE">
            <w:pPr>
              <w:pStyle w:val="TableHead"/>
              <w:keepNext w:val="0"/>
              <w:spacing w:after="0" w:line="168" w:lineRule="auto"/>
            </w:pPr>
            <w:r w:rsidRPr="0003234F">
              <w:t>2022</w:t>
            </w:r>
          </w:p>
        </w:tc>
      </w:tr>
      <w:tr w:rsidR="0003234F" w:rsidRPr="0003234F" w14:paraId="2E16F126" w14:textId="77777777" w:rsidTr="00CC68EE">
        <w:trPr>
          <w:trHeight w:val="60"/>
          <w:jc w:val="center"/>
        </w:trPr>
        <w:tc>
          <w:tcPr>
            <w:tcW w:w="2839" w:type="dxa"/>
            <w:noWrap/>
            <w:vAlign w:val="center"/>
            <w:hideMark/>
          </w:tcPr>
          <w:p w14:paraId="7CAEF6E5" w14:textId="77777777" w:rsidR="0003234F" w:rsidRPr="0003234F" w:rsidRDefault="0003234F" w:rsidP="00CC68EE">
            <w:pPr>
              <w:spacing w:before="0" w:line="200" w:lineRule="exact"/>
              <w:rPr>
                <w:sz w:val="20"/>
                <w:szCs w:val="20"/>
              </w:rPr>
            </w:pPr>
          </w:p>
        </w:tc>
        <w:tc>
          <w:tcPr>
            <w:tcW w:w="850" w:type="dxa"/>
            <w:vAlign w:val="center"/>
            <w:hideMark/>
          </w:tcPr>
          <w:p w14:paraId="5F42A713"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B1075B9"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180EA4F"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29A9CA1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71B9C132"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7E357EE4"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551E809"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23FA12D"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5883C4EC" w14:textId="77777777" w:rsidTr="00CC68EE">
        <w:trPr>
          <w:jc w:val="center"/>
        </w:trPr>
        <w:tc>
          <w:tcPr>
            <w:tcW w:w="2839" w:type="dxa"/>
            <w:noWrap/>
            <w:vAlign w:val="center"/>
            <w:hideMark/>
          </w:tcPr>
          <w:p w14:paraId="412E0251" w14:textId="77777777" w:rsidR="0003234F" w:rsidRPr="0003234F" w:rsidRDefault="0003234F" w:rsidP="00CC68EE">
            <w:pPr>
              <w:pStyle w:val="TableHead"/>
              <w:keepNext w:val="0"/>
              <w:spacing w:after="0" w:line="168" w:lineRule="auto"/>
              <w:jc w:val="both"/>
            </w:pPr>
            <w:r w:rsidRPr="0003234F">
              <w:rPr>
                <w:rFonts w:hint="cs"/>
                <w:rtl/>
                <w:lang w:val="fr-CH"/>
              </w:rPr>
              <w:t>الدول الأعضاء</w:t>
            </w:r>
          </w:p>
        </w:tc>
        <w:tc>
          <w:tcPr>
            <w:tcW w:w="850" w:type="dxa"/>
            <w:vAlign w:val="center"/>
            <w:hideMark/>
          </w:tcPr>
          <w:p w14:paraId="1D1BAA28" w14:textId="77777777" w:rsidR="0003234F" w:rsidRPr="00D40D66" w:rsidRDefault="0003234F" w:rsidP="00CC68EE">
            <w:pPr>
              <w:spacing w:before="60" w:line="168" w:lineRule="auto"/>
              <w:rPr>
                <w:sz w:val="20"/>
                <w:szCs w:val="20"/>
              </w:rPr>
            </w:pPr>
          </w:p>
        </w:tc>
        <w:tc>
          <w:tcPr>
            <w:tcW w:w="850" w:type="dxa"/>
            <w:vAlign w:val="center"/>
            <w:hideMark/>
          </w:tcPr>
          <w:p w14:paraId="495B7402"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547E4266"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0AC61C73"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6D3E0FA3"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00EAD256"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4B93D2EE"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010FDC51" w14:textId="77777777" w:rsidR="0003234F" w:rsidRPr="00D40D66" w:rsidRDefault="0003234F" w:rsidP="00CC68EE">
            <w:pPr>
              <w:tabs>
                <w:tab w:val="clear" w:pos="794"/>
              </w:tabs>
              <w:spacing w:before="60" w:line="168" w:lineRule="auto"/>
              <w:jc w:val="left"/>
              <w:rPr>
                <w:sz w:val="20"/>
                <w:szCs w:val="20"/>
                <w:lang w:val="en-GB" w:eastAsia="en-GB"/>
              </w:rPr>
            </w:pPr>
          </w:p>
        </w:tc>
      </w:tr>
      <w:tr w:rsidR="0003234F" w:rsidRPr="0003234F" w14:paraId="5608E98E" w14:textId="77777777" w:rsidTr="00CC68EE">
        <w:trPr>
          <w:jc w:val="center"/>
        </w:trPr>
        <w:tc>
          <w:tcPr>
            <w:tcW w:w="2839" w:type="dxa"/>
            <w:noWrap/>
            <w:vAlign w:val="center"/>
            <w:hideMark/>
          </w:tcPr>
          <w:p w14:paraId="52268619" w14:textId="77777777" w:rsidR="0003234F" w:rsidRPr="0003234F"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2AF355C2"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542DC3CC"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7ABD5E85"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4DE0065B"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2660BC95"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82F6CB4"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7E6A27A7"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498031F2"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038336E7" w14:textId="77777777" w:rsidTr="00CC68EE">
        <w:trPr>
          <w:jc w:val="center"/>
        </w:trPr>
        <w:tc>
          <w:tcPr>
            <w:tcW w:w="2839" w:type="dxa"/>
            <w:noWrap/>
            <w:vAlign w:val="bottom"/>
            <w:hideMark/>
          </w:tcPr>
          <w:p w14:paraId="2EF4C1DB" w14:textId="77777777" w:rsidR="0003234F" w:rsidRPr="0003234F" w:rsidRDefault="0003234F" w:rsidP="00CC68EE">
            <w:pPr>
              <w:pStyle w:val="TableHead"/>
              <w:keepNext w:val="0"/>
              <w:spacing w:after="0" w:line="168" w:lineRule="auto"/>
              <w:jc w:val="both"/>
              <w:rPr>
                <w:b w:val="0"/>
                <w:bCs w:val="0"/>
              </w:rPr>
            </w:pPr>
            <w:r w:rsidRPr="0003234F">
              <w:rPr>
                <w:rFonts w:hint="cs"/>
                <w:b w:val="0"/>
                <w:bCs w:val="0"/>
                <w:rtl/>
                <w:lang w:val="fr-CH"/>
              </w:rPr>
              <w:t>المساهمات</w:t>
            </w:r>
          </w:p>
        </w:tc>
        <w:tc>
          <w:tcPr>
            <w:tcW w:w="850" w:type="dxa"/>
            <w:vAlign w:val="center"/>
            <w:hideMark/>
          </w:tcPr>
          <w:p w14:paraId="7EBDBD28" w14:textId="622356FA" w:rsidR="0003234F" w:rsidRPr="00D40D66" w:rsidRDefault="0003234F" w:rsidP="00CC68EE">
            <w:pPr>
              <w:pStyle w:val="TableHead"/>
              <w:keepNext w:val="0"/>
              <w:spacing w:after="0" w:line="168" w:lineRule="auto"/>
              <w:jc w:val="both"/>
              <w:rPr>
                <w:b w:val="0"/>
                <w:bCs w:val="0"/>
              </w:rPr>
            </w:pPr>
            <w:r w:rsidRPr="00D40D66">
              <w:rPr>
                <w:b w:val="0"/>
                <w:bCs w:val="0"/>
              </w:rPr>
              <w:t>8 450</w:t>
            </w:r>
          </w:p>
        </w:tc>
        <w:tc>
          <w:tcPr>
            <w:tcW w:w="850" w:type="dxa"/>
            <w:vAlign w:val="center"/>
            <w:hideMark/>
          </w:tcPr>
          <w:p w14:paraId="500E9620" w14:textId="43CBAC95" w:rsidR="0003234F" w:rsidRPr="00D40D66" w:rsidRDefault="0003234F" w:rsidP="00CC68EE">
            <w:pPr>
              <w:pStyle w:val="TableHead"/>
              <w:keepNext w:val="0"/>
              <w:spacing w:after="0" w:line="168" w:lineRule="auto"/>
              <w:jc w:val="both"/>
              <w:rPr>
                <w:b w:val="0"/>
                <w:bCs w:val="0"/>
              </w:rPr>
            </w:pPr>
            <w:r w:rsidRPr="00D40D66">
              <w:rPr>
                <w:b w:val="0"/>
                <w:bCs w:val="0"/>
              </w:rPr>
              <w:t>10 070</w:t>
            </w:r>
          </w:p>
        </w:tc>
        <w:tc>
          <w:tcPr>
            <w:tcW w:w="850" w:type="dxa"/>
            <w:vAlign w:val="center"/>
            <w:hideMark/>
          </w:tcPr>
          <w:p w14:paraId="5AA2275C" w14:textId="1C4E2F14" w:rsidR="0003234F" w:rsidRPr="00D40D66" w:rsidRDefault="0003234F" w:rsidP="00CC68EE">
            <w:pPr>
              <w:pStyle w:val="TableHead"/>
              <w:keepNext w:val="0"/>
              <w:spacing w:after="0" w:line="168" w:lineRule="auto"/>
              <w:jc w:val="both"/>
              <w:rPr>
                <w:b w:val="0"/>
                <w:bCs w:val="0"/>
              </w:rPr>
            </w:pPr>
            <w:r w:rsidRPr="00D40D66">
              <w:rPr>
                <w:b w:val="0"/>
                <w:bCs w:val="0"/>
              </w:rPr>
              <w:t>9 639</w:t>
            </w:r>
          </w:p>
        </w:tc>
        <w:tc>
          <w:tcPr>
            <w:tcW w:w="850" w:type="dxa"/>
            <w:vAlign w:val="center"/>
            <w:hideMark/>
          </w:tcPr>
          <w:p w14:paraId="19CCD72E" w14:textId="48339220" w:rsidR="0003234F" w:rsidRPr="00D40D66" w:rsidRDefault="0003234F" w:rsidP="00CC68EE">
            <w:pPr>
              <w:pStyle w:val="TableHead"/>
              <w:keepNext w:val="0"/>
              <w:spacing w:after="0" w:line="168" w:lineRule="auto"/>
              <w:jc w:val="both"/>
              <w:rPr>
                <w:b w:val="0"/>
                <w:bCs w:val="0"/>
              </w:rPr>
            </w:pPr>
            <w:r w:rsidRPr="00D40D66">
              <w:rPr>
                <w:b w:val="0"/>
                <w:bCs w:val="0"/>
              </w:rPr>
              <w:t>8 683</w:t>
            </w:r>
          </w:p>
        </w:tc>
        <w:tc>
          <w:tcPr>
            <w:tcW w:w="850" w:type="dxa"/>
            <w:vAlign w:val="center"/>
            <w:hideMark/>
          </w:tcPr>
          <w:p w14:paraId="6267C29F" w14:textId="4086B751" w:rsidR="0003234F" w:rsidRPr="00D40D66" w:rsidRDefault="0003234F" w:rsidP="00CC68EE">
            <w:pPr>
              <w:pStyle w:val="TableHead"/>
              <w:keepNext w:val="0"/>
              <w:spacing w:after="0" w:line="168" w:lineRule="auto"/>
              <w:jc w:val="both"/>
              <w:rPr>
                <w:b w:val="0"/>
                <w:bCs w:val="0"/>
              </w:rPr>
            </w:pPr>
            <w:r w:rsidRPr="00D40D66">
              <w:rPr>
                <w:b w:val="0"/>
                <w:bCs w:val="0"/>
              </w:rPr>
              <w:t>8 965</w:t>
            </w:r>
          </w:p>
        </w:tc>
        <w:tc>
          <w:tcPr>
            <w:tcW w:w="850" w:type="dxa"/>
            <w:vAlign w:val="center"/>
            <w:hideMark/>
          </w:tcPr>
          <w:p w14:paraId="41A22F78" w14:textId="4FB3A4B8" w:rsidR="0003234F" w:rsidRPr="00D40D66" w:rsidRDefault="0003234F" w:rsidP="00CC68EE">
            <w:pPr>
              <w:pStyle w:val="TableHead"/>
              <w:keepNext w:val="0"/>
              <w:spacing w:after="0" w:line="168" w:lineRule="auto"/>
              <w:jc w:val="both"/>
              <w:rPr>
                <w:b w:val="0"/>
                <w:bCs w:val="0"/>
              </w:rPr>
            </w:pPr>
            <w:r w:rsidRPr="00D40D66">
              <w:rPr>
                <w:b w:val="0"/>
                <w:bCs w:val="0"/>
              </w:rPr>
              <w:t>11 068</w:t>
            </w:r>
          </w:p>
        </w:tc>
        <w:tc>
          <w:tcPr>
            <w:tcW w:w="850" w:type="dxa"/>
            <w:vAlign w:val="center"/>
            <w:hideMark/>
          </w:tcPr>
          <w:p w14:paraId="0603E30B" w14:textId="0C56A4B6" w:rsidR="0003234F" w:rsidRPr="00D40D66" w:rsidRDefault="0003234F" w:rsidP="00CC68EE">
            <w:pPr>
              <w:pStyle w:val="TableHead"/>
              <w:keepNext w:val="0"/>
              <w:spacing w:after="0" w:line="168" w:lineRule="auto"/>
              <w:jc w:val="both"/>
              <w:rPr>
                <w:b w:val="0"/>
                <w:bCs w:val="0"/>
              </w:rPr>
            </w:pPr>
            <w:r w:rsidRPr="00D40D66">
              <w:rPr>
                <w:b w:val="0"/>
                <w:bCs w:val="0"/>
              </w:rPr>
              <w:t>12 362</w:t>
            </w:r>
          </w:p>
        </w:tc>
        <w:tc>
          <w:tcPr>
            <w:tcW w:w="850" w:type="dxa"/>
            <w:vAlign w:val="center"/>
            <w:hideMark/>
          </w:tcPr>
          <w:p w14:paraId="5E29C54E" w14:textId="6A975371" w:rsidR="0003234F" w:rsidRPr="00D40D66" w:rsidRDefault="0003234F" w:rsidP="00CC68EE">
            <w:pPr>
              <w:pStyle w:val="TableHead"/>
              <w:keepNext w:val="0"/>
              <w:spacing w:after="0" w:line="168" w:lineRule="auto"/>
              <w:jc w:val="both"/>
              <w:rPr>
                <w:b w:val="0"/>
                <w:bCs w:val="0"/>
              </w:rPr>
            </w:pPr>
            <w:r w:rsidRPr="00D40D66">
              <w:rPr>
                <w:b w:val="0"/>
                <w:bCs w:val="0"/>
              </w:rPr>
              <w:t>8 927</w:t>
            </w:r>
          </w:p>
        </w:tc>
      </w:tr>
      <w:tr w:rsidR="0003234F" w:rsidRPr="0003234F" w14:paraId="2F999C27" w14:textId="77777777" w:rsidTr="00CC68EE">
        <w:trPr>
          <w:jc w:val="center"/>
        </w:trPr>
        <w:tc>
          <w:tcPr>
            <w:tcW w:w="2839" w:type="dxa"/>
            <w:noWrap/>
            <w:vAlign w:val="bottom"/>
            <w:hideMark/>
          </w:tcPr>
          <w:p w14:paraId="5BDDEF2B" w14:textId="77777777" w:rsidR="0003234F" w:rsidRPr="0003234F" w:rsidRDefault="0003234F" w:rsidP="00CC68EE">
            <w:pPr>
              <w:spacing w:before="0" w:line="200" w:lineRule="exact"/>
              <w:rPr>
                <w:b/>
                <w:bCs/>
                <w:sz w:val="20"/>
                <w:szCs w:val="20"/>
              </w:rPr>
            </w:pPr>
          </w:p>
        </w:tc>
        <w:tc>
          <w:tcPr>
            <w:tcW w:w="850" w:type="dxa"/>
            <w:vAlign w:val="center"/>
            <w:hideMark/>
          </w:tcPr>
          <w:p w14:paraId="6C2D27C0"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B5AD68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06E3E01E"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F199CC9"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44A0CC92"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7D4D920"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B9A8387"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21B4C942"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66392E63" w14:textId="77777777" w:rsidTr="00CC68EE">
        <w:trPr>
          <w:jc w:val="center"/>
        </w:trPr>
        <w:tc>
          <w:tcPr>
            <w:tcW w:w="2839" w:type="dxa"/>
            <w:vAlign w:val="bottom"/>
            <w:hideMark/>
          </w:tcPr>
          <w:p w14:paraId="33086055" w14:textId="77777777" w:rsidR="0003234F" w:rsidRPr="0003234F" w:rsidRDefault="0003234F" w:rsidP="00CC68EE">
            <w:pPr>
              <w:pStyle w:val="TableHead"/>
              <w:keepNext w:val="0"/>
              <w:spacing w:after="0" w:line="168" w:lineRule="auto"/>
              <w:jc w:val="both"/>
              <w:rPr>
                <w:b w:val="0"/>
                <w:bCs w:val="0"/>
              </w:rPr>
            </w:pPr>
            <w:r w:rsidRPr="0003234F">
              <w:rPr>
                <w:rFonts w:hint="cs"/>
                <w:b w:val="0"/>
                <w:bCs w:val="0"/>
                <w:rtl/>
                <w:lang w:val="fr-CH"/>
              </w:rPr>
              <w:t>المنشورات</w:t>
            </w:r>
          </w:p>
        </w:tc>
        <w:tc>
          <w:tcPr>
            <w:tcW w:w="850" w:type="dxa"/>
            <w:vAlign w:val="center"/>
            <w:hideMark/>
          </w:tcPr>
          <w:p w14:paraId="63646063" w14:textId="3865BCE1"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36</w:t>
            </w:r>
          </w:p>
        </w:tc>
        <w:tc>
          <w:tcPr>
            <w:tcW w:w="850" w:type="dxa"/>
            <w:vAlign w:val="center"/>
            <w:hideMark/>
          </w:tcPr>
          <w:p w14:paraId="1CD2A90F" w14:textId="097D2841"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36</w:t>
            </w:r>
          </w:p>
        </w:tc>
        <w:tc>
          <w:tcPr>
            <w:tcW w:w="850" w:type="dxa"/>
            <w:vAlign w:val="center"/>
            <w:hideMark/>
          </w:tcPr>
          <w:p w14:paraId="58AC57EC" w14:textId="7B2B1D9B"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37</w:t>
            </w:r>
          </w:p>
        </w:tc>
        <w:tc>
          <w:tcPr>
            <w:tcW w:w="850" w:type="dxa"/>
            <w:vAlign w:val="center"/>
            <w:hideMark/>
          </w:tcPr>
          <w:p w14:paraId="66B5F0C4" w14:textId="05647C1D"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40</w:t>
            </w:r>
          </w:p>
        </w:tc>
        <w:tc>
          <w:tcPr>
            <w:tcW w:w="850" w:type="dxa"/>
            <w:vAlign w:val="center"/>
            <w:hideMark/>
          </w:tcPr>
          <w:p w14:paraId="6CE28EF4" w14:textId="6980455A"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41</w:t>
            </w:r>
          </w:p>
        </w:tc>
        <w:tc>
          <w:tcPr>
            <w:tcW w:w="850" w:type="dxa"/>
            <w:vAlign w:val="center"/>
            <w:hideMark/>
          </w:tcPr>
          <w:p w14:paraId="4A931B3B" w14:textId="6342A03A"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47</w:t>
            </w:r>
          </w:p>
        </w:tc>
        <w:tc>
          <w:tcPr>
            <w:tcW w:w="850" w:type="dxa"/>
            <w:vAlign w:val="center"/>
            <w:hideMark/>
          </w:tcPr>
          <w:p w14:paraId="08887231" w14:textId="292FC1CB"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46</w:t>
            </w:r>
          </w:p>
        </w:tc>
        <w:tc>
          <w:tcPr>
            <w:tcW w:w="850" w:type="dxa"/>
            <w:vAlign w:val="center"/>
            <w:hideMark/>
          </w:tcPr>
          <w:p w14:paraId="75916769" w14:textId="7B71390B"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49</w:t>
            </w:r>
          </w:p>
        </w:tc>
      </w:tr>
      <w:tr w:rsidR="0003234F" w:rsidRPr="0003234F" w14:paraId="072FF5DC" w14:textId="77777777" w:rsidTr="00CC68EE">
        <w:trPr>
          <w:jc w:val="center"/>
        </w:trPr>
        <w:tc>
          <w:tcPr>
            <w:tcW w:w="2839" w:type="dxa"/>
            <w:vAlign w:val="bottom"/>
            <w:hideMark/>
          </w:tcPr>
          <w:p w14:paraId="3AB586EC" w14:textId="77777777" w:rsidR="0003234F" w:rsidRPr="0003234F" w:rsidRDefault="0003234F" w:rsidP="00CC68EE">
            <w:pPr>
              <w:spacing w:before="0" w:line="200" w:lineRule="exact"/>
              <w:rPr>
                <w:b/>
                <w:bCs/>
                <w:sz w:val="20"/>
                <w:szCs w:val="20"/>
                <w:u w:val="single"/>
              </w:rPr>
            </w:pPr>
          </w:p>
        </w:tc>
        <w:tc>
          <w:tcPr>
            <w:tcW w:w="850" w:type="dxa"/>
            <w:vAlign w:val="center"/>
            <w:hideMark/>
          </w:tcPr>
          <w:p w14:paraId="6105E858"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AAF654A"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75CDA23E"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CD626F9"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EA2016F"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581DFD94"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195F328"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409DF795"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3B2D0D9D" w14:textId="77777777" w:rsidTr="00CC68EE">
        <w:trPr>
          <w:jc w:val="center"/>
        </w:trPr>
        <w:tc>
          <w:tcPr>
            <w:tcW w:w="2839" w:type="dxa"/>
            <w:noWrap/>
            <w:vAlign w:val="center"/>
            <w:hideMark/>
          </w:tcPr>
          <w:p w14:paraId="55F7AD85" w14:textId="77777777" w:rsidR="0003234F" w:rsidRPr="0003234F" w:rsidRDefault="0003234F" w:rsidP="00CC68EE">
            <w:pPr>
              <w:pStyle w:val="TableHead"/>
              <w:keepNext w:val="0"/>
              <w:spacing w:after="0" w:line="168" w:lineRule="auto"/>
              <w:jc w:val="both"/>
              <w:rPr>
                <w:b w:val="0"/>
                <w:bCs w:val="0"/>
              </w:rPr>
            </w:pPr>
            <w:r w:rsidRPr="0003234F">
              <w:rPr>
                <w:rFonts w:hint="cs"/>
                <w:b w:val="0"/>
                <w:bCs w:val="0"/>
                <w:rtl/>
                <w:lang w:val="fr-CH"/>
              </w:rPr>
              <w:t>المجموع</w:t>
            </w:r>
          </w:p>
        </w:tc>
        <w:tc>
          <w:tcPr>
            <w:tcW w:w="850" w:type="dxa"/>
            <w:vAlign w:val="center"/>
            <w:hideMark/>
          </w:tcPr>
          <w:p w14:paraId="19C8B4CA" w14:textId="24229B01" w:rsidR="0003234F" w:rsidRPr="00D40D66" w:rsidRDefault="0003234F" w:rsidP="00CC68EE">
            <w:pPr>
              <w:pStyle w:val="TableHead"/>
              <w:keepNext w:val="0"/>
              <w:spacing w:after="0" w:line="168" w:lineRule="auto"/>
              <w:jc w:val="both"/>
              <w:rPr>
                <w:b w:val="0"/>
                <w:bCs w:val="0"/>
              </w:rPr>
            </w:pPr>
            <w:r w:rsidRPr="00D40D66">
              <w:rPr>
                <w:b w:val="0"/>
                <w:bCs w:val="0"/>
              </w:rPr>
              <w:t>8 486</w:t>
            </w:r>
          </w:p>
        </w:tc>
        <w:tc>
          <w:tcPr>
            <w:tcW w:w="850" w:type="dxa"/>
            <w:vAlign w:val="center"/>
            <w:hideMark/>
          </w:tcPr>
          <w:p w14:paraId="43CC6B52" w14:textId="68E7A36C" w:rsidR="0003234F" w:rsidRPr="00D40D66" w:rsidRDefault="0003234F" w:rsidP="00CC68EE">
            <w:pPr>
              <w:pStyle w:val="TableHead"/>
              <w:keepNext w:val="0"/>
              <w:spacing w:after="0" w:line="168" w:lineRule="auto"/>
              <w:jc w:val="both"/>
              <w:rPr>
                <w:b w:val="0"/>
                <w:bCs w:val="0"/>
              </w:rPr>
            </w:pPr>
            <w:r w:rsidRPr="00D40D66">
              <w:rPr>
                <w:b w:val="0"/>
                <w:bCs w:val="0"/>
              </w:rPr>
              <w:t>10 106</w:t>
            </w:r>
          </w:p>
        </w:tc>
        <w:tc>
          <w:tcPr>
            <w:tcW w:w="850" w:type="dxa"/>
            <w:vAlign w:val="center"/>
            <w:hideMark/>
          </w:tcPr>
          <w:p w14:paraId="143DFCA3" w14:textId="4286C64E" w:rsidR="0003234F" w:rsidRPr="00D40D66" w:rsidRDefault="0003234F" w:rsidP="00CC68EE">
            <w:pPr>
              <w:pStyle w:val="TableHead"/>
              <w:keepNext w:val="0"/>
              <w:spacing w:after="0" w:line="168" w:lineRule="auto"/>
              <w:jc w:val="both"/>
              <w:rPr>
                <w:b w:val="0"/>
                <w:bCs w:val="0"/>
              </w:rPr>
            </w:pPr>
            <w:r w:rsidRPr="00D40D66">
              <w:rPr>
                <w:b w:val="0"/>
                <w:bCs w:val="0"/>
              </w:rPr>
              <w:t>9 676</w:t>
            </w:r>
          </w:p>
        </w:tc>
        <w:tc>
          <w:tcPr>
            <w:tcW w:w="850" w:type="dxa"/>
            <w:vAlign w:val="center"/>
            <w:hideMark/>
          </w:tcPr>
          <w:p w14:paraId="2911B682" w14:textId="1005AAAA" w:rsidR="0003234F" w:rsidRPr="00D40D66" w:rsidRDefault="0003234F" w:rsidP="00CC68EE">
            <w:pPr>
              <w:pStyle w:val="TableHead"/>
              <w:keepNext w:val="0"/>
              <w:spacing w:after="0" w:line="168" w:lineRule="auto"/>
              <w:jc w:val="both"/>
              <w:rPr>
                <w:b w:val="0"/>
                <w:bCs w:val="0"/>
              </w:rPr>
            </w:pPr>
            <w:r w:rsidRPr="00D40D66">
              <w:rPr>
                <w:b w:val="0"/>
                <w:bCs w:val="0"/>
              </w:rPr>
              <w:t>8 723</w:t>
            </w:r>
          </w:p>
        </w:tc>
        <w:tc>
          <w:tcPr>
            <w:tcW w:w="850" w:type="dxa"/>
            <w:vAlign w:val="center"/>
            <w:hideMark/>
          </w:tcPr>
          <w:p w14:paraId="27936308" w14:textId="3F0EDA82" w:rsidR="0003234F" w:rsidRPr="00D40D66" w:rsidRDefault="0003234F" w:rsidP="00CC68EE">
            <w:pPr>
              <w:pStyle w:val="TableHead"/>
              <w:keepNext w:val="0"/>
              <w:spacing w:after="0" w:line="168" w:lineRule="auto"/>
              <w:jc w:val="both"/>
              <w:rPr>
                <w:b w:val="0"/>
                <w:bCs w:val="0"/>
              </w:rPr>
            </w:pPr>
            <w:r w:rsidRPr="00D40D66">
              <w:rPr>
                <w:b w:val="0"/>
                <w:bCs w:val="0"/>
              </w:rPr>
              <w:t>9 006</w:t>
            </w:r>
          </w:p>
        </w:tc>
        <w:tc>
          <w:tcPr>
            <w:tcW w:w="850" w:type="dxa"/>
            <w:vAlign w:val="center"/>
            <w:hideMark/>
          </w:tcPr>
          <w:p w14:paraId="5C4B0086" w14:textId="60D9966D" w:rsidR="0003234F" w:rsidRPr="00D40D66" w:rsidRDefault="0003234F" w:rsidP="00CC68EE">
            <w:pPr>
              <w:pStyle w:val="TableHead"/>
              <w:keepNext w:val="0"/>
              <w:spacing w:after="0" w:line="168" w:lineRule="auto"/>
              <w:jc w:val="both"/>
              <w:rPr>
                <w:b w:val="0"/>
                <w:bCs w:val="0"/>
              </w:rPr>
            </w:pPr>
            <w:r w:rsidRPr="00D40D66">
              <w:rPr>
                <w:b w:val="0"/>
                <w:bCs w:val="0"/>
              </w:rPr>
              <w:t>11 115</w:t>
            </w:r>
          </w:p>
        </w:tc>
        <w:tc>
          <w:tcPr>
            <w:tcW w:w="850" w:type="dxa"/>
            <w:vAlign w:val="center"/>
            <w:hideMark/>
          </w:tcPr>
          <w:p w14:paraId="445FED9F" w14:textId="63D041A4" w:rsidR="0003234F" w:rsidRPr="00D40D66" w:rsidRDefault="0003234F" w:rsidP="00CC68EE">
            <w:pPr>
              <w:pStyle w:val="TableHead"/>
              <w:keepNext w:val="0"/>
              <w:spacing w:after="0" w:line="168" w:lineRule="auto"/>
              <w:jc w:val="both"/>
              <w:rPr>
                <w:b w:val="0"/>
                <w:bCs w:val="0"/>
              </w:rPr>
            </w:pPr>
            <w:r w:rsidRPr="00D40D66">
              <w:rPr>
                <w:b w:val="0"/>
                <w:bCs w:val="0"/>
              </w:rPr>
              <w:t>12 408</w:t>
            </w:r>
          </w:p>
        </w:tc>
        <w:tc>
          <w:tcPr>
            <w:tcW w:w="850" w:type="dxa"/>
            <w:vAlign w:val="center"/>
            <w:hideMark/>
          </w:tcPr>
          <w:p w14:paraId="2F2BB78B" w14:textId="24F30A92" w:rsidR="0003234F" w:rsidRPr="00D40D66" w:rsidRDefault="0003234F" w:rsidP="00CC68EE">
            <w:pPr>
              <w:pStyle w:val="TableHead"/>
              <w:keepNext w:val="0"/>
              <w:spacing w:after="0" w:line="168" w:lineRule="auto"/>
              <w:jc w:val="both"/>
              <w:rPr>
                <w:b w:val="0"/>
                <w:bCs w:val="0"/>
              </w:rPr>
            </w:pPr>
            <w:r w:rsidRPr="00D40D66">
              <w:rPr>
                <w:b w:val="0"/>
                <w:bCs w:val="0"/>
              </w:rPr>
              <w:t>8 976</w:t>
            </w:r>
          </w:p>
        </w:tc>
      </w:tr>
      <w:tr w:rsidR="0003234F" w:rsidRPr="0003234F" w14:paraId="5D3F3CD6" w14:textId="77777777" w:rsidTr="00CC68EE">
        <w:trPr>
          <w:jc w:val="center"/>
        </w:trPr>
        <w:tc>
          <w:tcPr>
            <w:tcW w:w="2839" w:type="dxa"/>
            <w:noWrap/>
            <w:vAlign w:val="center"/>
            <w:hideMark/>
          </w:tcPr>
          <w:p w14:paraId="4A7009C4" w14:textId="77777777" w:rsidR="0003234F" w:rsidRPr="0003234F" w:rsidRDefault="0003234F" w:rsidP="00CC68EE">
            <w:pPr>
              <w:spacing w:before="0" w:line="200" w:lineRule="exact"/>
              <w:rPr>
                <w:b/>
                <w:bCs/>
                <w:sz w:val="20"/>
                <w:szCs w:val="20"/>
              </w:rPr>
            </w:pPr>
          </w:p>
        </w:tc>
        <w:tc>
          <w:tcPr>
            <w:tcW w:w="850" w:type="dxa"/>
            <w:vAlign w:val="center"/>
            <w:hideMark/>
          </w:tcPr>
          <w:p w14:paraId="473373DA"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BF04F42"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D1D616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B2DAE3E"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4282387F"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8BE2DEA"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52F43250"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7D3B0BC3"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24E00B80" w14:textId="77777777" w:rsidTr="00CC68EE">
        <w:trPr>
          <w:jc w:val="center"/>
        </w:trPr>
        <w:tc>
          <w:tcPr>
            <w:tcW w:w="2839" w:type="dxa"/>
            <w:noWrap/>
            <w:vAlign w:val="center"/>
            <w:hideMark/>
          </w:tcPr>
          <w:p w14:paraId="5E0DC777" w14:textId="77777777" w:rsidR="0003234F" w:rsidRPr="0003234F" w:rsidRDefault="0003234F" w:rsidP="00CC68EE">
            <w:pPr>
              <w:pStyle w:val="TableHead"/>
              <w:keepNext w:val="0"/>
              <w:spacing w:after="0" w:line="168" w:lineRule="auto"/>
              <w:jc w:val="both"/>
            </w:pPr>
            <w:r w:rsidRPr="0003234F">
              <w:rPr>
                <w:rFonts w:hint="cs"/>
                <w:rtl/>
                <w:lang w:val="fr-CH"/>
              </w:rPr>
              <w:t>أعضاء القطاعات وغيرهم</w:t>
            </w:r>
          </w:p>
        </w:tc>
        <w:tc>
          <w:tcPr>
            <w:tcW w:w="850" w:type="dxa"/>
            <w:vAlign w:val="center"/>
            <w:hideMark/>
          </w:tcPr>
          <w:p w14:paraId="51AA0562" w14:textId="77777777" w:rsidR="0003234F" w:rsidRPr="00D40D66" w:rsidRDefault="0003234F" w:rsidP="00CC68EE">
            <w:pPr>
              <w:spacing w:before="60" w:line="168" w:lineRule="auto"/>
              <w:rPr>
                <w:sz w:val="20"/>
                <w:szCs w:val="20"/>
              </w:rPr>
            </w:pPr>
          </w:p>
        </w:tc>
        <w:tc>
          <w:tcPr>
            <w:tcW w:w="850" w:type="dxa"/>
            <w:vAlign w:val="center"/>
            <w:hideMark/>
          </w:tcPr>
          <w:p w14:paraId="029D62B0"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6ADFA47F"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20B67C93"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13D5D51E"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0D5D9ED7"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5BA367C2" w14:textId="77777777" w:rsidR="0003234F" w:rsidRPr="00D40D66" w:rsidRDefault="0003234F" w:rsidP="00CC68EE">
            <w:pPr>
              <w:tabs>
                <w:tab w:val="clear" w:pos="794"/>
              </w:tabs>
              <w:spacing w:before="60" w:line="168" w:lineRule="auto"/>
              <w:jc w:val="left"/>
              <w:rPr>
                <w:sz w:val="20"/>
                <w:szCs w:val="20"/>
                <w:lang w:val="en-GB" w:eastAsia="en-GB"/>
              </w:rPr>
            </w:pPr>
          </w:p>
        </w:tc>
        <w:tc>
          <w:tcPr>
            <w:tcW w:w="850" w:type="dxa"/>
            <w:vAlign w:val="center"/>
            <w:hideMark/>
          </w:tcPr>
          <w:p w14:paraId="26D06C86" w14:textId="77777777" w:rsidR="0003234F" w:rsidRPr="00D40D66" w:rsidRDefault="0003234F" w:rsidP="00CC68EE">
            <w:pPr>
              <w:tabs>
                <w:tab w:val="clear" w:pos="794"/>
              </w:tabs>
              <w:spacing w:before="60" w:line="168" w:lineRule="auto"/>
              <w:jc w:val="left"/>
              <w:rPr>
                <w:sz w:val="20"/>
                <w:szCs w:val="20"/>
                <w:lang w:val="en-GB" w:eastAsia="en-GB"/>
              </w:rPr>
            </w:pPr>
          </w:p>
        </w:tc>
      </w:tr>
      <w:tr w:rsidR="0003234F" w:rsidRPr="0003234F" w14:paraId="0E6BDDA1" w14:textId="77777777" w:rsidTr="00CC68EE">
        <w:trPr>
          <w:jc w:val="center"/>
        </w:trPr>
        <w:tc>
          <w:tcPr>
            <w:tcW w:w="2839" w:type="dxa"/>
            <w:noWrap/>
            <w:vAlign w:val="center"/>
            <w:hideMark/>
          </w:tcPr>
          <w:p w14:paraId="4225F788" w14:textId="77777777" w:rsidR="0003234F" w:rsidRPr="0003234F"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4595E19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21FB444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F763D84"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622CADE"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FCD7F49"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9990F27"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FE719EB"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FDA228A"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77982A9B" w14:textId="77777777" w:rsidTr="00CC68EE">
        <w:trPr>
          <w:jc w:val="center"/>
        </w:trPr>
        <w:tc>
          <w:tcPr>
            <w:tcW w:w="2839" w:type="dxa"/>
            <w:noWrap/>
            <w:vAlign w:val="bottom"/>
            <w:hideMark/>
          </w:tcPr>
          <w:p w14:paraId="5B2226A1" w14:textId="77777777" w:rsidR="0003234F" w:rsidRPr="0003234F" w:rsidRDefault="0003234F" w:rsidP="00CC68EE">
            <w:pPr>
              <w:pStyle w:val="TableHead"/>
              <w:keepNext w:val="0"/>
              <w:spacing w:after="0" w:line="168" w:lineRule="auto"/>
              <w:jc w:val="both"/>
              <w:rPr>
                <w:b w:val="0"/>
                <w:bCs w:val="0"/>
              </w:rPr>
            </w:pPr>
            <w:r w:rsidRPr="0003234F">
              <w:rPr>
                <w:rFonts w:hint="cs"/>
                <w:b w:val="0"/>
                <w:bCs w:val="0"/>
                <w:rtl/>
                <w:lang w:val="fr-CH"/>
              </w:rPr>
              <w:t>المساهمات</w:t>
            </w:r>
          </w:p>
        </w:tc>
        <w:tc>
          <w:tcPr>
            <w:tcW w:w="850" w:type="dxa"/>
            <w:vAlign w:val="center"/>
            <w:hideMark/>
          </w:tcPr>
          <w:p w14:paraId="4830D0B8" w14:textId="003093E1" w:rsidR="0003234F" w:rsidRPr="00D40D66" w:rsidRDefault="0003234F" w:rsidP="00CC68EE">
            <w:pPr>
              <w:pStyle w:val="TableHead"/>
              <w:keepNext w:val="0"/>
              <w:spacing w:after="0" w:line="168" w:lineRule="auto"/>
              <w:jc w:val="both"/>
              <w:rPr>
                <w:b w:val="0"/>
                <w:bCs w:val="0"/>
              </w:rPr>
            </w:pPr>
            <w:r w:rsidRPr="00D40D66">
              <w:rPr>
                <w:b w:val="0"/>
                <w:bCs w:val="0"/>
              </w:rPr>
              <w:t>16 300</w:t>
            </w:r>
          </w:p>
        </w:tc>
        <w:tc>
          <w:tcPr>
            <w:tcW w:w="850" w:type="dxa"/>
            <w:vAlign w:val="center"/>
            <w:hideMark/>
          </w:tcPr>
          <w:p w14:paraId="13C401B5" w14:textId="0DC38210" w:rsidR="0003234F" w:rsidRPr="00D40D66" w:rsidRDefault="0003234F" w:rsidP="00CC68EE">
            <w:pPr>
              <w:pStyle w:val="TableHead"/>
              <w:keepNext w:val="0"/>
              <w:spacing w:after="0" w:line="168" w:lineRule="auto"/>
              <w:jc w:val="both"/>
              <w:rPr>
                <w:b w:val="0"/>
                <w:bCs w:val="0"/>
              </w:rPr>
            </w:pPr>
            <w:r w:rsidRPr="00D40D66">
              <w:rPr>
                <w:b w:val="0"/>
                <w:bCs w:val="0"/>
              </w:rPr>
              <w:t>15 367</w:t>
            </w:r>
          </w:p>
        </w:tc>
        <w:tc>
          <w:tcPr>
            <w:tcW w:w="850" w:type="dxa"/>
            <w:vAlign w:val="center"/>
            <w:hideMark/>
          </w:tcPr>
          <w:p w14:paraId="61822E94" w14:textId="52C1D8AA" w:rsidR="0003234F" w:rsidRPr="00D40D66" w:rsidRDefault="0003234F" w:rsidP="00CC68EE">
            <w:pPr>
              <w:pStyle w:val="TableHead"/>
              <w:keepNext w:val="0"/>
              <w:spacing w:after="0" w:line="168" w:lineRule="auto"/>
              <w:jc w:val="both"/>
              <w:rPr>
                <w:b w:val="0"/>
                <w:bCs w:val="0"/>
              </w:rPr>
            </w:pPr>
            <w:r w:rsidRPr="00D40D66">
              <w:rPr>
                <w:b w:val="0"/>
                <w:bCs w:val="0"/>
              </w:rPr>
              <w:t>13 938</w:t>
            </w:r>
          </w:p>
        </w:tc>
        <w:tc>
          <w:tcPr>
            <w:tcW w:w="850" w:type="dxa"/>
            <w:vAlign w:val="center"/>
            <w:hideMark/>
          </w:tcPr>
          <w:p w14:paraId="5A41DBF3" w14:textId="66E71FEF" w:rsidR="0003234F" w:rsidRPr="00D40D66" w:rsidRDefault="0003234F" w:rsidP="00CC68EE">
            <w:pPr>
              <w:pStyle w:val="TableHead"/>
              <w:keepNext w:val="0"/>
              <w:spacing w:after="0" w:line="168" w:lineRule="auto"/>
              <w:jc w:val="both"/>
              <w:rPr>
                <w:b w:val="0"/>
                <w:bCs w:val="0"/>
              </w:rPr>
            </w:pPr>
            <w:r w:rsidRPr="00D40D66">
              <w:rPr>
                <w:b w:val="0"/>
                <w:bCs w:val="0"/>
              </w:rPr>
              <w:t>11 213</w:t>
            </w:r>
          </w:p>
        </w:tc>
        <w:tc>
          <w:tcPr>
            <w:tcW w:w="850" w:type="dxa"/>
            <w:vAlign w:val="center"/>
            <w:hideMark/>
          </w:tcPr>
          <w:p w14:paraId="2B9FE09B" w14:textId="45A38AD3" w:rsidR="0003234F" w:rsidRPr="00D40D66" w:rsidRDefault="0003234F" w:rsidP="00CC68EE">
            <w:pPr>
              <w:pStyle w:val="TableHead"/>
              <w:keepNext w:val="0"/>
              <w:spacing w:after="0" w:line="168" w:lineRule="auto"/>
              <w:jc w:val="both"/>
              <w:rPr>
                <w:b w:val="0"/>
                <w:bCs w:val="0"/>
              </w:rPr>
            </w:pPr>
            <w:r w:rsidRPr="00D40D66">
              <w:rPr>
                <w:b w:val="0"/>
                <w:bCs w:val="0"/>
              </w:rPr>
              <w:t>11 193</w:t>
            </w:r>
          </w:p>
        </w:tc>
        <w:tc>
          <w:tcPr>
            <w:tcW w:w="850" w:type="dxa"/>
            <w:vAlign w:val="center"/>
            <w:hideMark/>
          </w:tcPr>
          <w:p w14:paraId="2F78604B" w14:textId="72C2B811" w:rsidR="0003234F" w:rsidRPr="00D40D66" w:rsidRDefault="0003234F" w:rsidP="00CC68EE">
            <w:pPr>
              <w:pStyle w:val="TableHead"/>
              <w:keepNext w:val="0"/>
              <w:spacing w:after="0" w:line="168" w:lineRule="auto"/>
              <w:jc w:val="both"/>
              <w:rPr>
                <w:b w:val="0"/>
                <w:bCs w:val="0"/>
              </w:rPr>
            </w:pPr>
            <w:r w:rsidRPr="00D40D66">
              <w:rPr>
                <w:b w:val="0"/>
                <w:bCs w:val="0"/>
              </w:rPr>
              <w:t>9 356</w:t>
            </w:r>
          </w:p>
        </w:tc>
        <w:tc>
          <w:tcPr>
            <w:tcW w:w="850" w:type="dxa"/>
            <w:vAlign w:val="center"/>
            <w:hideMark/>
          </w:tcPr>
          <w:p w14:paraId="3812E9C0" w14:textId="602492F0" w:rsidR="0003234F" w:rsidRPr="00D40D66" w:rsidRDefault="0003234F" w:rsidP="00CC68EE">
            <w:pPr>
              <w:pStyle w:val="TableHead"/>
              <w:keepNext w:val="0"/>
              <w:spacing w:after="0" w:line="168" w:lineRule="auto"/>
              <w:jc w:val="both"/>
              <w:rPr>
                <w:b w:val="0"/>
                <w:bCs w:val="0"/>
              </w:rPr>
            </w:pPr>
            <w:r w:rsidRPr="00D40D66">
              <w:rPr>
                <w:b w:val="0"/>
                <w:bCs w:val="0"/>
              </w:rPr>
              <w:t>7 550</w:t>
            </w:r>
          </w:p>
        </w:tc>
        <w:tc>
          <w:tcPr>
            <w:tcW w:w="850" w:type="dxa"/>
            <w:vAlign w:val="center"/>
            <w:hideMark/>
          </w:tcPr>
          <w:p w14:paraId="489E2FAF" w14:textId="25814B05" w:rsidR="0003234F" w:rsidRPr="00D40D66" w:rsidRDefault="0003234F" w:rsidP="00CC68EE">
            <w:pPr>
              <w:pStyle w:val="TableHead"/>
              <w:keepNext w:val="0"/>
              <w:spacing w:after="0" w:line="168" w:lineRule="auto"/>
              <w:jc w:val="both"/>
              <w:rPr>
                <w:b w:val="0"/>
                <w:bCs w:val="0"/>
              </w:rPr>
            </w:pPr>
            <w:r w:rsidRPr="00D40D66">
              <w:rPr>
                <w:b w:val="0"/>
                <w:bCs w:val="0"/>
              </w:rPr>
              <w:t>3 655</w:t>
            </w:r>
          </w:p>
        </w:tc>
      </w:tr>
      <w:tr w:rsidR="0003234F" w:rsidRPr="0003234F" w14:paraId="25906E90" w14:textId="77777777" w:rsidTr="00CC68EE">
        <w:trPr>
          <w:jc w:val="center"/>
        </w:trPr>
        <w:tc>
          <w:tcPr>
            <w:tcW w:w="2839" w:type="dxa"/>
            <w:noWrap/>
            <w:vAlign w:val="bottom"/>
            <w:hideMark/>
          </w:tcPr>
          <w:p w14:paraId="23A77AF1" w14:textId="77777777" w:rsidR="0003234F" w:rsidRPr="0003234F" w:rsidRDefault="0003234F" w:rsidP="00CC68EE">
            <w:pPr>
              <w:spacing w:before="0" w:line="200" w:lineRule="exact"/>
              <w:rPr>
                <w:b/>
                <w:bCs/>
                <w:sz w:val="20"/>
                <w:szCs w:val="20"/>
              </w:rPr>
            </w:pPr>
          </w:p>
        </w:tc>
        <w:tc>
          <w:tcPr>
            <w:tcW w:w="850" w:type="dxa"/>
            <w:vAlign w:val="center"/>
            <w:hideMark/>
          </w:tcPr>
          <w:p w14:paraId="6B242220"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43E16C4"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CFC41D5"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476600C"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C4F73C4"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4F190403"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0DBBD0D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7946A0B6"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3099239F" w14:textId="77777777" w:rsidTr="00CC68EE">
        <w:trPr>
          <w:jc w:val="center"/>
        </w:trPr>
        <w:tc>
          <w:tcPr>
            <w:tcW w:w="2839" w:type="dxa"/>
            <w:noWrap/>
            <w:vAlign w:val="bottom"/>
            <w:hideMark/>
          </w:tcPr>
          <w:p w14:paraId="30EE5B50" w14:textId="77777777" w:rsidR="0003234F" w:rsidRPr="0003234F" w:rsidRDefault="0003234F" w:rsidP="00CC68EE">
            <w:pPr>
              <w:pStyle w:val="TableHead"/>
              <w:keepNext w:val="0"/>
              <w:spacing w:after="0" w:line="168" w:lineRule="auto"/>
              <w:jc w:val="both"/>
              <w:rPr>
                <w:b w:val="0"/>
                <w:bCs w:val="0"/>
              </w:rPr>
            </w:pPr>
            <w:r w:rsidRPr="0003234F">
              <w:rPr>
                <w:rFonts w:hint="cs"/>
                <w:b w:val="0"/>
                <w:bCs w:val="0"/>
                <w:rtl/>
                <w:lang w:val="fr-CH"/>
              </w:rPr>
              <w:t>المنشورات</w:t>
            </w:r>
          </w:p>
        </w:tc>
        <w:tc>
          <w:tcPr>
            <w:tcW w:w="850" w:type="dxa"/>
            <w:vAlign w:val="center"/>
            <w:hideMark/>
          </w:tcPr>
          <w:p w14:paraId="4331CD1A" w14:textId="4AE12E0E"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12</w:t>
            </w:r>
          </w:p>
        </w:tc>
        <w:tc>
          <w:tcPr>
            <w:tcW w:w="850" w:type="dxa"/>
            <w:vAlign w:val="center"/>
            <w:hideMark/>
          </w:tcPr>
          <w:p w14:paraId="68962B65" w14:textId="031F5FD8"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6</w:t>
            </w:r>
          </w:p>
        </w:tc>
        <w:tc>
          <w:tcPr>
            <w:tcW w:w="850" w:type="dxa"/>
            <w:vAlign w:val="center"/>
            <w:hideMark/>
          </w:tcPr>
          <w:p w14:paraId="640BB06F" w14:textId="272BACFD"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5</w:t>
            </w:r>
          </w:p>
        </w:tc>
        <w:tc>
          <w:tcPr>
            <w:tcW w:w="850" w:type="dxa"/>
            <w:vAlign w:val="center"/>
            <w:hideMark/>
          </w:tcPr>
          <w:p w14:paraId="2F7C7DFF" w14:textId="571AAE35"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52</w:t>
            </w:r>
          </w:p>
        </w:tc>
        <w:tc>
          <w:tcPr>
            <w:tcW w:w="850" w:type="dxa"/>
            <w:vAlign w:val="center"/>
            <w:hideMark/>
          </w:tcPr>
          <w:p w14:paraId="55FA7A26" w14:textId="72988B53"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52</w:t>
            </w:r>
          </w:p>
        </w:tc>
        <w:tc>
          <w:tcPr>
            <w:tcW w:w="850" w:type="dxa"/>
            <w:vAlign w:val="center"/>
            <w:hideMark/>
          </w:tcPr>
          <w:p w14:paraId="052CEDD5" w14:textId="0581FD39"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50</w:t>
            </w:r>
          </w:p>
        </w:tc>
        <w:tc>
          <w:tcPr>
            <w:tcW w:w="850" w:type="dxa"/>
            <w:vAlign w:val="center"/>
            <w:hideMark/>
          </w:tcPr>
          <w:p w14:paraId="27ACB8AE" w14:textId="274822B4"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53</w:t>
            </w:r>
          </w:p>
        </w:tc>
        <w:tc>
          <w:tcPr>
            <w:tcW w:w="850" w:type="dxa"/>
            <w:vAlign w:val="center"/>
            <w:hideMark/>
          </w:tcPr>
          <w:p w14:paraId="2835BCCF" w14:textId="5773EF6D" w:rsidR="0003234F" w:rsidRPr="00D40D66" w:rsidRDefault="0003234F" w:rsidP="00CC68EE">
            <w:pPr>
              <w:pStyle w:val="TableHead"/>
              <w:keepNext w:val="0"/>
              <w:spacing w:after="0" w:line="168" w:lineRule="auto"/>
              <w:jc w:val="both"/>
              <w:rPr>
                <w:b w:val="0"/>
                <w:bCs w:val="0"/>
                <w:u w:val="single"/>
              </w:rPr>
            </w:pPr>
            <w:r w:rsidRPr="00D40D66">
              <w:rPr>
                <w:b w:val="0"/>
                <w:bCs w:val="0"/>
                <w:u w:val="single"/>
              </w:rPr>
              <w:t>196</w:t>
            </w:r>
          </w:p>
        </w:tc>
      </w:tr>
      <w:tr w:rsidR="0003234F" w:rsidRPr="0003234F" w14:paraId="50845E2D" w14:textId="77777777" w:rsidTr="00CC68EE">
        <w:trPr>
          <w:jc w:val="center"/>
        </w:trPr>
        <w:tc>
          <w:tcPr>
            <w:tcW w:w="2839" w:type="dxa"/>
            <w:noWrap/>
            <w:vAlign w:val="bottom"/>
            <w:hideMark/>
          </w:tcPr>
          <w:p w14:paraId="7DF85D1B" w14:textId="77777777" w:rsidR="0003234F" w:rsidRPr="0003234F" w:rsidRDefault="0003234F" w:rsidP="00CC68EE">
            <w:pPr>
              <w:spacing w:before="0" w:line="200" w:lineRule="exact"/>
              <w:rPr>
                <w:b/>
                <w:bCs/>
                <w:sz w:val="20"/>
                <w:szCs w:val="20"/>
                <w:u w:val="single"/>
              </w:rPr>
            </w:pPr>
          </w:p>
        </w:tc>
        <w:tc>
          <w:tcPr>
            <w:tcW w:w="850" w:type="dxa"/>
            <w:vAlign w:val="center"/>
            <w:hideMark/>
          </w:tcPr>
          <w:p w14:paraId="3C18C68D"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D85DEE0"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3C3EE13"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7E91194D"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F84AD57"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FFA9A94"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0C08ED8B"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4D8DB5CD"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6C65D737" w14:textId="77777777" w:rsidTr="00CC68EE">
        <w:trPr>
          <w:jc w:val="center"/>
        </w:trPr>
        <w:tc>
          <w:tcPr>
            <w:tcW w:w="2839" w:type="dxa"/>
            <w:noWrap/>
            <w:vAlign w:val="center"/>
            <w:hideMark/>
          </w:tcPr>
          <w:p w14:paraId="011DC2FC" w14:textId="77777777" w:rsidR="0003234F" w:rsidRPr="0003234F" w:rsidRDefault="0003234F" w:rsidP="00CC68EE">
            <w:pPr>
              <w:pStyle w:val="TableHead"/>
              <w:keepNext w:val="0"/>
              <w:spacing w:after="0" w:line="168" w:lineRule="auto"/>
              <w:jc w:val="both"/>
              <w:rPr>
                <w:b w:val="0"/>
                <w:bCs w:val="0"/>
              </w:rPr>
            </w:pPr>
            <w:r w:rsidRPr="0003234F">
              <w:rPr>
                <w:rFonts w:hint="cs"/>
                <w:b w:val="0"/>
                <w:bCs w:val="0"/>
                <w:rtl/>
                <w:lang w:val="fr-CH"/>
              </w:rPr>
              <w:t>المجموع</w:t>
            </w:r>
          </w:p>
        </w:tc>
        <w:tc>
          <w:tcPr>
            <w:tcW w:w="850" w:type="dxa"/>
            <w:vAlign w:val="center"/>
            <w:hideMark/>
          </w:tcPr>
          <w:p w14:paraId="6DCE00D4" w14:textId="5C78F0DE" w:rsidR="0003234F" w:rsidRPr="00D40D66" w:rsidRDefault="0003234F" w:rsidP="00CC68EE">
            <w:pPr>
              <w:pStyle w:val="TableHead"/>
              <w:keepNext w:val="0"/>
              <w:spacing w:after="0" w:line="168" w:lineRule="auto"/>
              <w:jc w:val="both"/>
              <w:rPr>
                <w:b w:val="0"/>
                <w:bCs w:val="0"/>
              </w:rPr>
            </w:pPr>
            <w:r w:rsidRPr="00D40D66">
              <w:rPr>
                <w:b w:val="0"/>
                <w:bCs w:val="0"/>
              </w:rPr>
              <w:t>16 312</w:t>
            </w:r>
          </w:p>
        </w:tc>
        <w:tc>
          <w:tcPr>
            <w:tcW w:w="850" w:type="dxa"/>
            <w:vAlign w:val="center"/>
            <w:hideMark/>
          </w:tcPr>
          <w:p w14:paraId="1302C991" w14:textId="47FA3D43" w:rsidR="0003234F" w:rsidRPr="00D40D66" w:rsidRDefault="0003234F" w:rsidP="00CC68EE">
            <w:pPr>
              <w:pStyle w:val="TableHead"/>
              <w:keepNext w:val="0"/>
              <w:spacing w:after="0" w:line="168" w:lineRule="auto"/>
              <w:jc w:val="both"/>
              <w:rPr>
                <w:b w:val="0"/>
                <w:bCs w:val="0"/>
              </w:rPr>
            </w:pPr>
            <w:r w:rsidRPr="00D40D66">
              <w:rPr>
                <w:b w:val="0"/>
                <w:bCs w:val="0"/>
              </w:rPr>
              <w:t>15 373</w:t>
            </w:r>
          </w:p>
        </w:tc>
        <w:tc>
          <w:tcPr>
            <w:tcW w:w="850" w:type="dxa"/>
            <w:vAlign w:val="center"/>
            <w:hideMark/>
          </w:tcPr>
          <w:p w14:paraId="6CFB8B20" w14:textId="1EA2852B" w:rsidR="0003234F" w:rsidRPr="00D40D66" w:rsidRDefault="0003234F" w:rsidP="00CC68EE">
            <w:pPr>
              <w:pStyle w:val="TableHead"/>
              <w:keepNext w:val="0"/>
              <w:spacing w:after="0" w:line="168" w:lineRule="auto"/>
              <w:jc w:val="both"/>
              <w:rPr>
                <w:b w:val="0"/>
                <w:bCs w:val="0"/>
              </w:rPr>
            </w:pPr>
            <w:r w:rsidRPr="00D40D66">
              <w:rPr>
                <w:b w:val="0"/>
                <w:bCs w:val="0"/>
              </w:rPr>
              <w:t>13 943</w:t>
            </w:r>
          </w:p>
        </w:tc>
        <w:tc>
          <w:tcPr>
            <w:tcW w:w="850" w:type="dxa"/>
            <w:vAlign w:val="center"/>
            <w:hideMark/>
          </w:tcPr>
          <w:p w14:paraId="09154776" w14:textId="10312D85" w:rsidR="0003234F" w:rsidRPr="00D40D66" w:rsidRDefault="0003234F" w:rsidP="00CC68EE">
            <w:pPr>
              <w:pStyle w:val="TableHead"/>
              <w:keepNext w:val="0"/>
              <w:spacing w:after="0" w:line="168" w:lineRule="auto"/>
              <w:jc w:val="both"/>
              <w:rPr>
                <w:b w:val="0"/>
                <w:bCs w:val="0"/>
              </w:rPr>
            </w:pPr>
            <w:r w:rsidRPr="00D40D66">
              <w:rPr>
                <w:b w:val="0"/>
                <w:bCs w:val="0"/>
              </w:rPr>
              <w:t>11 265</w:t>
            </w:r>
          </w:p>
        </w:tc>
        <w:tc>
          <w:tcPr>
            <w:tcW w:w="850" w:type="dxa"/>
            <w:vAlign w:val="center"/>
            <w:hideMark/>
          </w:tcPr>
          <w:p w14:paraId="10631EA9" w14:textId="67F19633" w:rsidR="0003234F" w:rsidRPr="00D40D66" w:rsidRDefault="0003234F" w:rsidP="00CC68EE">
            <w:pPr>
              <w:pStyle w:val="TableHead"/>
              <w:keepNext w:val="0"/>
              <w:spacing w:after="0" w:line="168" w:lineRule="auto"/>
              <w:jc w:val="both"/>
              <w:rPr>
                <w:b w:val="0"/>
                <w:bCs w:val="0"/>
              </w:rPr>
            </w:pPr>
            <w:r w:rsidRPr="00D40D66">
              <w:rPr>
                <w:b w:val="0"/>
                <w:bCs w:val="0"/>
              </w:rPr>
              <w:t>11 245</w:t>
            </w:r>
          </w:p>
        </w:tc>
        <w:tc>
          <w:tcPr>
            <w:tcW w:w="850" w:type="dxa"/>
            <w:vAlign w:val="center"/>
            <w:hideMark/>
          </w:tcPr>
          <w:p w14:paraId="459BF3FD" w14:textId="5EE9D11A" w:rsidR="0003234F" w:rsidRPr="00D40D66" w:rsidRDefault="0003234F" w:rsidP="00CC68EE">
            <w:pPr>
              <w:pStyle w:val="TableHead"/>
              <w:keepNext w:val="0"/>
              <w:spacing w:after="0" w:line="168" w:lineRule="auto"/>
              <w:jc w:val="both"/>
              <w:rPr>
                <w:b w:val="0"/>
                <w:bCs w:val="0"/>
              </w:rPr>
            </w:pPr>
            <w:r w:rsidRPr="00D40D66">
              <w:rPr>
                <w:b w:val="0"/>
                <w:bCs w:val="0"/>
              </w:rPr>
              <w:t>9 406</w:t>
            </w:r>
          </w:p>
        </w:tc>
        <w:tc>
          <w:tcPr>
            <w:tcW w:w="850" w:type="dxa"/>
            <w:vAlign w:val="center"/>
            <w:hideMark/>
          </w:tcPr>
          <w:p w14:paraId="0AEC0C67" w14:textId="049F2DB3" w:rsidR="0003234F" w:rsidRPr="00D40D66" w:rsidRDefault="0003234F" w:rsidP="00CC68EE">
            <w:pPr>
              <w:pStyle w:val="TableHead"/>
              <w:keepNext w:val="0"/>
              <w:spacing w:after="0" w:line="168" w:lineRule="auto"/>
              <w:jc w:val="both"/>
              <w:rPr>
                <w:b w:val="0"/>
                <w:bCs w:val="0"/>
              </w:rPr>
            </w:pPr>
            <w:r w:rsidRPr="00D40D66">
              <w:rPr>
                <w:b w:val="0"/>
                <w:bCs w:val="0"/>
              </w:rPr>
              <w:t>7 603</w:t>
            </w:r>
          </w:p>
        </w:tc>
        <w:tc>
          <w:tcPr>
            <w:tcW w:w="850" w:type="dxa"/>
            <w:vAlign w:val="center"/>
            <w:hideMark/>
          </w:tcPr>
          <w:p w14:paraId="1CA47694" w14:textId="0CE11D11" w:rsidR="0003234F" w:rsidRPr="00D40D66" w:rsidRDefault="0003234F" w:rsidP="00CC68EE">
            <w:pPr>
              <w:pStyle w:val="TableHead"/>
              <w:keepNext w:val="0"/>
              <w:spacing w:after="0" w:line="168" w:lineRule="auto"/>
              <w:jc w:val="both"/>
              <w:rPr>
                <w:b w:val="0"/>
                <w:bCs w:val="0"/>
              </w:rPr>
            </w:pPr>
            <w:r w:rsidRPr="00D40D66">
              <w:rPr>
                <w:b w:val="0"/>
                <w:bCs w:val="0"/>
              </w:rPr>
              <w:t>3 851</w:t>
            </w:r>
          </w:p>
        </w:tc>
      </w:tr>
      <w:tr w:rsidR="0003234F" w:rsidRPr="0003234F" w14:paraId="769FA2D3" w14:textId="77777777" w:rsidTr="00CC68EE">
        <w:trPr>
          <w:jc w:val="center"/>
        </w:trPr>
        <w:tc>
          <w:tcPr>
            <w:tcW w:w="2839" w:type="dxa"/>
            <w:noWrap/>
            <w:vAlign w:val="center"/>
            <w:hideMark/>
          </w:tcPr>
          <w:p w14:paraId="19FE55D0" w14:textId="77777777" w:rsidR="0003234F" w:rsidRPr="0003234F" w:rsidRDefault="0003234F" w:rsidP="00CC68EE">
            <w:pPr>
              <w:spacing w:before="0" w:line="200" w:lineRule="exact"/>
              <w:rPr>
                <w:b/>
                <w:bCs/>
                <w:sz w:val="20"/>
                <w:szCs w:val="20"/>
              </w:rPr>
            </w:pPr>
          </w:p>
        </w:tc>
        <w:tc>
          <w:tcPr>
            <w:tcW w:w="850" w:type="dxa"/>
            <w:vAlign w:val="center"/>
            <w:hideMark/>
          </w:tcPr>
          <w:p w14:paraId="4D2ED7B7"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916687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0BB16C2E"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08FCBDF"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78CF578"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5B1ACB3"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5C3B1A07"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26277ED"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4194224E" w14:textId="77777777" w:rsidTr="00CC68EE">
        <w:trPr>
          <w:jc w:val="center"/>
        </w:trPr>
        <w:tc>
          <w:tcPr>
            <w:tcW w:w="2839" w:type="dxa"/>
            <w:noWrap/>
            <w:vAlign w:val="bottom"/>
            <w:hideMark/>
          </w:tcPr>
          <w:p w14:paraId="65366FC9" w14:textId="77777777" w:rsidR="0003234F" w:rsidRPr="0003234F" w:rsidRDefault="0003234F" w:rsidP="00CC68EE">
            <w:pPr>
              <w:pStyle w:val="TableHead"/>
              <w:keepNext w:val="0"/>
              <w:spacing w:after="0" w:line="168" w:lineRule="auto"/>
              <w:jc w:val="both"/>
            </w:pPr>
            <w:r w:rsidRPr="0003234F">
              <w:rPr>
                <w:rFonts w:hint="cs"/>
                <w:i/>
                <w:iCs/>
                <w:rtl/>
                <w:lang w:val="fr-CH"/>
              </w:rPr>
              <w:t>المساهمات</w:t>
            </w:r>
          </w:p>
        </w:tc>
        <w:tc>
          <w:tcPr>
            <w:tcW w:w="850" w:type="dxa"/>
            <w:vAlign w:val="center"/>
            <w:hideMark/>
          </w:tcPr>
          <w:p w14:paraId="746B6B07" w14:textId="26661281" w:rsidR="0003234F" w:rsidRPr="00D40D66" w:rsidRDefault="0003234F" w:rsidP="00CC68EE">
            <w:pPr>
              <w:pStyle w:val="TableHead"/>
              <w:keepNext w:val="0"/>
              <w:spacing w:after="0" w:line="168" w:lineRule="auto"/>
              <w:jc w:val="both"/>
              <w:rPr>
                <w:i/>
                <w:iCs/>
              </w:rPr>
            </w:pPr>
            <w:r w:rsidRPr="00D40D66">
              <w:rPr>
                <w:i/>
                <w:iCs/>
              </w:rPr>
              <w:t>24 750</w:t>
            </w:r>
          </w:p>
        </w:tc>
        <w:tc>
          <w:tcPr>
            <w:tcW w:w="850" w:type="dxa"/>
            <w:vAlign w:val="center"/>
            <w:hideMark/>
          </w:tcPr>
          <w:p w14:paraId="57F5D2CB" w14:textId="2932248F" w:rsidR="0003234F" w:rsidRPr="00D40D66" w:rsidRDefault="0003234F" w:rsidP="00CC68EE">
            <w:pPr>
              <w:pStyle w:val="TableHead"/>
              <w:keepNext w:val="0"/>
              <w:spacing w:after="0" w:line="168" w:lineRule="auto"/>
              <w:jc w:val="both"/>
              <w:rPr>
                <w:i/>
                <w:iCs/>
              </w:rPr>
            </w:pPr>
            <w:r w:rsidRPr="00D40D66">
              <w:rPr>
                <w:i/>
                <w:iCs/>
              </w:rPr>
              <w:t>25 437</w:t>
            </w:r>
          </w:p>
        </w:tc>
        <w:tc>
          <w:tcPr>
            <w:tcW w:w="850" w:type="dxa"/>
            <w:vAlign w:val="center"/>
            <w:hideMark/>
          </w:tcPr>
          <w:p w14:paraId="0CA49B47" w14:textId="45045299" w:rsidR="0003234F" w:rsidRPr="00D40D66" w:rsidRDefault="0003234F" w:rsidP="00CC68EE">
            <w:pPr>
              <w:pStyle w:val="TableHead"/>
              <w:keepNext w:val="0"/>
              <w:spacing w:after="0" w:line="168" w:lineRule="auto"/>
              <w:jc w:val="both"/>
              <w:rPr>
                <w:i/>
                <w:iCs/>
              </w:rPr>
            </w:pPr>
            <w:r w:rsidRPr="00D40D66">
              <w:rPr>
                <w:i/>
                <w:iCs/>
              </w:rPr>
              <w:t>23 577</w:t>
            </w:r>
          </w:p>
        </w:tc>
        <w:tc>
          <w:tcPr>
            <w:tcW w:w="850" w:type="dxa"/>
            <w:vAlign w:val="center"/>
            <w:hideMark/>
          </w:tcPr>
          <w:p w14:paraId="21E5AAFE" w14:textId="57ED72E0" w:rsidR="0003234F" w:rsidRPr="00D40D66" w:rsidRDefault="0003234F" w:rsidP="00CC68EE">
            <w:pPr>
              <w:pStyle w:val="TableHead"/>
              <w:keepNext w:val="0"/>
              <w:spacing w:after="0" w:line="168" w:lineRule="auto"/>
              <w:jc w:val="both"/>
              <w:rPr>
                <w:i/>
                <w:iCs/>
              </w:rPr>
            </w:pPr>
            <w:r w:rsidRPr="00D40D66">
              <w:rPr>
                <w:i/>
                <w:iCs/>
              </w:rPr>
              <w:t>19 896</w:t>
            </w:r>
          </w:p>
        </w:tc>
        <w:tc>
          <w:tcPr>
            <w:tcW w:w="850" w:type="dxa"/>
            <w:vAlign w:val="center"/>
            <w:hideMark/>
          </w:tcPr>
          <w:p w14:paraId="02DD8E98" w14:textId="4682ED16" w:rsidR="0003234F" w:rsidRPr="00D40D66" w:rsidRDefault="0003234F" w:rsidP="00CC68EE">
            <w:pPr>
              <w:pStyle w:val="TableHead"/>
              <w:keepNext w:val="0"/>
              <w:spacing w:after="0" w:line="168" w:lineRule="auto"/>
              <w:jc w:val="both"/>
              <w:rPr>
                <w:i/>
                <w:iCs/>
              </w:rPr>
            </w:pPr>
            <w:r w:rsidRPr="00D40D66">
              <w:rPr>
                <w:i/>
                <w:iCs/>
              </w:rPr>
              <w:t>20 158</w:t>
            </w:r>
          </w:p>
        </w:tc>
        <w:tc>
          <w:tcPr>
            <w:tcW w:w="850" w:type="dxa"/>
            <w:vAlign w:val="center"/>
            <w:hideMark/>
          </w:tcPr>
          <w:p w14:paraId="08B4192A" w14:textId="30DF8570" w:rsidR="0003234F" w:rsidRPr="00D40D66" w:rsidRDefault="0003234F" w:rsidP="00CC68EE">
            <w:pPr>
              <w:pStyle w:val="TableHead"/>
              <w:keepNext w:val="0"/>
              <w:spacing w:after="0" w:line="168" w:lineRule="auto"/>
              <w:jc w:val="both"/>
              <w:rPr>
                <w:i/>
                <w:iCs/>
              </w:rPr>
            </w:pPr>
            <w:r w:rsidRPr="00D40D66">
              <w:rPr>
                <w:i/>
                <w:iCs/>
              </w:rPr>
              <w:t>20 424</w:t>
            </w:r>
          </w:p>
        </w:tc>
        <w:tc>
          <w:tcPr>
            <w:tcW w:w="850" w:type="dxa"/>
            <w:vAlign w:val="center"/>
            <w:hideMark/>
          </w:tcPr>
          <w:p w14:paraId="00361FBB" w14:textId="771D9C31" w:rsidR="0003234F" w:rsidRPr="00D40D66" w:rsidRDefault="0003234F" w:rsidP="00CC68EE">
            <w:pPr>
              <w:pStyle w:val="TableHead"/>
              <w:keepNext w:val="0"/>
              <w:spacing w:after="0" w:line="168" w:lineRule="auto"/>
              <w:jc w:val="both"/>
              <w:rPr>
                <w:i/>
                <w:iCs/>
              </w:rPr>
            </w:pPr>
            <w:r w:rsidRPr="00D40D66">
              <w:rPr>
                <w:i/>
                <w:iCs/>
              </w:rPr>
              <w:t>19 912</w:t>
            </w:r>
          </w:p>
        </w:tc>
        <w:tc>
          <w:tcPr>
            <w:tcW w:w="850" w:type="dxa"/>
            <w:vAlign w:val="center"/>
            <w:hideMark/>
          </w:tcPr>
          <w:p w14:paraId="376BE745" w14:textId="3AB065C6" w:rsidR="0003234F" w:rsidRPr="00D40D66" w:rsidRDefault="0003234F" w:rsidP="00CC68EE">
            <w:pPr>
              <w:pStyle w:val="TableHead"/>
              <w:keepNext w:val="0"/>
              <w:spacing w:after="0" w:line="168" w:lineRule="auto"/>
              <w:jc w:val="both"/>
              <w:rPr>
                <w:i/>
                <w:iCs/>
              </w:rPr>
            </w:pPr>
            <w:r w:rsidRPr="00D40D66">
              <w:rPr>
                <w:i/>
                <w:iCs/>
              </w:rPr>
              <w:t>12 582</w:t>
            </w:r>
          </w:p>
        </w:tc>
      </w:tr>
      <w:tr w:rsidR="0003234F" w:rsidRPr="0003234F" w14:paraId="10BD96A9" w14:textId="77777777" w:rsidTr="00CC68EE">
        <w:trPr>
          <w:jc w:val="center"/>
        </w:trPr>
        <w:tc>
          <w:tcPr>
            <w:tcW w:w="2839" w:type="dxa"/>
            <w:noWrap/>
            <w:vAlign w:val="bottom"/>
            <w:hideMark/>
          </w:tcPr>
          <w:p w14:paraId="6AF4DC4E" w14:textId="77777777" w:rsidR="0003234F" w:rsidRPr="0003234F" w:rsidRDefault="0003234F" w:rsidP="00CC68EE">
            <w:pPr>
              <w:spacing w:before="0" w:line="200" w:lineRule="exact"/>
              <w:rPr>
                <w:i/>
                <w:iCs/>
                <w:sz w:val="20"/>
                <w:szCs w:val="20"/>
              </w:rPr>
            </w:pPr>
          </w:p>
        </w:tc>
        <w:tc>
          <w:tcPr>
            <w:tcW w:w="850" w:type="dxa"/>
            <w:vAlign w:val="center"/>
            <w:hideMark/>
          </w:tcPr>
          <w:p w14:paraId="4EB49199"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00427EC4"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1205D310"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047EC696"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0E952C10"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0BC816FF"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1626EE9E"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E9CCEFC" w14:textId="77777777" w:rsidR="0003234F" w:rsidRPr="00D40D66" w:rsidRDefault="0003234F" w:rsidP="00CC68EE">
            <w:pPr>
              <w:tabs>
                <w:tab w:val="clear" w:pos="794"/>
              </w:tabs>
              <w:spacing w:before="0" w:line="200" w:lineRule="exact"/>
              <w:jc w:val="left"/>
              <w:rPr>
                <w:b/>
                <w:bCs/>
                <w:sz w:val="20"/>
                <w:szCs w:val="20"/>
                <w:lang w:val="en-GB" w:eastAsia="en-GB"/>
              </w:rPr>
            </w:pPr>
          </w:p>
        </w:tc>
      </w:tr>
      <w:tr w:rsidR="0003234F" w:rsidRPr="0003234F" w14:paraId="4183A600" w14:textId="77777777" w:rsidTr="00CC68EE">
        <w:trPr>
          <w:jc w:val="center"/>
        </w:trPr>
        <w:tc>
          <w:tcPr>
            <w:tcW w:w="2839" w:type="dxa"/>
            <w:noWrap/>
            <w:vAlign w:val="bottom"/>
            <w:hideMark/>
          </w:tcPr>
          <w:p w14:paraId="544999D9" w14:textId="77777777" w:rsidR="0003234F" w:rsidRPr="0003234F" w:rsidRDefault="0003234F" w:rsidP="00CC68EE">
            <w:pPr>
              <w:pStyle w:val="TableHead"/>
              <w:keepNext w:val="0"/>
              <w:spacing w:after="0" w:line="168" w:lineRule="auto"/>
              <w:jc w:val="both"/>
            </w:pPr>
            <w:r w:rsidRPr="0003234F">
              <w:rPr>
                <w:rFonts w:hint="cs"/>
                <w:i/>
                <w:iCs/>
                <w:rtl/>
                <w:lang w:val="fr-CH"/>
              </w:rPr>
              <w:t>المنشورات</w:t>
            </w:r>
          </w:p>
        </w:tc>
        <w:tc>
          <w:tcPr>
            <w:tcW w:w="850" w:type="dxa"/>
            <w:vAlign w:val="center"/>
            <w:hideMark/>
          </w:tcPr>
          <w:p w14:paraId="26A00C79" w14:textId="6FC4BF44" w:rsidR="0003234F" w:rsidRPr="00D40D66" w:rsidRDefault="0003234F" w:rsidP="00CC68EE">
            <w:pPr>
              <w:pStyle w:val="TableHead"/>
              <w:keepNext w:val="0"/>
              <w:spacing w:after="0" w:line="168" w:lineRule="auto"/>
              <w:jc w:val="both"/>
              <w:rPr>
                <w:i/>
                <w:iCs/>
              </w:rPr>
            </w:pPr>
            <w:r w:rsidRPr="00D40D66">
              <w:rPr>
                <w:i/>
                <w:iCs/>
              </w:rPr>
              <w:t>48</w:t>
            </w:r>
          </w:p>
        </w:tc>
        <w:tc>
          <w:tcPr>
            <w:tcW w:w="850" w:type="dxa"/>
            <w:vAlign w:val="center"/>
            <w:hideMark/>
          </w:tcPr>
          <w:p w14:paraId="650B5459" w14:textId="66A6638C" w:rsidR="0003234F" w:rsidRPr="00D40D66" w:rsidRDefault="0003234F" w:rsidP="00CC68EE">
            <w:pPr>
              <w:pStyle w:val="TableHead"/>
              <w:keepNext w:val="0"/>
              <w:spacing w:after="0" w:line="168" w:lineRule="auto"/>
              <w:jc w:val="both"/>
              <w:rPr>
                <w:i/>
                <w:iCs/>
              </w:rPr>
            </w:pPr>
            <w:r w:rsidRPr="00D40D66">
              <w:rPr>
                <w:i/>
                <w:iCs/>
              </w:rPr>
              <w:t>42</w:t>
            </w:r>
          </w:p>
        </w:tc>
        <w:tc>
          <w:tcPr>
            <w:tcW w:w="850" w:type="dxa"/>
            <w:vAlign w:val="center"/>
            <w:hideMark/>
          </w:tcPr>
          <w:p w14:paraId="7EAFC4BA" w14:textId="4B5364CA" w:rsidR="0003234F" w:rsidRPr="00D40D66" w:rsidRDefault="0003234F" w:rsidP="00CC68EE">
            <w:pPr>
              <w:pStyle w:val="TableHead"/>
              <w:keepNext w:val="0"/>
              <w:spacing w:after="0" w:line="168" w:lineRule="auto"/>
              <w:jc w:val="both"/>
              <w:rPr>
                <w:i/>
                <w:iCs/>
              </w:rPr>
            </w:pPr>
            <w:r w:rsidRPr="00D40D66">
              <w:rPr>
                <w:i/>
                <w:iCs/>
              </w:rPr>
              <w:t>42</w:t>
            </w:r>
          </w:p>
        </w:tc>
        <w:tc>
          <w:tcPr>
            <w:tcW w:w="850" w:type="dxa"/>
            <w:vAlign w:val="center"/>
            <w:hideMark/>
          </w:tcPr>
          <w:p w14:paraId="381B1113" w14:textId="3375EE8F" w:rsidR="0003234F" w:rsidRPr="00D40D66" w:rsidRDefault="0003234F" w:rsidP="00CC68EE">
            <w:pPr>
              <w:pStyle w:val="TableHead"/>
              <w:keepNext w:val="0"/>
              <w:spacing w:after="0" w:line="168" w:lineRule="auto"/>
              <w:jc w:val="both"/>
              <w:rPr>
                <w:i/>
                <w:iCs/>
              </w:rPr>
            </w:pPr>
            <w:r w:rsidRPr="00D40D66">
              <w:rPr>
                <w:i/>
                <w:iCs/>
              </w:rPr>
              <w:t>92</w:t>
            </w:r>
          </w:p>
        </w:tc>
        <w:tc>
          <w:tcPr>
            <w:tcW w:w="850" w:type="dxa"/>
            <w:vAlign w:val="center"/>
            <w:hideMark/>
          </w:tcPr>
          <w:p w14:paraId="016AE956" w14:textId="15B3745D" w:rsidR="0003234F" w:rsidRPr="00D40D66" w:rsidRDefault="0003234F" w:rsidP="00CC68EE">
            <w:pPr>
              <w:pStyle w:val="TableHead"/>
              <w:keepNext w:val="0"/>
              <w:spacing w:after="0" w:line="168" w:lineRule="auto"/>
              <w:jc w:val="both"/>
              <w:rPr>
                <w:i/>
                <w:iCs/>
              </w:rPr>
            </w:pPr>
            <w:r w:rsidRPr="00D40D66">
              <w:rPr>
                <w:i/>
                <w:iCs/>
              </w:rPr>
              <w:t>93</w:t>
            </w:r>
          </w:p>
        </w:tc>
        <w:tc>
          <w:tcPr>
            <w:tcW w:w="850" w:type="dxa"/>
            <w:vAlign w:val="center"/>
            <w:hideMark/>
          </w:tcPr>
          <w:p w14:paraId="7D863D23" w14:textId="79A890B5" w:rsidR="0003234F" w:rsidRPr="00D40D66" w:rsidRDefault="0003234F" w:rsidP="00CC68EE">
            <w:pPr>
              <w:pStyle w:val="TableHead"/>
              <w:keepNext w:val="0"/>
              <w:spacing w:after="0" w:line="168" w:lineRule="auto"/>
              <w:jc w:val="both"/>
              <w:rPr>
                <w:i/>
                <w:iCs/>
              </w:rPr>
            </w:pPr>
            <w:r w:rsidRPr="00D40D66">
              <w:rPr>
                <w:i/>
                <w:iCs/>
              </w:rPr>
              <w:t>97</w:t>
            </w:r>
          </w:p>
        </w:tc>
        <w:tc>
          <w:tcPr>
            <w:tcW w:w="850" w:type="dxa"/>
            <w:vAlign w:val="center"/>
            <w:hideMark/>
          </w:tcPr>
          <w:p w14:paraId="21E47110" w14:textId="5549F8DA" w:rsidR="0003234F" w:rsidRPr="00D40D66" w:rsidRDefault="0003234F" w:rsidP="00CC68EE">
            <w:pPr>
              <w:pStyle w:val="TableHead"/>
              <w:keepNext w:val="0"/>
              <w:spacing w:after="0" w:line="168" w:lineRule="auto"/>
              <w:jc w:val="both"/>
              <w:rPr>
                <w:i/>
                <w:iCs/>
              </w:rPr>
            </w:pPr>
            <w:r w:rsidRPr="00D40D66">
              <w:rPr>
                <w:i/>
                <w:iCs/>
              </w:rPr>
              <w:t>99</w:t>
            </w:r>
          </w:p>
        </w:tc>
        <w:tc>
          <w:tcPr>
            <w:tcW w:w="850" w:type="dxa"/>
            <w:vAlign w:val="center"/>
            <w:hideMark/>
          </w:tcPr>
          <w:p w14:paraId="53D22FE1" w14:textId="56D1DBD4" w:rsidR="0003234F" w:rsidRPr="00D40D66" w:rsidRDefault="0003234F" w:rsidP="00CC68EE">
            <w:pPr>
              <w:pStyle w:val="TableHead"/>
              <w:keepNext w:val="0"/>
              <w:spacing w:after="0" w:line="168" w:lineRule="auto"/>
              <w:jc w:val="both"/>
              <w:rPr>
                <w:i/>
                <w:iCs/>
              </w:rPr>
            </w:pPr>
            <w:r w:rsidRPr="00D40D66">
              <w:rPr>
                <w:i/>
                <w:iCs/>
              </w:rPr>
              <w:t>245</w:t>
            </w:r>
          </w:p>
        </w:tc>
      </w:tr>
      <w:tr w:rsidR="0003234F" w:rsidRPr="0003234F" w14:paraId="3CC0F0F0" w14:textId="77777777" w:rsidTr="00CC68EE">
        <w:trPr>
          <w:jc w:val="center"/>
        </w:trPr>
        <w:tc>
          <w:tcPr>
            <w:tcW w:w="2839" w:type="dxa"/>
            <w:noWrap/>
            <w:vAlign w:val="bottom"/>
            <w:hideMark/>
          </w:tcPr>
          <w:p w14:paraId="728430FA" w14:textId="77777777" w:rsidR="0003234F" w:rsidRPr="0003234F" w:rsidRDefault="0003234F" w:rsidP="00CC68EE">
            <w:pPr>
              <w:spacing w:before="0" w:line="200" w:lineRule="exact"/>
              <w:rPr>
                <w:i/>
                <w:iCs/>
                <w:sz w:val="20"/>
                <w:szCs w:val="20"/>
              </w:rPr>
            </w:pPr>
          </w:p>
        </w:tc>
        <w:tc>
          <w:tcPr>
            <w:tcW w:w="850" w:type="dxa"/>
            <w:vAlign w:val="center"/>
            <w:hideMark/>
          </w:tcPr>
          <w:p w14:paraId="5457E500"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4AF90658"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4E753389"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0146F93F"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1AD49DA3"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9B02F16"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270B3F2A"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582FA15" w14:textId="77777777" w:rsidR="0003234F" w:rsidRPr="00D40D66" w:rsidRDefault="0003234F" w:rsidP="00CC68EE">
            <w:pPr>
              <w:tabs>
                <w:tab w:val="clear" w:pos="794"/>
              </w:tabs>
              <w:spacing w:before="0" w:line="200" w:lineRule="exact"/>
              <w:jc w:val="left"/>
              <w:rPr>
                <w:b/>
                <w:bCs/>
                <w:sz w:val="20"/>
                <w:szCs w:val="20"/>
                <w:lang w:val="en-GB" w:eastAsia="en-GB"/>
              </w:rPr>
            </w:pPr>
          </w:p>
        </w:tc>
      </w:tr>
      <w:tr w:rsidR="0003234F" w:rsidRPr="0003234F" w14:paraId="64FF9035" w14:textId="77777777" w:rsidTr="00CC68EE">
        <w:trPr>
          <w:jc w:val="center"/>
        </w:trPr>
        <w:tc>
          <w:tcPr>
            <w:tcW w:w="2839" w:type="dxa"/>
            <w:noWrap/>
            <w:vAlign w:val="bottom"/>
            <w:hideMark/>
          </w:tcPr>
          <w:p w14:paraId="50E80406" w14:textId="77777777" w:rsidR="0003234F" w:rsidRPr="0003234F" w:rsidRDefault="0003234F" w:rsidP="00CC68EE">
            <w:pPr>
              <w:pStyle w:val="TableHead"/>
              <w:keepNext w:val="0"/>
              <w:spacing w:after="0" w:line="168" w:lineRule="auto"/>
              <w:jc w:val="both"/>
            </w:pPr>
            <w:r w:rsidRPr="0003234F">
              <w:rPr>
                <w:rFonts w:hint="cs"/>
                <w:rtl/>
              </w:rPr>
              <w:t>مجموع المتأخرات</w:t>
            </w:r>
          </w:p>
        </w:tc>
        <w:tc>
          <w:tcPr>
            <w:tcW w:w="850" w:type="dxa"/>
            <w:vAlign w:val="center"/>
            <w:hideMark/>
          </w:tcPr>
          <w:p w14:paraId="6FEF360A" w14:textId="1B673869" w:rsidR="0003234F" w:rsidRPr="00D40D66" w:rsidRDefault="0003234F" w:rsidP="00CC68EE">
            <w:pPr>
              <w:pStyle w:val="TableHead"/>
              <w:keepNext w:val="0"/>
              <w:spacing w:after="0" w:line="168" w:lineRule="auto"/>
              <w:jc w:val="both"/>
            </w:pPr>
            <w:r w:rsidRPr="00D40D66">
              <w:t>24 798</w:t>
            </w:r>
          </w:p>
        </w:tc>
        <w:tc>
          <w:tcPr>
            <w:tcW w:w="850" w:type="dxa"/>
            <w:vAlign w:val="center"/>
            <w:hideMark/>
          </w:tcPr>
          <w:p w14:paraId="46F911FF" w14:textId="2EAC010C" w:rsidR="0003234F" w:rsidRPr="00D40D66" w:rsidRDefault="0003234F" w:rsidP="00CC68EE">
            <w:pPr>
              <w:pStyle w:val="TableHead"/>
              <w:keepNext w:val="0"/>
              <w:spacing w:after="0" w:line="168" w:lineRule="auto"/>
              <w:jc w:val="both"/>
            </w:pPr>
            <w:r w:rsidRPr="00D40D66">
              <w:t>25 479</w:t>
            </w:r>
          </w:p>
        </w:tc>
        <w:tc>
          <w:tcPr>
            <w:tcW w:w="850" w:type="dxa"/>
            <w:vAlign w:val="center"/>
            <w:hideMark/>
          </w:tcPr>
          <w:p w14:paraId="5C3440EC" w14:textId="7842A1D5" w:rsidR="0003234F" w:rsidRPr="00D40D66" w:rsidRDefault="0003234F" w:rsidP="00CC68EE">
            <w:pPr>
              <w:pStyle w:val="TableHead"/>
              <w:keepNext w:val="0"/>
              <w:spacing w:after="0" w:line="168" w:lineRule="auto"/>
              <w:jc w:val="both"/>
            </w:pPr>
            <w:r w:rsidRPr="00D40D66">
              <w:t>23 619</w:t>
            </w:r>
          </w:p>
        </w:tc>
        <w:tc>
          <w:tcPr>
            <w:tcW w:w="850" w:type="dxa"/>
            <w:vAlign w:val="center"/>
            <w:hideMark/>
          </w:tcPr>
          <w:p w14:paraId="5BAB7D0B" w14:textId="5FD7A138" w:rsidR="0003234F" w:rsidRPr="00D40D66" w:rsidRDefault="0003234F" w:rsidP="00CC68EE">
            <w:pPr>
              <w:pStyle w:val="TableHead"/>
              <w:keepNext w:val="0"/>
              <w:spacing w:after="0" w:line="168" w:lineRule="auto"/>
              <w:jc w:val="both"/>
            </w:pPr>
            <w:r w:rsidRPr="00D40D66">
              <w:t>19 988</w:t>
            </w:r>
          </w:p>
        </w:tc>
        <w:tc>
          <w:tcPr>
            <w:tcW w:w="850" w:type="dxa"/>
            <w:vAlign w:val="center"/>
            <w:hideMark/>
          </w:tcPr>
          <w:p w14:paraId="5CE8EAA2" w14:textId="2C37D415" w:rsidR="0003234F" w:rsidRPr="00D40D66" w:rsidRDefault="0003234F" w:rsidP="00CC68EE">
            <w:pPr>
              <w:pStyle w:val="TableHead"/>
              <w:keepNext w:val="0"/>
              <w:spacing w:after="0" w:line="168" w:lineRule="auto"/>
              <w:jc w:val="both"/>
            </w:pPr>
            <w:r w:rsidRPr="00D40D66">
              <w:t>20 251</w:t>
            </w:r>
          </w:p>
        </w:tc>
        <w:tc>
          <w:tcPr>
            <w:tcW w:w="850" w:type="dxa"/>
            <w:vAlign w:val="center"/>
            <w:hideMark/>
          </w:tcPr>
          <w:p w14:paraId="6E7E284F" w14:textId="674AD07E" w:rsidR="0003234F" w:rsidRPr="00D40D66" w:rsidRDefault="0003234F" w:rsidP="00CC68EE">
            <w:pPr>
              <w:pStyle w:val="TableHead"/>
              <w:keepNext w:val="0"/>
              <w:spacing w:after="0" w:line="168" w:lineRule="auto"/>
              <w:jc w:val="both"/>
            </w:pPr>
            <w:r w:rsidRPr="00D40D66">
              <w:t>20 521</w:t>
            </w:r>
          </w:p>
        </w:tc>
        <w:tc>
          <w:tcPr>
            <w:tcW w:w="850" w:type="dxa"/>
            <w:vAlign w:val="center"/>
            <w:hideMark/>
          </w:tcPr>
          <w:p w14:paraId="78DD4845" w14:textId="34E7E799" w:rsidR="0003234F" w:rsidRPr="00D40D66" w:rsidRDefault="0003234F" w:rsidP="00CC68EE">
            <w:pPr>
              <w:pStyle w:val="TableHead"/>
              <w:keepNext w:val="0"/>
              <w:spacing w:after="0" w:line="168" w:lineRule="auto"/>
              <w:jc w:val="both"/>
            </w:pPr>
            <w:r w:rsidRPr="00D40D66">
              <w:t>20 011</w:t>
            </w:r>
          </w:p>
        </w:tc>
        <w:tc>
          <w:tcPr>
            <w:tcW w:w="850" w:type="dxa"/>
            <w:vAlign w:val="center"/>
            <w:hideMark/>
          </w:tcPr>
          <w:p w14:paraId="5C2A7CB8" w14:textId="5F6DE918" w:rsidR="0003234F" w:rsidRPr="00D40D66" w:rsidRDefault="0003234F" w:rsidP="00CC68EE">
            <w:pPr>
              <w:pStyle w:val="TableHead"/>
              <w:keepNext w:val="0"/>
              <w:spacing w:after="0" w:line="168" w:lineRule="auto"/>
              <w:jc w:val="both"/>
            </w:pPr>
            <w:r w:rsidRPr="00D40D66">
              <w:t>12 827</w:t>
            </w:r>
          </w:p>
        </w:tc>
      </w:tr>
      <w:tr w:rsidR="0003234F" w:rsidRPr="0003234F" w14:paraId="150973BA" w14:textId="77777777" w:rsidTr="00CC68EE">
        <w:trPr>
          <w:jc w:val="center"/>
        </w:trPr>
        <w:tc>
          <w:tcPr>
            <w:tcW w:w="2839" w:type="dxa"/>
            <w:noWrap/>
            <w:vAlign w:val="bottom"/>
            <w:hideMark/>
          </w:tcPr>
          <w:p w14:paraId="3B4C3AA3" w14:textId="77777777" w:rsidR="0003234F" w:rsidRPr="0003234F" w:rsidRDefault="0003234F" w:rsidP="00CC68EE">
            <w:pPr>
              <w:spacing w:before="0" w:line="200" w:lineRule="exact"/>
              <w:rPr>
                <w:sz w:val="20"/>
                <w:szCs w:val="20"/>
              </w:rPr>
            </w:pPr>
          </w:p>
        </w:tc>
        <w:tc>
          <w:tcPr>
            <w:tcW w:w="850" w:type="dxa"/>
            <w:vAlign w:val="center"/>
            <w:hideMark/>
          </w:tcPr>
          <w:p w14:paraId="767262F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D4AAEB0"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551C6895"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3DE50361"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5BF859F"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F75CF05"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1593DDBE" w14:textId="77777777" w:rsidR="0003234F" w:rsidRPr="00D40D66" w:rsidRDefault="0003234F" w:rsidP="00CC68EE">
            <w:pPr>
              <w:tabs>
                <w:tab w:val="clear" w:pos="794"/>
              </w:tabs>
              <w:spacing w:before="0" w:line="200" w:lineRule="exact"/>
              <w:jc w:val="left"/>
              <w:rPr>
                <w:sz w:val="20"/>
                <w:szCs w:val="20"/>
                <w:lang w:val="en-GB" w:eastAsia="en-GB"/>
              </w:rPr>
            </w:pPr>
          </w:p>
        </w:tc>
        <w:tc>
          <w:tcPr>
            <w:tcW w:w="850" w:type="dxa"/>
            <w:vAlign w:val="center"/>
            <w:hideMark/>
          </w:tcPr>
          <w:p w14:paraId="64AE7D4A" w14:textId="77777777" w:rsidR="0003234F" w:rsidRPr="00D40D66" w:rsidRDefault="0003234F" w:rsidP="00CC68EE">
            <w:pPr>
              <w:tabs>
                <w:tab w:val="clear" w:pos="794"/>
              </w:tabs>
              <w:spacing w:before="0" w:line="200" w:lineRule="exact"/>
              <w:jc w:val="left"/>
              <w:rPr>
                <w:sz w:val="20"/>
                <w:szCs w:val="20"/>
                <w:lang w:val="en-GB" w:eastAsia="en-GB"/>
              </w:rPr>
            </w:pPr>
          </w:p>
        </w:tc>
      </w:tr>
      <w:tr w:rsidR="0003234F" w:rsidRPr="0003234F" w14:paraId="0BB62F38" w14:textId="77777777" w:rsidTr="00CC68EE">
        <w:trPr>
          <w:jc w:val="center"/>
        </w:trPr>
        <w:tc>
          <w:tcPr>
            <w:tcW w:w="2839" w:type="dxa"/>
            <w:vAlign w:val="bottom"/>
            <w:hideMark/>
          </w:tcPr>
          <w:p w14:paraId="26A95301" w14:textId="77777777" w:rsidR="0003234F" w:rsidRPr="0003234F" w:rsidRDefault="0003234F" w:rsidP="00CC68EE">
            <w:pPr>
              <w:pStyle w:val="TableHead"/>
              <w:keepNext w:val="0"/>
              <w:spacing w:after="0" w:line="168" w:lineRule="auto"/>
              <w:jc w:val="both"/>
            </w:pPr>
            <w:r w:rsidRPr="0003234F">
              <w:rPr>
                <w:rFonts w:hint="cs"/>
                <w:rtl/>
                <w:lang w:bidi="ar-EG"/>
              </w:rPr>
              <w:t>اتفاقات السداد</w:t>
            </w:r>
          </w:p>
        </w:tc>
        <w:tc>
          <w:tcPr>
            <w:tcW w:w="850" w:type="dxa"/>
            <w:vAlign w:val="center"/>
            <w:hideMark/>
          </w:tcPr>
          <w:p w14:paraId="48E21C30" w14:textId="4D217A8C" w:rsidR="0003234F" w:rsidRPr="00D40D66" w:rsidRDefault="0003234F" w:rsidP="00CC68EE">
            <w:pPr>
              <w:pStyle w:val="TableHead"/>
              <w:keepNext w:val="0"/>
              <w:spacing w:after="0" w:line="168" w:lineRule="auto"/>
              <w:jc w:val="both"/>
            </w:pPr>
            <w:r w:rsidRPr="00D40D66">
              <w:t>15 823</w:t>
            </w:r>
          </w:p>
        </w:tc>
        <w:tc>
          <w:tcPr>
            <w:tcW w:w="850" w:type="dxa"/>
            <w:vAlign w:val="center"/>
            <w:hideMark/>
          </w:tcPr>
          <w:p w14:paraId="25603A93" w14:textId="4A441BAE" w:rsidR="0003234F" w:rsidRPr="00D40D66" w:rsidRDefault="0003234F" w:rsidP="00CC68EE">
            <w:pPr>
              <w:pStyle w:val="TableHead"/>
              <w:keepNext w:val="0"/>
              <w:spacing w:after="0" w:line="168" w:lineRule="auto"/>
              <w:jc w:val="both"/>
            </w:pPr>
            <w:r w:rsidRPr="00D40D66">
              <w:t>8 094</w:t>
            </w:r>
          </w:p>
        </w:tc>
        <w:tc>
          <w:tcPr>
            <w:tcW w:w="850" w:type="dxa"/>
            <w:vAlign w:val="center"/>
            <w:hideMark/>
          </w:tcPr>
          <w:p w14:paraId="77B3EAC5" w14:textId="7B05992F" w:rsidR="0003234F" w:rsidRPr="00D40D66" w:rsidRDefault="0003234F" w:rsidP="00CC68EE">
            <w:pPr>
              <w:pStyle w:val="TableHead"/>
              <w:keepNext w:val="0"/>
              <w:spacing w:after="0" w:line="168" w:lineRule="auto"/>
              <w:jc w:val="both"/>
            </w:pPr>
            <w:r w:rsidRPr="00D40D66">
              <w:t>7 601</w:t>
            </w:r>
          </w:p>
        </w:tc>
        <w:tc>
          <w:tcPr>
            <w:tcW w:w="850" w:type="dxa"/>
            <w:vAlign w:val="center"/>
            <w:hideMark/>
          </w:tcPr>
          <w:p w14:paraId="4C4291CF" w14:textId="4D0AC224" w:rsidR="0003234F" w:rsidRPr="00D40D66" w:rsidRDefault="0003234F" w:rsidP="00CC68EE">
            <w:pPr>
              <w:pStyle w:val="TableHead"/>
              <w:keepNext w:val="0"/>
              <w:spacing w:after="0" w:line="168" w:lineRule="auto"/>
              <w:jc w:val="both"/>
            </w:pPr>
            <w:r w:rsidRPr="00D40D66">
              <w:t>17 229</w:t>
            </w:r>
          </w:p>
        </w:tc>
        <w:tc>
          <w:tcPr>
            <w:tcW w:w="850" w:type="dxa"/>
            <w:vAlign w:val="center"/>
            <w:hideMark/>
          </w:tcPr>
          <w:p w14:paraId="30E090FC" w14:textId="53043D4B" w:rsidR="0003234F" w:rsidRPr="00D40D66" w:rsidRDefault="0003234F" w:rsidP="00CC68EE">
            <w:pPr>
              <w:pStyle w:val="TableHead"/>
              <w:keepNext w:val="0"/>
              <w:spacing w:after="0" w:line="168" w:lineRule="auto"/>
              <w:jc w:val="both"/>
            </w:pPr>
            <w:r w:rsidRPr="00D40D66">
              <w:t>4 550</w:t>
            </w:r>
          </w:p>
        </w:tc>
        <w:tc>
          <w:tcPr>
            <w:tcW w:w="850" w:type="dxa"/>
            <w:vAlign w:val="center"/>
            <w:hideMark/>
          </w:tcPr>
          <w:p w14:paraId="3226E4C5" w14:textId="57DC8612" w:rsidR="0003234F" w:rsidRPr="00D40D66" w:rsidRDefault="0003234F" w:rsidP="00CC68EE">
            <w:pPr>
              <w:pStyle w:val="TableHead"/>
              <w:keepNext w:val="0"/>
              <w:spacing w:after="0" w:line="168" w:lineRule="auto"/>
              <w:jc w:val="both"/>
            </w:pPr>
            <w:r w:rsidRPr="00D40D66">
              <w:t>6 712</w:t>
            </w:r>
          </w:p>
        </w:tc>
        <w:tc>
          <w:tcPr>
            <w:tcW w:w="850" w:type="dxa"/>
            <w:vAlign w:val="center"/>
            <w:hideMark/>
          </w:tcPr>
          <w:p w14:paraId="19232F83" w14:textId="03714EDB" w:rsidR="0003234F" w:rsidRPr="00D40D66" w:rsidRDefault="0003234F" w:rsidP="00CC68EE">
            <w:pPr>
              <w:pStyle w:val="TableHead"/>
              <w:keepNext w:val="0"/>
              <w:spacing w:after="0" w:line="168" w:lineRule="auto"/>
              <w:jc w:val="both"/>
            </w:pPr>
            <w:r w:rsidRPr="00D40D66">
              <w:t>6 191</w:t>
            </w:r>
          </w:p>
        </w:tc>
        <w:tc>
          <w:tcPr>
            <w:tcW w:w="850" w:type="dxa"/>
            <w:vAlign w:val="center"/>
            <w:hideMark/>
          </w:tcPr>
          <w:p w14:paraId="75E2752D" w14:textId="46947474" w:rsidR="0003234F" w:rsidRPr="00D40D66" w:rsidRDefault="0003234F" w:rsidP="00CC68EE">
            <w:pPr>
              <w:pStyle w:val="TableHead"/>
              <w:keepNext w:val="0"/>
              <w:spacing w:after="0" w:line="168" w:lineRule="auto"/>
              <w:jc w:val="both"/>
            </w:pPr>
            <w:r w:rsidRPr="00D40D66">
              <w:t>15 259</w:t>
            </w:r>
          </w:p>
        </w:tc>
      </w:tr>
      <w:tr w:rsidR="0003234F" w:rsidRPr="0003234F" w14:paraId="7195F38B" w14:textId="77777777" w:rsidTr="00CC68EE">
        <w:trPr>
          <w:jc w:val="center"/>
        </w:trPr>
        <w:tc>
          <w:tcPr>
            <w:tcW w:w="2839" w:type="dxa"/>
            <w:noWrap/>
            <w:vAlign w:val="bottom"/>
            <w:hideMark/>
          </w:tcPr>
          <w:p w14:paraId="673E3229" w14:textId="77777777" w:rsidR="0003234F" w:rsidRPr="0003234F" w:rsidRDefault="0003234F" w:rsidP="00CC68EE">
            <w:pPr>
              <w:spacing w:before="0" w:line="200" w:lineRule="exact"/>
              <w:rPr>
                <w:sz w:val="20"/>
                <w:szCs w:val="20"/>
              </w:rPr>
            </w:pPr>
          </w:p>
        </w:tc>
        <w:tc>
          <w:tcPr>
            <w:tcW w:w="850" w:type="dxa"/>
            <w:vAlign w:val="center"/>
            <w:hideMark/>
          </w:tcPr>
          <w:p w14:paraId="58173F49"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0EE3BF0C"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5224D592"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A22344D"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3D3D6E40"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8BB65E3"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4840B119"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4D6DAD4" w14:textId="77777777" w:rsidR="0003234F" w:rsidRPr="00D40D66" w:rsidRDefault="0003234F" w:rsidP="00CC68EE">
            <w:pPr>
              <w:tabs>
                <w:tab w:val="clear" w:pos="794"/>
              </w:tabs>
              <w:spacing w:before="0" w:line="200" w:lineRule="exact"/>
              <w:jc w:val="left"/>
              <w:rPr>
                <w:b/>
                <w:bCs/>
                <w:sz w:val="20"/>
                <w:szCs w:val="20"/>
                <w:lang w:val="en-GB" w:eastAsia="en-GB"/>
              </w:rPr>
            </w:pPr>
          </w:p>
        </w:tc>
      </w:tr>
      <w:tr w:rsidR="0003234F" w:rsidRPr="0003234F" w14:paraId="7D504E40" w14:textId="77777777" w:rsidTr="00CC68EE">
        <w:trPr>
          <w:jc w:val="center"/>
        </w:trPr>
        <w:tc>
          <w:tcPr>
            <w:tcW w:w="2839" w:type="dxa"/>
            <w:vAlign w:val="bottom"/>
            <w:hideMark/>
          </w:tcPr>
          <w:p w14:paraId="20AD1781" w14:textId="77777777" w:rsidR="0003234F" w:rsidRPr="0003234F" w:rsidRDefault="0003234F" w:rsidP="00CC68EE">
            <w:pPr>
              <w:pStyle w:val="TableHead"/>
              <w:keepNext w:val="0"/>
              <w:spacing w:after="0" w:line="168" w:lineRule="auto"/>
              <w:jc w:val="both"/>
            </w:pPr>
            <w:r w:rsidRPr="0003234F">
              <w:rPr>
                <w:rFonts w:hint="cs"/>
                <w:rtl/>
                <w:lang w:val="fr-CH"/>
              </w:rPr>
              <w:t>اتفاقات السداد الملغاة</w:t>
            </w:r>
          </w:p>
        </w:tc>
        <w:tc>
          <w:tcPr>
            <w:tcW w:w="850" w:type="dxa"/>
            <w:vAlign w:val="center"/>
            <w:hideMark/>
          </w:tcPr>
          <w:p w14:paraId="2B6B7B05" w14:textId="02315137" w:rsidR="0003234F" w:rsidRPr="00D40D66" w:rsidRDefault="0003234F" w:rsidP="00CC68EE">
            <w:pPr>
              <w:pStyle w:val="TableHead"/>
              <w:keepNext w:val="0"/>
              <w:spacing w:after="0" w:line="168" w:lineRule="auto"/>
              <w:jc w:val="both"/>
            </w:pPr>
            <w:r w:rsidRPr="00D40D66">
              <w:t>10 418</w:t>
            </w:r>
          </w:p>
        </w:tc>
        <w:tc>
          <w:tcPr>
            <w:tcW w:w="850" w:type="dxa"/>
            <w:vAlign w:val="center"/>
            <w:hideMark/>
          </w:tcPr>
          <w:p w14:paraId="555B2969" w14:textId="1ADDC485" w:rsidR="0003234F" w:rsidRPr="00D40D66" w:rsidRDefault="0003234F" w:rsidP="00CC68EE">
            <w:pPr>
              <w:pStyle w:val="TableHead"/>
              <w:keepNext w:val="0"/>
              <w:spacing w:after="0" w:line="168" w:lineRule="auto"/>
              <w:jc w:val="both"/>
            </w:pPr>
            <w:r w:rsidRPr="00D40D66">
              <w:t>12 547</w:t>
            </w:r>
          </w:p>
        </w:tc>
        <w:tc>
          <w:tcPr>
            <w:tcW w:w="850" w:type="dxa"/>
            <w:vAlign w:val="center"/>
            <w:hideMark/>
          </w:tcPr>
          <w:p w14:paraId="25507CA2" w14:textId="6030EB34" w:rsidR="0003234F" w:rsidRPr="00D40D66" w:rsidRDefault="0003234F" w:rsidP="00CC68EE">
            <w:pPr>
              <w:pStyle w:val="TableHead"/>
              <w:keepNext w:val="0"/>
              <w:spacing w:after="0" w:line="168" w:lineRule="auto"/>
              <w:jc w:val="both"/>
            </w:pPr>
            <w:r w:rsidRPr="00D40D66">
              <w:t>13 394</w:t>
            </w:r>
          </w:p>
        </w:tc>
        <w:tc>
          <w:tcPr>
            <w:tcW w:w="850" w:type="dxa"/>
            <w:vAlign w:val="center"/>
            <w:hideMark/>
          </w:tcPr>
          <w:p w14:paraId="1BCA2460" w14:textId="7D7D10DB" w:rsidR="0003234F" w:rsidRPr="00D40D66" w:rsidRDefault="0003234F" w:rsidP="00CC68EE">
            <w:pPr>
              <w:pStyle w:val="TableHead"/>
              <w:keepNext w:val="0"/>
              <w:spacing w:after="0" w:line="168" w:lineRule="auto"/>
              <w:jc w:val="both"/>
            </w:pPr>
            <w:r w:rsidRPr="00D40D66">
              <w:t>2 111</w:t>
            </w:r>
          </w:p>
        </w:tc>
        <w:tc>
          <w:tcPr>
            <w:tcW w:w="850" w:type="dxa"/>
            <w:vAlign w:val="center"/>
            <w:hideMark/>
          </w:tcPr>
          <w:p w14:paraId="34E24254" w14:textId="157474F7" w:rsidR="0003234F" w:rsidRPr="00D40D66" w:rsidRDefault="0003234F" w:rsidP="00CC68EE">
            <w:pPr>
              <w:pStyle w:val="TableHead"/>
              <w:keepNext w:val="0"/>
              <w:spacing w:after="0" w:line="168" w:lineRule="auto"/>
              <w:jc w:val="both"/>
            </w:pPr>
            <w:r w:rsidRPr="00D40D66">
              <w:t>14 644</w:t>
            </w:r>
          </w:p>
        </w:tc>
        <w:tc>
          <w:tcPr>
            <w:tcW w:w="850" w:type="dxa"/>
            <w:vAlign w:val="center"/>
            <w:hideMark/>
          </w:tcPr>
          <w:p w14:paraId="671766FB" w14:textId="3F694380" w:rsidR="0003234F" w:rsidRPr="00D40D66" w:rsidRDefault="0003234F" w:rsidP="00CC68EE">
            <w:pPr>
              <w:pStyle w:val="TableHead"/>
              <w:keepNext w:val="0"/>
              <w:spacing w:after="0" w:line="168" w:lineRule="auto"/>
              <w:jc w:val="both"/>
            </w:pPr>
            <w:r w:rsidRPr="00D40D66">
              <w:t>12 948</w:t>
            </w:r>
          </w:p>
        </w:tc>
        <w:tc>
          <w:tcPr>
            <w:tcW w:w="850" w:type="dxa"/>
            <w:vAlign w:val="center"/>
            <w:hideMark/>
          </w:tcPr>
          <w:p w14:paraId="07D69C8E" w14:textId="30B9646E" w:rsidR="0003234F" w:rsidRPr="00D40D66" w:rsidRDefault="0003234F" w:rsidP="00CC68EE">
            <w:pPr>
              <w:pStyle w:val="TableHead"/>
              <w:keepNext w:val="0"/>
              <w:spacing w:after="0" w:line="168" w:lineRule="auto"/>
              <w:jc w:val="both"/>
            </w:pPr>
            <w:r w:rsidRPr="00D40D66">
              <w:t>13 301</w:t>
            </w:r>
          </w:p>
        </w:tc>
        <w:tc>
          <w:tcPr>
            <w:tcW w:w="850" w:type="dxa"/>
            <w:vAlign w:val="center"/>
            <w:hideMark/>
          </w:tcPr>
          <w:p w14:paraId="4F40A03E" w14:textId="09FAA47D" w:rsidR="0003234F" w:rsidRPr="00D40D66" w:rsidRDefault="0003234F" w:rsidP="00CC68EE">
            <w:pPr>
              <w:pStyle w:val="TableHead"/>
              <w:keepNext w:val="0"/>
              <w:spacing w:after="0" w:line="168" w:lineRule="auto"/>
              <w:jc w:val="both"/>
            </w:pPr>
            <w:r w:rsidRPr="00D40D66">
              <w:t>5 607</w:t>
            </w:r>
          </w:p>
        </w:tc>
      </w:tr>
      <w:tr w:rsidR="0003234F" w:rsidRPr="0003234F" w14:paraId="6CDF4C63" w14:textId="77777777" w:rsidTr="00CC68EE">
        <w:trPr>
          <w:jc w:val="center"/>
        </w:trPr>
        <w:tc>
          <w:tcPr>
            <w:tcW w:w="2839" w:type="dxa"/>
            <w:noWrap/>
            <w:vAlign w:val="bottom"/>
            <w:hideMark/>
          </w:tcPr>
          <w:p w14:paraId="0CD6E464" w14:textId="77777777" w:rsidR="0003234F" w:rsidRPr="0003234F" w:rsidRDefault="0003234F" w:rsidP="00CC68EE">
            <w:pPr>
              <w:spacing w:before="0" w:line="200" w:lineRule="exact"/>
              <w:rPr>
                <w:sz w:val="20"/>
                <w:szCs w:val="20"/>
              </w:rPr>
            </w:pPr>
          </w:p>
        </w:tc>
        <w:tc>
          <w:tcPr>
            <w:tcW w:w="850" w:type="dxa"/>
            <w:vAlign w:val="center"/>
            <w:hideMark/>
          </w:tcPr>
          <w:p w14:paraId="2B047C9D"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62D53EC"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3F96A1C"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4268AB28"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447B0874"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3F002BB3"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0499388A"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051AB6B1" w14:textId="77777777" w:rsidR="0003234F" w:rsidRPr="00D40D66" w:rsidRDefault="0003234F" w:rsidP="00CC68EE">
            <w:pPr>
              <w:tabs>
                <w:tab w:val="clear" w:pos="794"/>
              </w:tabs>
              <w:spacing w:before="0" w:line="200" w:lineRule="exact"/>
              <w:jc w:val="left"/>
              <w:rPr>
                <w:b/>
                <w:bCs/>
                <w:sz w:val="20"/>
                <w:szCs w:val="20"/>
                <w:lang w:val="en-GB" w:eastAsia="en-GB"/>
              </w:rPr>
            </w:pPr>
          </w:p>
        </w:tc>
      </w:tr>
      <w:tr w:rsidR="0003234F" w:rsidRPr="0003234F" w14:paraId="2A84D6D9" w14:textId="77777777" w:rsidTr="00CC68EE">
        <w:trPr>
          <w:jc w:val="center"/>
        </w:trPr>
        <w:tc>
          <w:tcPr>
            <w:tcW w:w="2839" w:type="dxa"/>
            <w:noWrap/>
            <w:vAlign w:val="bottom"/>
            <w:hideMark/>
          </w:tcPr>
          <w:p w14:paraId="4D82529F" w14:textId="77777777" w:rsidR="0003234F" w:rsidRPr="0003234F" w:rsidRDefault="0003234F" w:rsidP="00CC68EE">
            <w:pPr>
              <w:pStyle w:val="TableHead"/>
              <w:keepNext w:val="0"/>
              <w:spacing w:after="0" w:line="168" w:lineRule="auto"/>
              <w:jc w:val="both"/>
            </w:pPr>
            <w:r w:rsidRPr="0003234F">
              <w:rPr>
                <w:rFonts w:hint="cs"/>
                <w:spacing w:val="-10"/>
                <w:rtl/>
                <w:lang w:val="fr-CH"/>
              </w:rPr>
              <w:t>بطاقات التبليغ عن الشبكات الساتلية</w:t>
            </w:r>
          </w:p>
        </w:tc>
        <w:tc>
          <w:tcPr>
            <w:tcW w:w="850" w:type="dxa"/>
            <w:vAlign w:val="center"/>
            <w:hideMark/>
          </w:tcPr>
          <w:p w14:paraId="1BA883E4" w14:textId="5B260325" w:rsidR="0003234F" w:rsidRPr="00D40D66" w:rsidRDefault="0003234F" w:rsidP="00CC68EE">
            <w:pPr>
              <w:pStyle w:val="TableHead"/>
              <w:keepNext w:val="0"/>
              <w:spacing w:after="0" w:line="168" w:lineRule="auto"/>
              <w:jc w:val="both"/>
            </w:pPr>
            <w:r w:rsidRPr="00D40D66">
              <w:t>563</w:t>
            </w:r>
          </w:p>
        </w:tc>
        <w:tc>
          <w:tcPr>
            <w:tcW w:w="850" w:type="dxa"/>
            <w:vAlign w:val="center"/>
            <w:hideMark/>
          </w:tcPr>
          <w:p w14:paraId="2AD88B69" w14:textId="0E51741A" w:rsidR="0003234F" w:rsidRPr="00D40D66" w:rsidRDefault="0003234F" w:rsidP="00CC68EE">
            <w:pPr>
              <w:pStyle w:val="TableHead"/>
              <w:keepNext w:val="0"/>
              <w:spacing w:after="0" w:line="168" w:lineRule="auto"/>
              <w:jc w:val="both"/>
            </w:pPr>
            <w:r w:rsidRPr="00D40D66">
              <w:t>584</w:t>
            </w:r>
          </w:p>
        </w:tc>
        <w:tc>
          <w:tcPr>
            <w:tcW w:w="850" w:type="dxa"/>
            <w:vAlign w:val="center"/>
            <w:hideMark/>
          </w:tcPr>
          <w:p w14:paraId="5068FCDB" w14:textId="537C3A1D" w:rsidR="0003234F" w:rsidRPr="00D40D66" w:rsidRDefault="0003234F" w:rsidP="00CC68EE">
            <w:pPr>
              <w:pStyle w:val="TableHead"/>
              <w:keepNext w:val="0"/>
              <w:spacing w:after="0" w:line="168" w:lineRule="auto"/>
              <w:jc w:val="both"/>
            </w:pPr>
            <w:r w:rsidRPr="00D40D66">
              <w:t>584</w:t>
            </w:r>
          </w:p>
        </w:tc>
        <w:tc>
          <w:tcPr>
            <w:tcW w:w="850" w:type="dxa"/>
            <w:vAlign w:val="center"/>
            <w:hideMark/>
          </w:tcPr>
          <w:p w14:paraId="66B942DC" w14:textId="06A36E3E" w:rsidR="0003234F" w:rsidRPr="00D40D66" w:rsidRDefault="0003234F" w:rsidP="00CC68EE">
            <w:pPr>
              <w:pStyle w:val="TableHead"/>
              <w:keepNext w:val="0"/>
              <w:spacing w:after="0" w:line="168" w:lineRule="auto"/>
              <w:jc w:val="both"/>
            </w:pPr>
            <w:r w:rsidRPr="00D40D66">
              <w:t>384</w:t>
            </w:r>
          </w:p>
        </w:tc>
        <w:tc>
          <w:tcPr>
            <w:tcW w:w="850" w:type="dxa"/>
            <w:vAlign w:val="center"/>
            <w:hideMark/>
          </w:tcPr>
          <w:p w14:paraId="6C46E1F0" w14:textId="24A1C88E" w:rsidR="0003234F" w:rsidRPr="00D40D66" w:rsidRDefault="0003234F" w:rsidP="00CC68EE">
            <w:pPr>
              <w:pStyle w:val="TableHead"/>
              <w:keepNext w:val="0"/>
              <w:spacing w:after="0" w:line="168" w:lineRule="auto"/>
              <w:jc w:val="both"/>
            </w:pPr>
            <w:r w:rsidRPr="00D40D66">
              <w:t>263</w:t>
            </w:r>
          </w:p>
        </w:tc>
        <w:tc>
          <w:tcPr>
            <w:tcW w:w="850" w:type="dxa"/>
            <w:vAlign w:val="center"/>
            <w:hideMark/>
          </w:tcPr>
          <w:p w14:paraId="7656A33A" w14:textId="713441FE" w:rsidR="0003234F" w:rsidRPr="00D40D66" w:rsidRDefault="0003234F" w:rsidP="00CC68EE">
            <w:pPr>
              <w:pStyle w:val="TableHead"/>
              <w:keepNext w:val="0"/>
              <w:spacing w:after="0" w:line="168" w:lineRule="auto"/>
              <w:jc w:val="both"/>
            </w:pPr>
            <w:r w:rsidRPr="00D40D66">
              <w:t>253</w:t>
            </w:r>
          </w:p>
        </w:tc>
        <w:tc>
          <w:tcPr>
            <w:tcW w:w="850" w:type="dxa"/>
            <w:vAlign w:val="center"/>
            <w:hideMark/>
          </w:tcPr>
          <w:p w14:paraId="74C0EFC3" w14:textId="0649707C" w:rsidR="0003234F" w:rsidRPr="00D40D66" w:rsidRDefault="0003234F" w:rsidP="00CC68EE">
            <w:pPr>
              <w:pStyle w:val="TableHead"/>
              <w:keepNext w:val="0"/>
              <w:spacing w:after="0" w:line="168" w:lineRule="auto"/>
              <w:jc w:val="both"/>
            </w:pPr>
            <w:r w:rsidRPr="00D40D66">
              <w:t>267</w:t>
            </w:r>
          </w:p>
        </w:tc>
        <w:tc>
          <w:tcPr>
            <w:tcW w:w="850" w:type="dxa"/>
            <w:vAlign w:val="center"/>
            <w:hideMark/>
          </w:tcPr>
          <w:p w14:paraId="28BB0A3F" w14:textId="51A97CCD" w:rsidR="0003234F" w:rsidRPr="00D40D66" w:rsidRDefault="0003234F" w:rsidP="00CC68EE">
            <w:pPr>
              <w:pStyle w:val="TableHead"/>
              <w:keepNext w:val="0"/>
              <w:spacing w:after="0" w:line="168" w:lineRule="auto"/>
              <w:jc w:val="both"/>
            </w:pPr>
            <w:r w:rsidRPr="00D40D66">
              <w:t>283</w:t>
            </w:r>
          </w:p>
        </w:tc>
      </w:tr>
      <w:tr w:rsidR="0003234F" w:rsidRPr="0003234F" w14:paraId="47BB6B55" w14:textId="77777777" w:rsidTr="00CC68EE">
        <w:trPr>
          <w:jc w:val="center"/>
        </w:trPr>
        <w:tc>
          <w:tcPr>
            <w:tcW w:w="2839" w:type="dxa"/>
            <w:noWrap/>
            <w:vAlign w:val="bottom"/>
            <w:hideMark/>
          </w:tcPr>
          <w:p w14:paraId="45331301" w14:textId="77777777" w:rsidR="0003234F" w:rsidRPr="0003234F" w:rsidRDefault="0003234F" w:rsidP="00CC68EE">
            <w:pPr>
              <w:spacing w:before="0" w:line="200" w:lineRule="exact"/>
              <w:rPr>
                <w:sz w:val="20"/>
                <w:szCs w:val="20"/>
              </w:rPr>
            </w:pPr>
          </w:p>
        </w:tc>
        <w:tc>
          <w:tcPr>
            <w:tcW w:w="850" w:type="dxa"/>
            <w:vAlign w:val="center"/>
            <w:hideMark/>
          </w:tcPr>
          <w:p w14:paraId="536CF4D7"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15F9B007"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26E2C0CE"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40B6484"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241C194F"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503C11E"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5C14786F"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185D20AE" w14:textId="77777777" w:rsidR="0003234F" w:rsidRPr="00D40D66" w:rsidRDefault="0003234F" w:rsidP="00CC68EE">
            <w:pPr>
              <w:tabs>
                <w:tab w:val="clear" w:pos="794"/>
              </w:tabs>
              <w:spacing w:before="0" w:line="200" w:lineRule="exact"/>
              <w:jc w:val="left"/>
              <w:rPr>
                <w:b/>
                <w:bCs/>
                <w:sz w:val="20"/>
                <w:szCs w:val="20"/>
                <w:lang w:val="en-GB" w:eastAsia="en-GB"/>
              </w:rPr>
            </w:pPr>
          </w:p>
        </w:tc>
      </w:tr>
      <w:tr w:rsidR="0003234F" w:rsidRPr="0003234F" w14:paraId="3CF8B454" w14:textId="77777777" w:rsidTr="00CC68EE">
        <w:trPr>
          <w:jc w:val="center"/>
        </w:trPr>
        <w:tc>
          <w:tcPr>
            <w:tcW w:w="2839" w:type="dxa"/>
            <w:noWrap/>
            <w:vAlign w:val="bottom"/>
            <w:hideMark/>
          </w:tcPr>
          <w:p w14:paraId="7C117796" w14:textId="77777777" w:rsidR="0003234F" w:rsidRPr="0003234F" w:rsidRDefault="0003234F" w:rsidP="00CC68EE">
            <w:pPr>
              <w:pStyle w:val="TableHead"/>
              <w:keepNext w:val="0"/>
              <w:spacing w:after="0" w:line="168" w:lineRule="auto"/>
              <w:jc w:val="both"/>
            </w:pPr>
            <w:r w:rsidRPr="0003234F">
              <w:rPr>
                <w:rFonts w:hint="cs"/>
                <w:rtl/>
                <w:lang w:val="fr-CH"/>
              </w:rPr>
              <w:t>فواتير متنوعة</w:t>
            </w:r>
          </w:p>
        </w:tc>
        <w:tc>
          <w:tcPr>
            <w:tcW w:w="850" w:type="dxa"/>
            <w:vAlign w:val="center"/>
            <w:hideMark/>
          </w:tcPr>
          <w:p w14:paraId="4525C248" w14:textId="327C88A7" w:rsidR="0003234F" w:rsidRPr="00D40D66" w:rsidRDefault="0003234F" w:rsidP="00CC68EE">
            <w:pPr>
              <w:pStyle w:val="TableHead"/>
              <w:keepNext w:val="0"/>
              <w:spacing w:after="0" w:line="168" w:lineRule="auto"/>
              <w:jc w:val="both"/>
            </w:pPr>
            <w:r w:rsidRPr="00D40D66">
              <w:t>71</w:t>
            </w:r>
          </w:p>
        </w:tc>
        <w:tc>
          <w:tcPr>
            <w:tcW w:w="850" w:type="dxa"/>
            <w:vAlign w:val="center"/>
            <w:hideMark/>
          </w:tcPr>
          <w:p w14:paraId="549B29AF" w14:textId="209F93F0" w:rsidR="0003234F" w:rsidRPr="00D40D66" w:rsidRDefault="0003234F" w:rsidP="00CC68EE">
            <w:pPr>
              <w:pStyle w:val="TableHead"/>
              <w:keepNext w:val="0"/>
              <w:spacing w:after="0" w:line="168" w:lineRule="auto"/>
              <w:jc w:val="both"/>
            </w:pPr>
            <w:r w:rsidRPr="00D40D66">
              <w:t>68</w:t>
            </w:r>
          </w:p>
        </w:tc>
        <w:tc>
          <w:tcPr>
            <w:tcW w:w="850" w:type="dxa"/>
            <w:vAlign w:val="center"/>
            <w:hideMark/>
          </w:tcPr>
          <w:p w14:paraId="5F9AFD22" w14:textId="5353C537" w:rsidR="0003234F" w:rsidRPr="00D40D66" w:rsidRDefault="0003234F" w:rsidP="00CC68EE">
            <w:pPr>
              <w:pStyle w:val="TableHead"/>
              <w:keepNext w:val="0"/>
              <w:spacing w:after="0" w:line="168" w:lineRule="auto"/>
              <w:jc w:val="both"/>
            </w:pPr>
            <w:r w:rsidRPr="00D40D66">
              <w:t>66</w:t>
            </w:r>
          </w:p>
        </w:tc>
        <w:tc>
          <w:tcPr>
            <w:tcW w:w="850" w:type="dxa"/>
            <w:vAlign w:val="center"/>
            <w:hideMark/>
          </w:tcPr>
          <w:p w14:paraId="57EDE408" w14:textId="560B7437" w:rsidR="0003234F" w:rsidRPr="00D40D66" w:rsidRDefault="0003234F" w:rsidP="00CC68EE">
            <w:pPr>
              <w:pStyle w:val="TableHead"/>
              <w:keepNext w:val="0"/>
              <w:spacing w:after="0" w:line="168" w:lineRule="auto"/>
              <w:jc w:val="both"/>
            </w:pPr>
            <w:r w:rsidRPr="00D40D66">
              <w:t>63</w:t>
            </w:r>
          </w:p>
        </w:tc>
        <w:tc>
          <w:tcPr>
            <w:tcW w:w="850" w:type="dxa"/>
            <w:vAlign w:val="center"/>
            <w:hideMark/>
          </w:tcPr>
          <w:p w14:paraId="5C51E936" w14:textId="247FA657" w:rsidR="0003234F" w:rsidRPr="00D40D66" w:rsidRDefault="0003234F" w:rsidP="00CC68EE">
            <w:pPr>
              <w:pStyle w:val="TableHead"/>
              <w:keepNext w:val="0"/>
              <w:spacing w:after="0" w:line="168" w:lineRule="auto"/>
              <w:jc w:val="both"/>
            </w:pPr>
            <w:r w:rsidRPr="00D40D66">
              <w:t>63</w:t>
            </w:r>
          </w:p>
        </w:tc>
        <w:tc>
          <w:tcPr>
            <w:tcW w:w="850" w:type="dxa"/>
            <w:vAlign w:val="center"/>
            <w:hideMark/>
          </w:tcPr>
          <w:p w14:paraId="4D6CA272" w14:textId="083B93E7" w:rsidR="0003234F" w:rsidRPr="00D40D66" w:rsidRDefault="0003234F" w:rsidP="00CC68EE">
            <w:pPr>
              <w:pStyle w:val="TableHead"/>
              <w:keepNext w:val="0"/>
              <w:spacing w:after="0" w:line="168" w:lineRule="auto"/>
              <w:jc w:val="both"/>
            </w:pPr>
            <w:r w:rsidRPr="00D40D66">
              <w:t>63</w:t>
            </w:r>
          </w:p>
        </w:tc>
        <w:tc>
          <w:tcPr>
            <w:tcW w:w="850" w:type="dxa"/>
            <w:vAlign w:val="center"/>
            <w:hideMark/>
          </w:tcPr>
          <w:p w14:paraId="5BA0C37B" w14:textId="230130F3" w:rsidR="0003234F" w:rsidRPr="00D40D66" w:rsidRDefault="0003234F" w:rsidP="00CC68EE">
            <w:pPr>
              <w:pStyle w:val="TableHead"/>
              <w:keepNext w:val="0"/>
              <w:spacing w:after="0" w:line="168" w:lineRule="auto"/>
              <w:jc w:val="both"/>
            </w:pPr>
            <w:r w:rsidRPr="00D40D66">
              <w:t>143</w:t>
            </w:r>
          </w:p>
        </w:tc>
        <w:tc>
          <w:tcPr>
            <w:tcW w:w="850" w:type="dxa"/>
            <w:vAlign w:val="center"/>
            <w:hideMark/>
          </w:tcPr>
          <w:p w14:paraId="41783E3E" w14:textId="73EFE84C" w:rsidR="0003234F" w:rsidRPr="00D40D66" w:rsidRDefault="0003234F" w:rsidP="00CC68EE">
            <w:pPr>
              <w:pStyle w:val="TableHead"/>
              <w:keepNext w:val="0"/>
              <w:spacing w:after="0" w:line="168" w:lineRule="auto"/>
              <w:jc w:val="both"/>
            </w:pPr>
            <w:r w:rsidRPr="00D40D66">
              <w:t>65</w:t>
            </w:r>
          </w:p>
        </w:tc>
      </w:tr>
      <w:tr w:rsidR="0003234F" w:rsidRPr="0003234F" w14:paraId="3E2B3C47" w14:textId="77777777" w:rsidTr="00CC68EE">
        <w:trPr>
          <w:jc w:val="center"/>
        </w:trPr>
        <w:tc>
          <w:tcPr>
            <w:tcW w:w="2839" w:type="dxa"/>
            <w:noWrap/>
            <w:vAlign w:val="bottom"/>
            <w:hideMark/>
          </w:tcPr>
          <w:p w14:paraId="2C2AD242" w14:textId="77777777" w:rsidR="0003234F" w:rsidRPr="0003234F" w:rsidRDefault="0003234F" w:rsidP="00CC68EE">
            <w:pPr>
              <w:spacing w:before="0" w:line="200" w:lineRule="exact"/>
              <w:rPr>
                <w:sz w:val="20"/>
                <w:szCs w:val="20"/>
              </w:rPr>
            </w:pPr>
          </w:p>
        </w:tc>
        <w:tc>
          <w:tcPr>
            <w:tcW w:w="850" w:type="dxa"/>
            <w:vAlign w:val="center"/>
            <w:hideMark/>
          </w:tcPr>
          <w:p w14:paraId="01D0FC5B"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496DE262"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1792B3B5"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204D2A9"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3E12882B"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7FEAD50"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304BD225"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7C9A77C" w14:textId="77777777" w:rsidR="0003234F" w:rsidRPr="00D40D66" w:rsidRDefault="0003234F" w:rsidP="00CC68EE">
            <w:pPr>
              <w:tabs>
                <w:tab w:val="clear" w:pos="794"/>
              </w:tabs>
              <w:spacing w:before="0" w:line="200" w:lineRule="exact"/>
              <w:jc w:val="left"/>
              <w:rPr>
                <w:b/>
                <w:bCs/>
                <w:sz w:val="20"/>
                <w:szCs w:val="20"/>
                <w:lang w:val="en-GB" w:eastAsia="en-GB"/>
              </w:rPr>
            </w:pPr>
          </w:p>
        </w:tc>
      </w:tr>
      <w:tr w:rsidR="0003234F" w:rsidRPr="0003234F" w14:paraId="2DD0B7EB" w14:textId="77777777" w:rsidTr="00CC68EE">
        <w:trPr>
          <w:jc w:val="center"/>
        </w:trPr>
        <w:tc>
          <w:tcPr>
            <w:tcW w:w="2839" w:type="dxa"/>
            <w:noWrap/>
            <w:vAlign w:val="bottom"/>
            <w:hideMark/>
          </w:tcPr>
          <w:p w14:paraId="1BB44FC7" w14:textId="77777777" w:rsidR="0003234F" w:rsidRPr="0003234F" w:rsidRDefault="0003234F" w:rsidP="00CC68EE">
            <w:pPr>
              <w:pStyle w:val="TableHead"/>
              <w:keepNext w:val="0"/>
              <w:spacing w:after="0" w:line="168" w:lineRule="auto"/>
              <w:jc w:val="both"/>
              <w:rPr>
                <w:spacing w:val="-2"/>
              </w:rPr>
            </w:pPr>
            <w:r w:rsidRPr="0003234F">
              <w:rPr>
                <w:rFonts w:hint="cs"/>
                <w:spacing w:val="-2"/>
                <w:rtl/>
                <w:lang w:val="fr-CH" w:bidi="ar-EG"/>
              </w:rPr>
              <w:t xml:space="preserve">الرسوم المتعلقة بإدارة الأرقام </w:t>
            </w:r>
            <w:r w:rsidRPr="0003234F">
              <w:rPr>
                <w:spacing w:val="-2"/>
                <w:lang w:bidi="ar-EG"/>
              </w:rPr>
              <w:t>UIFN</w:t>
            </w:r>
          </w:p>
        </w:tc>
        <w:tc>
          <w:tcPr>
            <w:tcW w:w="850" w:type="dxa"/>
            <w:vAlign w:val="center"/>
            <w:hideMark/>
          </w:tcPr>
          <w:p w14:paraId="6F6552EB" w14:textId="4F259EE5"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1D2AE21B" w14:textId="49963C7F"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1130EC78" w14:textId="293141AE"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1CEC7616" w14:textId="7086035C"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367AF033" w14:textId="746FE882" w:rsidR="0003234F" w:rsidRPr="00D40D66" w:rsidRDefault="0003234F" w:rsidP="00CC68EE">
            <w:pPr>
              <w:pStyle w:val="TableHead"/>
              <w:keepNext w:val="0"/>
              <w:spacing w:after="0" w:line="168" w:lineRule="auto"/>
              <w:jc w:val="both"/>
            </w:pPr>
            <w:r w:rsidRPr="00D40D66">
              <w:t>29</w:t>
            </w:r>
          </w:p>
        </w:tc>
        <w:tc>
          <w:tcPr>
            <w:tcW w:w="850" w:type="dxa"/>
            <w:vAlign w:val="center"/>
            <w:hideMark/>
          </w:tcPr>
          <w:p w14:paraId="255DB5F0" w14:textId="66BC2DE3" w:rsidR="0003234F" w:rsidRPr="00D40D66" w:rsidRDefault="0003234F" w:rsidP="00CC68EE">
            <w:pPr>
              <w:pStyle w:val="TableHead"/>
              <w:keepNext w:val="0"/>
              <w:spacing w:after="0" w:line="168" w:lineRule="auto"/>
              <w:jc w:val="both"/>
            </w:pPr>
            <w:r w:rsidRPr="00D40D66">
              <w:t>78</w:t>
            </w:r>
          </w:p>
        </w:tc>
        <w:tc>
          <w:tcPr>
            <w:tcW w:w="850" w:type="dxa"/>
            <w:vAlign w:val="center"/>
            <w:hideMark/>
          </w:tcPr>
          <w:p w14:paraId="171970C3" w14:textId="1B840C12" w:rsidR="0003234F" w:rsidRPr="00D40D66" w:rsidRDefault="0003234F" w:rsidP="00CC68EE">
            <w:pPr>
              <w:pStyle w:val="TableHead"/>
              <w:keepNext w:val="0"/>
              <w:spacing w:after="0" w:line="168" w:lineRule="auto"/>
              <w:jc w:val="both"/>
            </w:pPr>
            <w:r w:rsidRPr="00D40D66">
              <w:t>77</w:t>
            </w:r>
          </w:p>
        </w:tc>
        <w:tc>
          <w:tcPr>
            <w:tcW w:w="850" w:type="dxa"/>
            <w:vAlign w:val="center"/>
            <w:hideMark/>
          </w:tcPr>
          <w:p w14:paraId="4607A1A3" w14:textId="43D74AB0" w:rsidR="0003234F" w:rsidRPr="00D40D66" w:rsidRDefault="0003234F" w:rsidP="00CC68EE">
            <w:pPr>
              <w:pStyle w:val="TableHead"/>
              <w:keepNext w:val="0"/>
              <w:spacing w:after="0" w:line="168" w:lineRule="auto"/>
              <w:jc w:val="both"/>
            </w:pPr>
            <w:r w:rsidRPr="00D40D66">
              <w:t>53</w:t>
            </w:r>
          </w:p>
        </w:tc>
      </w:tr>
      <w:tr w:rsidR="0003234F" w:rsidRPr="0003234F" w14:paraId="3594EE7E" w14:textId="77777777" w:rsidTr="00CC68EE">
        <w:trPr>
          <w:jc w:val="center"/>
        </w:trPr>
        <w:tc>
          <w:tcPr>
            <w:tcW w:w="2839" w:type="dxa"/>
            <w:noWrap/>
            <w:vAlign w:val="center"/>
            <w:hideMark/>
          </w:tcPr>
          <w:p w14:paraId="3B2C73B6" w14:textId="77777777" w:rsidR="0003234F" w:rsidRPr="0003234F" w:rsidRDefault="0003234F" w:rsidP="00CC68EE">
            <w:pPr>
              <w:spacing w:before="0" w:line="200" w:lineRule="exact"/>
              <w:rPr>
                <w:sz w:val="20"/>
                <w:szCs w:val="20"/>
              </w:rPr>
            </w:pPr>
          </w:p>
        </w:tc>
        <w:tc>
          <w:tcPr>
            <w:tcW w:w="850" w:type="dxa"/>
            <w:vAlign w:val="center"/>
            <w:hideMark/>
          </w:tcPr>
          <w:p w14:paraId="335FCF94"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DAB3F06"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2D9DB65A"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16696733"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4A8D476"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3BEB90E7"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5722C62F"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6C19D1DD" w14:textId="77777777" w:rsidR="0003234F" w:rsidRPr="00D40D66" w:rsidRDefault="0003234F" w:rsidP="00CC68EE">
            <w:pPr>
              <w:tabs>
                <w:tab w:val="clear" w:pos="794"/>
              </w:tabs>
              <w:spacing w:before="0" w:line="200" w:lineRule="exact"/>
              <w:jc w:val="left"/>
              <w:rPr>
                <w:b/>
                <w:bCs/>
                <w:sz w:val="20"/>
                <w:szCs w:val="20"/>
                <w:lang w:val="en-GB" w:eastAsia="en-GB"/>
              </w:rPr>
            </w:pPr>
          </w:p>
        </w:tc>
      </w:tr>
      <w:tr w:rsidR="0003234F" w:rsidRPr="0003234F" w14:paraId="3B451ABB" w14:textId="77777777" w:rsidTr="00CC68EE">
        <w:trPr>
          <w:jc w:val="center"/>
        </w:trPr>
        <w:tc>
          <w:tcPr>
            <w:tcW w:w="2839" w:type="dxa"/>
            <w:noWrap/>
            <w:vAlign w:val="center"/>
            <w:hideMark/>
          </w:tcPr>
          <w:p w14:paraId="2D8E1E22" w14:textId="77777777" w:rsidR="0003234F" w:rsidRPr="0003234F" w:rsidRDefault="0003234F" w:rsidP="00CC68EE">
            <w:pPr>
              <w:pStyle w:val="TableHead"/>
              <w:keepNext w:val="0"/>
              <w:spacing w:after="0" w:line="168" w:lineRule="auto"/>
              <w:jc w:val="left"/>
            </w:pPr>
            <w:r w:rsidRPr="0003234F">
              <w:rPr>
                <w:rFonts w:hint="cs"/>
                <w:rtl/>
              </w:rPr>
              <w:t>الاتصالات الساتلية الشخصية المتنقلة العالمية (</w:t>
            </w:r>
            <w:r w:rsidRPr="0003234F">
              <w:t>GMPCS</w:t>
            </w:r>
            <w:r w:rsidRPr="0003234F">
              <w:rPr>
                <w:rFonts w:hint="cs"/>
                <w:rtl/>
              </w:rPr>
              <w:t>)</w:t>
            </w:r>
          </w:p>
        </w:tc>
        <w:tc>
          <w:tcPr>
            <w:tcW w:w="850" w:type="dxa"/>
            <w:vAlign w:val="center"/>
            <w:hideMark/>
          </w:tcPr>
          <w:p w14:paraId="4026C755" w14:textId="3449ACF6"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2AB9DE93" w14:textId="20B845BC"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379C66F3" w14:textId="4138480A"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06263EF0" w14:textId="0D031831"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04493BAF" w14:textId="51588149"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0883486C" w14:textId="71161357" w:rsidR="0003234F" w:rsidRPr="00D40D66" w:rsidRDefault="0003234F" w:rsidP="00CC68EE">
            <w:pPr>
              <w:pStyle w:val="TableHead"/>
              <w:keepNext w:val="0"/>
              <w:spacing w:after="0" w:line="168" w:lineRule="auto"/>
              <w:jc w:val="both"/>
            </w:pPr>
            <w:r w:rsidRPr="00D40D66">
              <w:rPr>
                <w:color w:val="000000"/>
              </w:rPr>
              <w:t xml:space="preserve">  --</w:t>
            </w:r>
          </w:p>
        </w:tc>
        <w:tc>
          <w:tcPr>
            <w:tcW w:w="850" w:type="dxa"/>
            <w:vAlign w:val="center"/>
            <w:hideMark/>
          </w:tcPr>
          <w:p w14:paraId="2F7E1247" w14:textId="10F1CDF4" w:rsidR="0003234F" w:rsidRPr="00D40D66" w:rsidRDefault="0003234F" w:rsidP="00CC68EE">
            <w:pPr>
              <w:pStyle w:val="TableHead"/>
              <w:keepNext w:val="0"/>
              <w:spacing w:after="0" w:line="168" w:lineRule="auto"/>
              <w:jc w:val="both"/>
            </w:pPr>
            <w:r w:rsidRPr="00D40D66">
              <w:t>2</w:t>
            </w:r>
          </w:p>
        </w:tc>
        <w:tc>
          <w:tcPr>
            <w:tcW w:w="850" w:type="dxa"/>
            <w:vAlign w:val="center"/>
            <w:hideMark/>
          </w:tcPr>
          <w:p w14:paraId="12900CBB" w14:textId="0F760E44" w:rsidR="0003234F" w:rsidRPr="00D40D66" w:rsidRDefault="0003234F" w:rsidP="00CC68EE">
            <w:pPr>
              <w:pStyle w:val="TableHead"/>
              <w:keepNext w:val="0"/>
              <w:spacing w:after="0" w:line="168" w:lineRule="auto"/>
              <w:jc w:val="both"/>
            </w:pPr>
            <w:r w:rsidRPr="00D40D66">
              <w:t>0</w:t>
            </w:r>
          </w:p>
        </w:tc>
      </w:tr>
      <w:tr w:rsidR="0003234F" w:rsidRPr="0003234F" w14:paraId="15A2DA4B" w14:textId="77777777" w:rsidTr="00CC68EE">
        <w:trPr>
          <w:jc w:val="center"/>
        </w:trPr>
        <w:tc>
          <w:tcPr>
            <w:tcW w:w="2839" w:type="dxa"/>
            <w:noWrap/>
            <w:vAlign w:val="center"/>
            <w:hideMark/>
          </w:tcPr>
          <w:p w14:paraId="651F45A2" w14:textId="77777777" w:rsidR="0003234F" w:rsidRPr="0003234F" w:rsidRDefault="0003234F" w:rsidP="00CC68EE">
            <w:pPr>
              <w:spacing w:before="0" w:line="200" w:lineRule="exact"/>
              <w:rPr>
                <w:sz w:val="20"/>
                <w:szCs w:val="20"/>
              </w:rPr>
            </w:pPr>
          </w:p>
        </w:tc>
        <w:tc>
          <w:tcPr>
            <w:tcW w:w="850" w:type="dxa"/>
            <w:vAlign w:val="center"/>
            <w:hideMark/>
          </w:tcPr>
          <w:p w14:paraId="7BBF3F8D"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2F5ED0B"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5F93C3B1"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42C75184"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38F0439"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50A205A7"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72BFB6C0" w14:textId="77777777" w:rsidR="0003234F" w:rsidRPr="00D40D66" w:rsidRDefault="0003234F" w:rsidP="00CC68EE">
            <w:pPr>
              <w:tabs>
                <w:tab w:val="clear" w:pos="794"/>
              </w:tabs>
              <w:spacing w:before="0" w:line="200" w:lineRule="exact"/>
              <w:jc w:val="left"/>
              <w:rPr>
                <w:b/>
                <w:bCs/>
                <w:sz w:val="20"/>
                <w:szCs w:val="20"/>
                <w:lang w:val="en-GB" w:eastAsia="en-GB"/>
              </w:rPr>
            </w:pPr>
          </w:p>
        </w:tc>
        <w:tc>
          <w:tcPr>
            <w:tcW w:w="850" w:type="dxa"/>
            <w:vAlign w:val="center"/>
            <w:hideMark/>
          </w:tcPr>
          <w:p w14:paraId="3FD2D0D9" w14:textId="77777777" w:rsidR="0003234F" w:rsidRPr="00D40D66" w:rsidRDefault="0003234F" w:rsidP="00CC68EE">
            <w:pPr>
              <w:tabs>
                <w:tab w:val="clear" w:pos="794"/>
              </w:tabs>
              <w:spacing w:before="0" w:line="200" w:lineRule="exact"/>
              <w:jc w:val="left"/>
              <w:rPr>
                <w:b/>
                <w:bCs/>
                <w:sz w:val="20"/>
                <w:szCs w:val="20"/>
                <w:lang w:val="en-GB" w:eastAsia="en-GB"/>
              </w:rPr>
            </w:pPr>
          </w:p>
        </w:tc>
      </w:tr>
      <w:tr w:rsidR="0003234F" w:rsidRPr="0003234F" w14:paraId="6895E1DC" w14:textId="77777777" w:rsidTr="00CC68EE">
        <w:trPr>
          <w:jc w:val="center"/>
        </w:trPr>
        <w:tc>
          <w:tcPr>
            <w:tcW w:w="2839" w:type="dxa"/>
            <w:noWrap/>
            <w:vAlign w:val="center"/>
            <w:hideMark/>
          </w:tcPr>
          <w:p w14:paraId="239D3156" w14:textId="77777777" w:rsidR="0003234F" w:rsidRPr="0003234F" w:rsidRDefault="0003234F" w:rsidP="00CC68EE">
            <w:pPr>
              <w:pStyle w:val="TableHead"/>
              <w:keepNext w:val="0"/>
              <w:spacing w:after="0" w:line="168" w:lineRule="auto"/>
              <w:jc w:val="both"/>
              <w:rPr>
                <w:lang w:bidi="ar-EG"/>
              </w:rPr>
            </w:pPr>
            <w:r w:rsidRPr="0003234F">
              <w:rPr>
                <w:rFonts w:hint="cs"/>
                <w:rtl/>
                <w:lang w:bidi="ar-EG"/>
              </w:rPr>
              <w:t>المجموع</w:t>
            </w:r>
          </w:p>
        </w:tc>
        <w:tc>
          <w:tcPr>
            <w:tcW w:w="850" w:type="dxa"/>
            <w:vAlign w:val="center"/>
            <w:hideMark/>
          </w:tcPr>
          <w:p w14:paraId="607A6BA9" w14:textId="17463CBF" w:rsidR="0003234F" w:rsidRPr="00D40D66" w:rsidRDefault="0003234F" w:rsidP="00CC68EE">
            <w:pPr>
              <w:pStyle w:val="TableHead"/>
              <w:keepNext w:val="0"/>
              <w:spacing w:after="0" w:line="168" w:lineRule="auto"/>
              <w:jc w:val="both"/>
              <w:rPr>
                <w:u w:val="double"/>
                <w:rtl/>
              </w:rPr>
            </w:pPr>
            <w:r w:rsidRPr="00D40D66">
              <w:rPr>
                <w:u w:val="double"/>
              </w:rPr>
              <w:t>51 673</w:t>
            </w:r>
          </w:p>
        </w:tc>
        <w:tc>
          <w:tcPr>
            <w:tcW w:w="850" w:type="dxa"/>
            <w:vAlign w:val="center"/>
            <w:hideMark/>
          </w:tcPr>
          <w:p w14:paraId="53810DCE" w14:textId="01A540C0" w:rsidR="0003234F" w:rsidRPr="00D40D66" w:rsidRDefault="0003234F" w:rsidP="00CC68EE">
            <w:pPr>
              <w:pStyle w:val="TableHead"/>
              <w:keepNext w:val="0"/>
              <w:spacing w:after="0" w:line="168" w:lineRule="auto"/>
              <w:jc w:val="both"/>
              <w:rPr>
                <w:u w:val="double"/>
              </w:rPr>
            </w:pPr>
            <w:r w:rsidRPr="00D40D66">
              <w:rPr>
                <w:u w:val="double"/>
              </w:rPr>
              <w:t>46 772</w:t>
            </w:r>
          </w:p>
        </w:tc>
        <w:tc>
          <w:tcPr>
            <w:tcW w:w="850" w:type="dxa"/>
            <w:vAlign w:val="center"/>
            <w:hideMark/>
          </w:tcPr>
          <w:p w14:paraId="18FB88C1" w14:textId="2E439EEA" w:rsidR="0003234F" w:rsidRPr="00D40D66" w:rsidRDefault="0003234F" w:rsidP="00CC68EE">
            <w:pPr>
              <w:pStyle w:val="TableHead"/>
              <w:keepNext w:val="0"/>
              <w:spacing w:after="0" w:line="168" w:lineRule="auto"/>
              <w:jc w:val="both"/>
              <w:rPr>
                <w:u w:val="double"/>
              </w:rPr>
            </w:pPr>
            <w:r w:rsidRPr="00D40D66">
              <w:rPr>
                <w:u w:val="double"/>
              </w:rPr>
              <w:t>45 264</w:t>
            </w:r>
          </w:p>
        </w:tc>
        <w:tc>
          <w:tcPr>
            <w:tcW w:w="850" w:type="dxa"/>
            <w:vAlign w:val="center"/>
            <w:hideMark/>
          </w:tcPr>
          <w:p w14:paraId="04BA23B1" w14:textId="371D1CE1" w:rsidR="0003234F" w:rsidRPr="00D40D66" w:rsidRDefault="0003234F" w:rsidP="00CC68EE">
            <w:pPr>
              <w:pStyle w:val="TableHead"/>
              <w:keepNext w:val="0"/>
              <w:spacing w:after="0" w:line="168" w:lineRule="auto"/>
              <w:jc w:val="both"/>
              <w:rPr>
                <w:u w:val="double"/>
              </w:rPr>
            </w:pPr>
            <w:r w:rsidRPr="00D40D66">
              <w:rPr>
                <w:u w:val="double"/>
              </w:rPr>
              <w:t>39 775</w:t>
            </w:r>
          </w:p>
        </w:tc>
        <w:tc>
          <w:tcPr>
            <w:tcW w:w="850" w:type="dxa"/>
            <w:vAlign w:val="center"/>
            <w:hideMark/>
          </w:tcPr>
          <w:p w14:paraId="73F7ED07" w14:textId="09A804A2" w:rsidR="0003234F" w:rsidRPr="00D40D66" w:rsidRDefault="0003234F" w:rsidP="00CC68EE">
            <w:pPr>
              <w:pStyle w:val="TableHead"/>
              <w:keepNext w:val="0"/>
              <w:spacing w:after="0" w:line="168" w:lineRule="auto"/>
              <w:jc w:val="both"/>
              <w:rPr>
                <w:u w:val="double"/>
              </w:rPr>
            </w:pPr>
            <w:r w:rsidRPr="00D40D66">
              <w:rPr>
                <w:u w:val="double"/>
              </w:rPr>
              <w:t>39 800</w:t>
            </w:r>
          </w:p>
        </w:tc>
        <w:tc>
          <w:tcPr>
            <w:tcW w:w="850" w:type="dxa"/>
            <w:vAlign w:val="center"/>
            <w:hideMark/>
          </w:tcPr>
          <w:p w14:paraId="094D1A6F" w14:textId="12D9434A" w:rsidR="0003234F" w:rsidRPr="00D40D66" w:rsidRDefault="0003234F" w:rsidP="00CC68EE">
            <w:pPr>
              <w:pStyle w:val="TableHead"/>
              <w:keepNext w:val="0"/>
              <w:spacing w:after="0" w:line="168" w:lineRule="auto"/>
              <w:jc w:val="both"/>
              <w:rPr>
                <w:u w:val="double"/>
              </w:rPr>
            </w:pPr>
            <w:r w:rsidRPr="00D40D66">
              <w:rPr>
                <w:u w:val="double"/>
              </w:rPr>
              <w:t>40 575</w:t>
            </w:r>
          </w:p>
        </w:tc>
        <w:tc>
          <w:tcPr>
            <w:tcW w:w="850" w:type="dxa"/>
            <w:vAlign w:val="center"/>
            <w:hideMark/>
          </w:tcPr>
          <w:p w14:paraId="6DFBD596" w14:textId="2E7C2D6B" w:rsidR="0003234F" w:rsidRPr="00D40D66" w:rsidRDefault="0003234F" w:rsidP="00CC68EE">
            <w:pPr>
              <w:pStyle w:val="TableHead"/>
              <w:keepNext w:val="0"/>
              <w:spacing w:after="0" w:line="168" w:lineRule="auto"/>
              <w:jc w:val="both"/>
              <w:rPr>
                <w:u w:val="double"/>
              </w:rPr>
            </w:pPr>
            <w:r w:rsidRPr="00D40D66">
              <w:rPr>
                <w:u w:val="double"/>
              </w:rPr>
              <w:t>39 992</w:t>
            </w:r>
          </w:p>
        </w:tc>
        <w:tc>
          <w:tcPr>
            <w:tcW w:w="850" w:type="dxa"/>
            <w:vAlign w:val="center"/>
            <w:hideMark/>
          </w:tcPr>
          <w:p w14:paraId="713DBD59" w14:textId="7B44254F" w:rsidR="0003234F" w:rsidRPr="00D40D66" w:rsidRDefault="0003234F" w:rsidP="00CC68EE">
            <w:pPr>
              <w:pStyle w:val="TableHead"/>
              <w:keepNext w:val="0"/>
              <w:spacing w:after="0" w:line="168" w:lineRule="auto"/>
              <w:jc w:val="both"/>
              <w:rPr>
                <w:u w:val="double"/>
              </w:rPr>
            </w:pPr>
            <w:r w:rsidRPr="00D40D66">
              <w:rPr>
                <w:u w:val="double"/>
              </w:rPr>
              <w:t>34 094</w:t>
            </w:r>
          </w:p>
        </w:tc>
      </w:tr>
    </w:tbl>
    <w:p w14:paraId="7090679B" w14:textId="297327B4" w:rsidR="0003234F" w:rsidRDefault="0003234F" w:rsidP="0003234F">
      <w:pPr>
        <w:spacing w:before="240"/>
        <w:rPr>
          <w:sz w:val="20"/>
          <w:szCs w:val="20"/>
          <w:rtl/>
          <w:lang w:bidi="ar-SY"/>
        </w:rPr>
      </w:pPr>
      <w:r>
        <w:rPr>
          <w:rFonts w:hint="cs"/>
          <w:sz w:val="20"/>
          <w:szCs w:val="20"/>
          <w:rtl/>
          <w:lang w:val="fr-CH"/>
        </w:rPr>
        <w:t>لا يشمل هذا الجدول الحسابات المدينة الحالية (أي في عام </w:t>
      </w:r>
      <w:r>
        <w:rPr>
          <w:sz w:val="20"/>
          <w:szCs w:val="20"/>
        </w:rPr>
        <w:t>2022</w:t>
      </w:r>
      <w:r>
        <w:rPr>
          <w:rFonts w:hint="cs"/>
          <w:sz w:val="20"/>
          <w:szCs w:val="20"/>
          <w:rtl/>
        </w:rPr>
        <w:t>)</w:t>
      </w:r>
      <w:r>
        <w:rPr>
          <w:rFonts w:hint="cs"/>
          <w:sz w:val="20"/>
          <w:szCs w:val="20"/>
          <w:rtl/>
          <w:lang w:bidi="ar-SY"/>
        </w:rPr>
        <w:t xml:space="preserve"> التي بلغ</w:t>
      </w:r>
      <w:r w:rsidR="00C1413A">
        <w:rPr>
          <w:rFonts w:hint="cs"/>
          <w:sz w:val="20"/>
          <w:szCs w:val="20"/>
          <w:rtl/>
        </w:rPr>
        <w:t>ت</w:t>
      </w:r>
      <w:r>
        <w:rPr>
          <w:rFonts w:hint="cs"/>
          <w:sz w:val="20"/>
          <w:szCs w:val="20"/>
          <w:rtl/>
          <w:lang w:bidi="ar-SY"/>
        </w:rPr>
        <w:t xml:space="preserve"> </w:t>
      </w:r>
      <w:r>
        <w:rPr>
          <w:sz w:val="20"/>
          <w:szCs w:val="20"/>
          <w:lang w:bidi="ar-SY"/>
        </w:rPr>
        <w:t>14 048 000</w:t>
      </w:r>
      <w:r>
        <w:rPr>
          <w:rFonts w:hint="cs"/>
          <w:sz w:val="20"/>
          <w:szCs w:val="20"/>
          <w:rtl/>
          <w:lang w:bidi="ar-EG"/>
        </w:rPr>
        <w:t xml:space="preserve"> </w:t>
      </w:r>
      <w:r>
        <w:rPr>
          <w:rFonts w:hint="cs"/>
          <w:sz w:val="20"/>
          <w:szCs w:val="20"/>
          <w:rtl/>
          <w:lang w:bidi="ar-SY"/>
        </w:rPr>
        <w:t>فرنك سويسري في</w:t>
      </w:r>
      <w:r>
        <w:rPr>
          <w:rFonts w:hint="cs"/>
          <w:sz w:val="20"/>
          <w:szCs w:val="20"/>
          <w:rtl/>
          <w:lang w:val="fr-CH"/>
        </w:rPr>
        <w:t> </w:t>
      </w:r>
      <w:r>
        <w:rPr>
          <w:sz w:val="20"/>
          <w:szCs w:val="20"/>
        </w:rPr>
        <w:t>31</w:t>
      </w:r>
      <w:r>
        <w:rPr>
          <w:rFonts w:hint="cs"/>
          <w:sz w:val="20"/>
          <w:szCs w:val="20"/>
          <w:rtl/>
          <w:lang w:bidi="ar-SY"/>
        </w:rPr>
        <w:t xml:space="preserve"> ديسمبر 2022، وبذلك يصل مجموع المبالغ المستحقة إلى </w:t>
      </w:r>
      <w:r>
        <w:rPr>
          <w:sz w:val="20"/>
          <w:szCs w:val="20"/>
          <w:lang w:bidi="ar-SY"/>
        </w:rPr>
        <w:t>48 142 000</w:t>
      </w:r>
      <w:r>
        <w:rPr>
          <w:rFonts w:hint="cs"/>
          <w:sz w:val="20"/>
          <w:szCs w:val="20"/>
          <w:rtl/>
          <w:lang w:bidi="ar-SY"/>
        </w:rPr>
        <w:t xml:space="preserve"> فرنك سويسري. وفي عام 2022</w:t>
      </w:r>
      <w:r>
        <w:rPr>
          <w:rFonts w:hint="cs"/>
          <w:sz w:val="20"/>
          <w:szCs w:val="20"/>
          <w:rtl/>
          <w:lang w:bidi="ar-EG"/>
        </w:rPr>
        <w:t xml:space="preserve">، </w:t>
      </w:r>
      <w:r w:rsidR="00C1413A">
        <w:rPr>
          <w:rFonts w:hint="cs"/>
          <w:sz w:val="20"/>
          <w:szCs w:val="20"/>
          <w:rtl/>
          <w:lang w:bidi="ar-EG"/>
        </w:rPr>
        <w:t>انخفضت</w:t>
      </w:r>
      <w:r>
        <w:rPr>
          <w:rFonts w:hint="cs"/>
          <w:sz w:val="20"/>
          <w:szCs w:val="20"/>
          <w:rtl/>
          <w:lang w:bidi="ar-EG"/>
        </w:rPr>
        <w:t xml:space="preserve"> الحسابات المدينة بنسبة 10 في المائة بالمقارنة مع عام 2021</w:t>
      </w:r>
      <w:r>
        <w:rPr>
          <w:rFonts w:hint="cs"/>
          <w:sz w:val="20"/>
          <w:szCs w:val="20"/>
          <w:rtl/>
          <w:lang w:bidi="ar-SY"/>
        </w:rPr>
        <w:t>.</w:t>
      </w:r>
    </w:p>
    <w:p w14:paraId="6EE39ADE" w14:textId="77777777" w:rsidR="0003234F" w:rsidRDefault="0003234F" w:rsidP="0003234F">
      <w:pPr>
        <w:pStyle w:val="AnnexNo"/>
        <w:keepNext/>
        <w:keepLines/>
      </w:pPr>
      <w:r>
        <w:rPr>
          <w:rFonts w:hint="cs"/>
          <w:rtl/>
        </w:rPr>
        <w:t>الملحـق بـاء</w:t>
      </w:r>
    </w:p>
    <w:p w14:paraId="2CB936B4" w14:textId="33342E2F" w:rsidR="0003234F" w:rsidRDefault="0003234F" w:rsidP="0003234F">
      <w:pPr>
        <w:pStyle w:val="ResNo"/>
        <w:rPr>
          <w:rtl/>
        </w:rPr>
      </w:pPr>
      <w:r>
        <w:rPr>
          <w:rFonts w:hint="cs"/>
          <w:rtl/>
        </w:rPr>
        <w:t>مشـروع مقـرر [...]</w:t>
      </w:r>
    </w:p>
    <w:p w14:paraId="58745B33" w14:textId="77777777" w:rsidR="0003234F" w:rsidRDefault="0003234F" w:rsidP="0003234F">
      <w:pPr>
        <w:pStyle w:val="Rectitle"/>
        <w:rPr>
          <w:rtl/>
        </w:rPr>
      </w:pPr>
      <w:r>
        <w:rPr>
          <w:rFonts w:hint="cs"/>
          <w:rtl/>
        </w:rPr>
        <w:t>إلغاء الفوائد على المتأخرات والديون غير القابلة للاسترداد</w:t>
      </w:r>
    </w:p>
    <w:p w14:paraId="02DB9C22" w14:textId="77777777" w:rsidR="0003234F" w:rsidRDefault="0003234F" w:rsidP="0003234F">
      <w:pPr>
        <w:pStyle w:val="Normalaftertitle"/>
        <w:rPr>
          <w:rtl/>
        </w:rPr>
      </w:pPr>
      <w:r>
        <w:rPr>
          <w:rFonts w:hint="cs"/>
          <w:rtl/>
        </w:rPr>
        <w:t>إن مجلس الاتحاد الدولي للاتصالات،</w:t>
      </w:r>
    </w:p>
    <w:p w14:paraId="3E016758" w14:textId="77777777" w:rsidR="0003234F" w:rsidRDefault="0003234F" w:rsidP="0003234F">
      <w:pPr>
        <w:pStyle w:val="Call"/>
        <w:rPr>
          <w:rtl/>
        </w:rPr>
      </w:pPr>
      <w:r>
        <w:rPr>
          <w:rFonts w:hint="cs"/>
          <w:rtl/>
        </w:rPr>
        <w:t>وقد درس</w:t>
      </w:r>
    </w:p>
    <w:p w14:paraId="56E66E24" w14:textId="532B5439" w:rsidR="0003234F" w:rsidRDefault="0003234F" w:rsidP="0003234F">
      <w:pPr>
        <w:rPr>
          <w:rtl/>
        </w:rPr>
      </w:pPr>
      <w:r>
        <w:rPr>
          <w:rFonts w:hint="cs"/>
          <w:rtl/>
        </w:rPr>
        <w:t>تقرير الأمين</w:t>
      </w:r>
      <w:r w:rsidR="002B7170">
        <w:rPr>
          <w:rFonts w:hint="cs"/>
          <w:rtl/>
        </w:rPr>
        <w:t>ة</w:t>
      </w:r>
      <w:r>
        <w:rPr>
          <w:rFonts w:hint="cs"/>
          <w:rtl/>
        </w:rPr>
        <w:t xml:space="preserve"> العام</w:t>
      </w:r>
      <w:r w:rsidR="002B7170">
        <w:rPr>
          <w:rFonts w:hint="cs"/>
          <w:rtl/>
        </w:rPr>
        <w:t>ة</w:t>
      </w:r>
      <w:r>
        <w:rPr>
          <w:rFonts w:hint="cs"/>
          <w:rtl/>
        </w:rPr>
        <w:t xml:space="preserve"> عن المتأخرات والحسابات الخاصة بالمتأخرات (</w:t>
      </w:r>
      <w:hyperlink r:id="rId23" w:history="1">
        <w:r>
          <w:rPr>
            <w:rStyle w:val="Hyperlink"/>
            <w:rFonts w:hint="cs"/>
            <w:rtl/>
          </w:rPr>
          <w:t xml:space="preserve">الوثيقة </w:t>
        </w:r>
        <w:r w:rsidRPr="0003234F">
          <w:rPr>
            <w:rStyle w:val="Hyperlink"/>
          </w:rPr>
          <w:t>C23/11</w:t>
        </w:r>
      </w:hyperlink>
      <w:r>
        <w:rPr>
          <w:rFonts w:hint="cs"/>
          <w:rtl/>
        </w:rPr>
        <w:t>)</w:t>
      </w:r>
      <w:r>
        <w:rPr>
          <w:rFonts w:hint="cs"/>
          <w:rtl/>
          <w:lang w:bidi="ar-SY"/>
        </w:rPr>
        <w:t>،</w:t>
      </w:r>
    </w:p>
    <w:p w14:paraId="611C3D62" w14:textId="77777777" w:rsidR="0003234F" w:rsidRDefault="0003234F" w:rsidP="0003234F">
      <w:pPr>
        <w:pStyle w:val="Call"/>
        <w:rPr>
          <w:rtl/>
        </w:rPr>
      </w:pPr>
      <w:r>
        <w:rPr>
          <w:rFonts w:hint="cs"/>
          <w:rtl/>
        </w:rPr>
        <w:t>يقـرر</w:t>
      </w:r>
    </w:p>
    <w:p w14:paraId="136BBE6F" w14:textId="5F82031F" w:rsidR="0003234F" w:rsidRDefault="0003234F" w:rsidP="0003234F">
      <w:pPr>
        <w:spacing w:after="120"/>
        <w:rPr>
          <w:rtl/>
          <w:lang w:bidi="ar-EG"/>
        </w:rPr>
      </w:pPr>
      <w:r>
        <w:rPr>
          <w:rFonts w:hint="cs"/>
          <w:spacing w:val="-2"/>
          <w:rtl/>
        </w:rPr>
        <w:t xml:space="preserve">الموافقة على </w:t>
      </w:r>
      <w:r>
        <w:rPr>
          <w:rFonts w:hint="cs"/>
          <w:spacing w:val="-2"/>
          <w:rtl/>
          <w:lang w:bidi="ar-SY"/>
        </w:rPr>
        <w:t xml:space="preserve">شطب الفوائد على المتأخرات والديون غير القابلة للاسترداد التالية بمبلغ </w:t>
      </w:r>
      <w:r>
        <w:rPr>
          <w:b/>
          <w:bCs/>
          <w:spacing w:val="-2"/>
        </w:rPr>
        <w:t>2 696 139,02</w:t>
      </w:r>
      <w:r>
        <w:rPr>
          <w:rFonts w:hint="cs"/>
          <w:b/>
          <w:bCs/>
          <w:spacing w:val="-2"/>
          <w:rtl/>
          <w:lang w:bidi="ar-SY"/>
        </w:rPr>
        <w:t> من الفرنكات السويسرية</w:t>
      </w:r>
      <w:r>
        <w:rPr>
          <w:rFonts w:hint="cs"/>
          <w:rtl/>
          <w:lang w:bidi="ar-SY"/>
        </w:rPr>
        <w:t xml:space="preserve"> عن طريق سحب مبلغ مناظر من احتياطي الحسابات المدينة</w:t>
      </w:r>
      <w:r>
        <w:rPr>
          <w:rFonts w:hint="cs"/>
          <w:rtl/>
          <w:lang w:bidi="ar-EG"/>
        </w:rPr>
        <w:t xml:space="preserve">. ويُرجى الرجوع إلى التفاصيل الواردة في الجدول </w:t>
      </w:r>
      <w:r w:rsidR="002B7170">
        <w:rPr>
          <w:rFonts w:hint="cs"/>
          <w:rtl/>
          <w:lang w:bidi="ar-EG"/>
        </w:rPr>
        <w:t>أدناه</w:t>
      </w:r>
      <w:r>
        <w:rPr>
          <w:rFonts w:hint="cs"/>
          <w:rtl/>
          <w:lang w:bidi="ar-EG"/>
        </w:rPr>
        <w:t>.</w:t>
      </w:r>
    </w:p>
    <w:tbl>
      <w:tblPr>
        <w:bidiVisual/>
        <w:tblW w:w="4992" w:type="pct"/>
        <w:jc w:val="center"/>
        <w:tblLook w:val="04A0" w:firstRow="1" w:lastRow="0" w:firstColumn="1" w:lastColumn="0" w:noHBand="0" w:noVBand="1"/>
      </w:tblPr>
      <w:tblGrid>
        <w:gridCol w:w="1403"/>
        <w:gridCol w:w="3678"/>
        <w:gridCol w:w="1125"/>
        <w:gridCol w:w="1099"/>
        <w:gridCol w:w="1118"/>
        <w:gridCol w:w="1196"/>
      </w:tblGrid>
      <w:tr w:rsidR="0003234F" w:rsidRPr="00D40D66" w14:paraId="1487B593" w14:textId="77777777" w:rsidTr="00501A8D">
        <w:trPr>
          <w:trHeight w:val="288"/>
          <w:jc w:val="center"/>
        </w:trPr>
        <w:tc>
          <w:tcPr>
            <w:tcW w:w="1403" w:type="dxa"/>
            <w:tcBorders>
              <w:top w:val="single" w:sz="8" w:space="0" w:color="auto"/>
              <w:left w:val="single" w:sz="8" w:space="0" w:color="auto"/>
              <w:bottom w:val="nil"/>
              <w:right w:val="single" w:sz="4" w:space="0" w:color="auto"/>
            </w:tcBorders>
            <w:shd w:val="clear" w:color="000000" w:fill="C0C0C0"/>
            <w:noWrap/>
            <w:vAlign w:val="center"/>
            <w:hideMark/>
          </w:tcPr>
          <w:p w14:paraId="60273623" w14:textId="544868F1" w:rsidR="0003234F" w:rsidRPr="00D40D66" w:rsidRDefault="0003234F" w:rsidP="0003234F">
            <w:pPr>
              <w:spacing w:before="0"/>
              <w:jc w:val="center"/>
              <w:rPr>
                <w:b/>
                <w:bCs/>
                <w:color w:val="000000"/>
                <w:sz w:val="16"/>
                <w:szCs w:val="16"/>
                <w:lang w:eastAsia="en-GB"/>
              </w:rPr>
            </w:pPr>
            <w:r w:rsidRPr="00D40D66">
              <w:rPr>
                <w:rFonts w:hint="cs"/>
                <w:b/>
                <w:bCs/>
                <w:sz w:val="16"/>
                <w:szCs w:val="16"/>
                <w:rtl/>
              </w:rPr>
              <w:t>البلد</w:t>
            </w:r>
          </w:p>
        </w:tc>
        <w:tc>
          <w:tcPr>
            <w:tcW w:w="3678" w:type="dxa"/>
            <w:tcBorders>
              <w:top w:val="single" w:sz="8" w:space="0" w:color="auto"/>
              <w:left w:val="nil"/>
              <w:bottom w:val="nil"/>
              <w:right w:val="single" w:sz="4" w:space="0" w:color="auto"/>
            </w:tcBorders>
            <w:shd w:val="clear" w:color="000000" w:fill="C0C0C0"/>
            <w:noWrap/>
            <w:vAlign w:val="center"/>
            <w:hideMark/>
          </w:tcPr>
          <w:p w14:paraId="5B54BB46" w14:textId="75A32395" w:rsidR="0003234F" w:rsidRPr="00D40D66" w:rsidRDefault="002B7170" w:rsidP="0003234F">
            <w:pPr>
              <w:spacing w:before="0"/>
              <w:jc w:val="center"/>
              <w:rPr>
                <w:b/>
                <w:bCs/>
                <w:color w:val="000000"/>
                <w:sz w:val="16"/>
                <w:szCs w:val="16"/>
                <w:lang w:eastAsia="en-GB"/>
              </w:rPr>
            </w:pPr>
            <w:r w:rsidRPr="00D40D66">
              <w:rPr>
                <w:rFonts w:hint="cs"/>
                <w:b/>
                <w:bCs/>
                <w:sz w:val="16"/>
                <w:szCs w:val="16"/>
                <w:rtl/>
              </w:rPr>
              <w:t>المنظمة</w:t>
            </w:r>
          </w:p>
        </w:tc>
        <w:tc>
          <w:tcPr>
            <w:tcW w:w="1125" w:type="dxa"/>
            <w:tcBorders>
              <w:top w:val="single" w:sz="8" w:space="0" w:color="auto"/>
              <w:left w:val="nil"/>
              <w:bottom w:val="nil"/>
              <w:right w:val="single" w:sz="4" w:space="0" w:color="auto"/>
            </w:tcBorders>
            <w:shd w:val="clear" w:color="000000" w:fill="C0C0C0"/>
            <w:noWrap/>
            <w:vAlign w:val="center"/>
            <w:hideMark/>
          </w:tcPr>
          <w:p w14:paraId="5CA14F1C" w14:textId="2A4FB801" w:rsidR="0003234F" w:rsidRPr="00D40D66" w:rsidRDefault="0003234F" w:rsidP="0003234F">
            <w:pPr>
              <w:spacing w:before="0"/>
              <w:jc w:val="center"/>
              <w:rPr>
                <w:b/>
                <w:bCs/>
                <w:color w:val="000000"/>
                <w:sz w:val="16"/>
                <w:szCs w:val="16"/>
                <w:lang w:eastAsia="en-GB"/>
              </w:rPr>
            </w:pPr>
            <w:r w:rsidRPr="00D40D66">
              <w:rPr>
                <w:rFonts w:hint="cs"/>
                <w:b/>
                <w:bCs/>
                <w:sz w:val="16"/>
                <w:szCs w:val="16"/>
                <w:rtl/>
              </w:rPr>
              <w:t>السنة</w:t>
            </w:r>
          </w:p>
        </w:tc>
        <w:tc>
          <w:tcPr>
            <w:tcW w:w="1099" w:type="dxa"/>
            <w:tcBorders>
              <w:top w:val="single" w:sz="8" w:space="0" w:color="auto"/>
              <w:left w:val="nil"/>
              <w:bottom w:val="nil"/>
              <w:right w:val="single" w:sz="4" w:space="0" w:color="auto"/>
            </w:tcBorders>
            <w:shd w:val="clear" w:color="000000" w:fill="C0C0C0"/>
            <w:noWrap/>
            <w:vAlign w:val="center"/>
            <w:hideMark/>
          </w:tcPr>
          <w:p w14:paraId="3364C77B" w14:textId="341B4428" w:rsidR="0003234F" w:rsidRPr="00D40D66" w:rsidRDefault="0003234F" w:rsidP="0003234F">
            <w:pPr>
              <w:spacing w:before="0"/>
              <w:jc w:val="center"/>
              <w:rPr>
                <w:b/>
                <w:bCs/>
                <w:color w:val="000000"/>
                <w:sz w:val="16"/>
                <w:szCs w:val="16"/>
                <w:lang w:eastAsia="en-GB"/>
              </w:rPr>
            </w:pPr>
            <w:r w:rsidRPr="00D40D66">
              <w:rPr>
                <w:rFonts w:hint="cs"/>
                <w:b/>
                <w:bCs/>
                <w:sz w:val="16"/>
                <w:szCs w:val="16"/>
                <w:rtl/>
              </w:rPr>
              <w:t>المبلغ المستحق</w:t>
            </w:r>
          </w:p>
        </w:tc>
        <w:tc>
          <w:tcPr>
            <w:tcW w:w="1118" w:type="dxa"/>
            <w:tcBorders>
              <w:top w:val="single" w:sz="8" w:space="0" w:color="auto"/>
              <w:left w:val="nil"/>
              <w:bottom w:val="nil"/>
              <w:right w:val="single" w:sz="4" w:space="0" w:color="auto"/>
            </w:tcBorders>
            <w:shd w:val="clear" w:color="000000" w:fill="C0C0C0"/>
            <w:noWrap/>
            <w:vAlign w:val="center"/>
            <w:hideMark/>
          </w:tcPr>
          <w:p w14:paraId="3C457926" w14:textId="00DCCA00" w:rsidR="0003234F" w:rsidRPr="00D40D66" w:rsidRDefault="0003234F" w:rsidP="0003234F">
            <w:pPr>
              <w:spacing w:before="0"/>
              <w:jc w:val="center"/>
              <w:rPr>
                <w:b/>
                <w:bCs/>
                <w:color w:val="000000"/>
                <w:sz w:val="16"/>
                <w:szCs w:val="16"/>
                <w:lang w:eastAsia="en-GB"/>
              </w:rPr>
            </w:pPr>
            <w:r w:rsidRPr="00D40D66">
              <w:rPr>
                <w:rFonts w:hint="cs"/>
                <w:b/>
                <w:bCs/>
                <w:sz w:val="16"/>
                <w:szCs w:val="16"/>
                <w:rtl/>
              </w:rPr>
              <w:t>الفوائد</w:t>
            </w:r>
          </w:p>
        </w:tc>
        <w:tc>
          <w:tcPr>
            <w:tcW w:w="1196" w:type="dxa"/>
            <w:tcBorders>
              <w:top w:val="single" w:sz="8" w:space="0" w:color="auto"/>
              <w:left w:val="nil"/>
              <w:bottom w:val="nil"/>
              <w:right w:val="single" w:sz="8" w:space="0" w:color="auto"/>
            </w:tcBorders>
            <w:shd w:val="clear" w:color="000000" w:fill="C0C0C0"/>
            <w:noWrap/>
            <w:vAlign w:val="center"/>
            <w:hideMark/>
          </w:tcPr>
          <w:p w14:paraId="50457AE0" w14:textId="382C1F94" w:rsidR="0003234F" w:rsidRPr="00D40D66" w:rsidRDefault="0003234F" w:rsidP="0003234F">
            <w:pPr>
              <w:spacing w:before="0"/>
              <w:jc w:val="center"/>
              <w:rPr>
                <w:b/>
                <w:bCs/>
                <w:color w:val="000000"/>
                <w:sz w:val="16"/>
                <w:szCs w:val="16"/>
                <w:lang w:eastAsia="en-GB"/>
              </w:rPr>
            </w:pPr>
            <w:r w:rsidRPr="00D40D66">
              <w:rPr>
                <w:rFonts w:hint="cs"/>
                <w:b/>
                <w:bCs/>
                <w:sz w:val="16"/>
                <w:szCs w:val="16"/>
                <w:rtl/>
              </w:rPr>
              <w:t>المجموع</w:t>
            </w:r>
          </w:p>
        </w:tc>
      </w:tr>
      <w:tr w:rsidR="0003234F" w:rsidRPr="00D40D66" w14:paraId="77083260" w14:textId="77777777" w:rsidTr="00501A8D">
        <w:trPr>
          <w:trHeight w:val="288"/>
          <w:jc w:val="center"/>
        </w:trPr>
        <w:tc>
          <w:tcPr>
            <w:tcW w:w="1403" w:type="dxa"/>
            <w:tcBorders>
              <w:top w:val="single" w:sz="4" w:space="0" w:color="auto"/>
              <w:left w:val="single" w:sz="4" w:space="0" w:color="auto"/>
              <w:bottom w:val="single" w:sz="4" w:space="0" w:color="auto"/>
              <w:right w:val="single" w:sz="4" w:space="0" w:color="auto"/>
            </w:tcBorders>
            <w:shd w:val="clear" w:color="000000" w:fill="FFFFFF"/>
            <w:noWrap/>
            <w:hideMark/>
          </w:tcPr>
          <w:p w14:paraId="354D85D8" w14:textId="6C2A9BFE" w:rsidR="0003234F" w:rsidRPr="00D40D66" w:rsidRDefault="0003234F" w:rsidP="00864F9A">
            <w:pPr>
              <w:spacing w:before="0"/>
              <w:rPr>
                <w:color w:val="000000"/>
                <w:sz w:val="16"/>
                <w:szCs w:val="16"/>
                <w:lang w:eastAsia="en-GB"/>
              </w:rPr>
            </w:pPr>
            <w:r w:rsidRPr="00D40D66">
              <w:rPr>
                <w:rFonts w:hint="cs"/>
                <w:color w:val="000000"/>
                <w:sz w:val="16"/>
                <w:szCs w:val="16"/>
                <w:rtl/>
                <w:lang w:eastAsia="en-GB"/>
              </w:rPr>
              <w:t>ليبيا</w:t>
            </w:r>
          </w:p>
        </w:tc>
        <w:tc>
          <w:tcPr>
            <w:tcW w:w="3678" w:type="dxa"/>
            <w:tcBorders>
              <w:top w:val="single" w:sz="4" w:space="0" w:color="auto"/>
              <w:left w:val="nil"/>
              <w:bottom w:val="single" w:sz="4" w:space="0" w:color="auto"/>
              <w:right w:val="single" w:sz="4" w:space="0" w:color="auto"/>
            </w:tcBorders>
            <w:shd w:val="clear" w:color="000000" w:fill="FFFFFF"/>
            <w:hideMark/>
          </w:tcPr>
          <w:p w14:paraId="7A148735" w14:textId="77777777" w:rsidR="0003234F" w:rsidRPr="00D40D66" w:rsidRDefault="0003234F" w:rsidP="00CC68EE">
            <w:pPr>
              <w:bidi w:val="0"/>
              <w:spacing w:before="0"/>
              <w:jc w:val="left"/>
              <w:rPr>
                <w:color w:val="000000"/>
                <w:sz w:val="16"/>
                <w:szCs w:val="16"/>
                <w:lang w:eastAsia="en-GB"/>
              </w:rPr>
            </w:pPr>
            <w:r w:rsidRPr="00D40D66">
              <w:rPr>
                <w:color w:val="000000"/>
                <w:sz w:val="16"/>
                <w:szCs w:val="16"/>
                <w:lang w:eastAsia="en-GB"/>
              </w:rPr>
              <w:t>General Auth. of Comms. &amp; Informatics</w:t>
            </w:r>
          </w:p>
        </w:tc>
        <w:tc>
          <w:tcPr>
            <w:tcW w:w="1125" w:type="dxa"/>
            <w:tcBorders>
              <w:top w:val="single" w:sz="4" w:space="0" w:color="auto"/>
              <w:left w:val="nil"/>
              <w:bottom w:val="single" w:sz="4" w:space="0" w:color="auto"/>
              <w:right w:val="single" w:sz="4" w:space="0" w:color="auto"/>
            </w:tcBorders>
            <w:shd w:val="clear" w:color="000000" w:fill="FFFFFF"/>
            <w:noWrap/>
            <w:hideMark/>
          </w:tcPr>
          <w:p w14:paraId="0093F0FF" w14:textId="08C5160B" w:rsidR="0003234F" w:rsidRPr="00D40D66" w:rsidRDefault="0003234F" w:rsidP="00864F9A">
            <w:pPr>
              <w:spacing w:before="0"/>
              <w:jc w:val="center"/>
              <w:rPr>
                <w:color w:val="000000"/>
                <w:sz w:val="16"/>
                <w:szCs w:val="16"/>
                <w:lang w:eastAsia="en-GB"/>
              </w:rPr>
            </w:pPr>
            <w:r w:rsidRPr="00D40D66">
              <w:rPr>
                <w:rFonts w:hint="cs"/>
                <w:color w:val="000000"/>
                <w:sz w:val="16"/>
                <w:szCs w:val="16"/>
                <w:rtl/>
                <w:lang w:eastAsia="en-GB"/>
              </w:rPr>
              <w:t>2014-2022</w:t>
            </w:r>
          </w:p>
        </w:tc>
        <w:tc>
          <w:tcPr>
            <w:tcW w:w="1099" w:type="dxa"/>
            <w:tcBorders>
              <w:top w:val="single" w:sz="4" w:space="0" w:color="auto"/>
              <w:left w:val="nil"/>
              <w:bottom w:val="single" w:sz="4" w:space="0" w:color="auto"/>
              <w:right w:val="single" w:sz="4" w:space="0" w:color="auto"/>
            </w:tcBorders>
            <w:shd w:val="clear" w:color="000000" w:fill="FFFFFF"/>
            <w:noWrap/>
            <w:hideMark/>
          </w:tcPr>
          <w:p w14:paraId="46911A1D" w14:textId="37231ED9" w:rsidR="0003234F" w:rsidRPr="00D40D66" w:rsidRDefault="0003234F" w:rsidP="0003234F">
            <w:pPr>
              <w:spacing w:before="0"/>
              <w:rPr>
                <w:color w:val="000000"/>
                <w:sz w:val="16"/>
                <w:szCs w:val="16"/>
                <w:lang w:eastAsia="en-GB"/>
              </w:rPr>
            </w:pPr>
            <w:r w:rsidRPr="00D40D66">
              <w:rPr>
                <w:color w:val="000000"/>
                <w:sz w:val="16"/>
                <w:szCs w:val="16"/>
                <w:lang w:eastAsia="en-GB"/>
              </w:rPr>
              <w:t>0,00</w:t>
            </w:r>
          </w:p>
        </w:tc>
        <w:tc>
          <w:tcPr>
            <w:tcW w:w="1118" w:type="dxa"/>
            <w:tcBorders>
              <w:top w:val="single" w:sz="4" w:space="0" w:color="auto"/>
              <w:left w:val="nil"/>
              <w:bottom w:val="single" w:sz="4" w:space="0" w:color="auto"/>
              <w:right w:val="single" w:sz="4" w:space="0" w:color="auto"/>
            </w:tcBorders>
            <w:shd w:val="clear" w:color="000000" w:fill="FFFFFF"/>
            <w:noWrap/>
            <w:hideMark/>
          </w:tcPr>
          <w:p w14:paraId="47A39C35" w14:textId="28139731" w:rsidR="0003234F" w:rsidRPr="00D40D66" w:rsidRDefault="0003234F" w:rsidP="0003234F">
            <w:pPr>
              <w:spacing w:before="0"/>
              <w:rPr>
                <w:color w:val="000000"/>
                <w:sz w:val="16"/>
                <w:szCs w:val="16"/>
                <w:lang w:eastAsia="en-GB"/>
              </w:rPr>
            </w:pPr>
            <w:r w:rsidRPr="00D40D66">
              <w:rPr>
                <w:color w:val="000000"/>
                <w:sz w:val="16"/>
                <w:szCs w:val="16"/>
                <w:lang w:eastAsia="en-GB"/>
              </w:rPr>
              <w:t>733 619,90</w:t>
            </w:r>
          </w:p>
        </w:tc>
        <w:tc>
          <w:tcPr>
            <w:tcW w:w="1196" w:type="dxa"/>
            <w:tcBorders>
              <w:top w:val="single" w:sz="4" w:space="0" w:color="auto"/>
              <w:left w:val="nil"/>
              <w:bottom w:val="single" w:sz="4" w:space="0" w:color="auto"/>
              <w:right w:val="single" w:sz="4" w:space="0" w:color="auto"/>
            </w:tcBorders>
            <w:shd w:val="clear" w:color="000000" w:fill="FFFFFF"/>
            <w:noWrap/>
            <w:hideMark/>
          </w:tcPr>
          <w:p w14:paraId="6AAC821B" w14:textId="4461A476" w:rsidR="0003234F" w:rsidRPr="00D40D66" w:rsidRDefault="0003234F" w:rsidP="0003234F">
            <w:pPr>
              <w:spacing w:before="0"/>
              <w:rPr>
                <w:sz w:val="16"/>
                <w:szCs w:val="16"/>
                <w:lang w:eastAsia="en-GB"/>
              </w:rPr>
            </w:pPr>
            <w:r w:rsidRPr="00D40D66">
              <w:rPr>
                <w:sz w:val="16"/>
                <w:szCs w:val="16"/>
                <w:lang w:eastAsia="en-GB"/>
              </w:rPr>
              <w:t>733 619,90</w:t>
            </w:r>
          </w:p>
        </w:tc>
      </w:tr>
      <w:tr w:rsidR="0003234F" w:rsidRPr="00D40D66" w14:paraId="55ADDECC" w14:textId="77777777" w:rsidTr="00501A8D">
        <w:trPr>
          <w:trHeight w:val="420"/>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108194A6" w14:textId="2D103021" w:rsidR="0003234F" w:rsidRPr="00D40D66" w:rsidRDefault="0003234F" w:rsidP="00D40D66">
            <w:pPr>
              <w:spacing w:before="0"/>
              <w:jc w:val="left"/>
              <w:rPr>
                <w:color w:val="000000"/>
                <w:sz w:val="16"/>
                <w:szCs w:val="16"/>
                <w:lang w:eastAsia="en-GB"/>
              </w:rPr>
            </w:pPr>
            <w:r w:rsidRPr="00D40D66">
              <w:rPr>
                <w:rFonts w:hint="cs"/>
                <w:color w:val="000000"/>
                <w:sz w:val="16"/>
                <w:szCs w:val="16"/>
                <w:rtl/>
                <w:lang w:eastAsia="en-GB"/>
              </w:rPr>
              <w:lastRenderedPageBreak/>
              <w:t>الإمارات العربية المتحدة</w:t>
            </w:r>
          </w:p>
        </w:tc>
        <w:tc>
          <w:tcPr>
            <w:tcW w:w="3678" w:type="dxa"/>
            <w:tcBorders>
              <w:top w:val="nil"/>
              <w:left w:val="nil"/>
              <w:bottom w:val="single" w:sz="4" w:space="0" w:color="auto"/>
              <w:right w:val="single" w:sz="4" w:space="0" w:color="auto"/>
            </w:tcBorders>
            <w:shd w:val="clear" w:color="000000" w:fill="FFFFFF"/>
            <w:hideMark/>
          </w:tcPr>
          <w:p w14:paraId="56305CE0" w14:textId="77777777" w:rsidR="0003234F" w:rsidRPr="00D40D66" w:rsidRDefault="0003234F" w:rsidP="00CC68EE">
            <w:pPr>
              <w:bidi w:val="0"/>
              <w:spacing w:before="0"/>
              <w:jc w:val="left"/>
              <w:rPr>
                <w:color w:val="000000"/>
                <w:sz w:val="16"/>
                <w:szCs w:val="16"/>
                <w:lang w:eastAsia="en-GB"/>
              </w:rPr>
            </w:pPr>
            <w:r w:rsidRPr="00D40D66">
              <w:rPr>
                <w:color w:val="000000"/>
                <w:sz w:val="16"/>
                <w:szCs w:val="16"/>
                <w:lang w:eastAsia="en-GB"/>
              </w:rPr>
              <w:t>Telecommunications and Digital Government Regulatory Authority (TDRA)</w:t>
            </w:r>
          </w:p>
        </w:tc>
        <w:tc>
          <w:tcPr>
            <w:tcW w:w="1125" w:type="dxa"/>
            <w:tcBorders>
              <w:top w:val="nil"/>
              <w:left w:val="nil"/>
              <w:bottom w:val="single" w:sz="4" w:space="0" w:color="auto"/>
              <w:right w:val="single" w:sz="4" w:space="0" w:color="auto"/>
            </w:tcBorders>
            <w:shd w:val="clear" w:color="000000" w:fill="FFFFFF"/>
            <w:noWrap/>
            <w:hideMark/>
          </w:tcPr>
          <w:p w14:paraId="1867DC89" w14:textId="77777777" w:rsidR="0003234F" w:rsidRPr="00D40D66" w:rsidRDefault="0003234F" w:rsidP="00864F9A">
            <w:pPr>
              <w:spacing w:before="0"/>
              <w:jc w:val="center"/>
              <w:rPr>
                <w:color w:val="000000"/>
                <w:sz w:val="16"/>
                <w:szCs w:val="16"/>
                <w:lang w:eastAsia="en-GB"/>
              </w:rPr>
            </w:pPr>
            <w:r w:rsidRPr="00D40D66">
              <w:rPr>
                <w:color w:val="000000"/>
                <w:sz w:val="16"/>
                <w:szCs w:val="16"/>
                <w:lang w:eastAsia="en-GB"/>
              </w:rPr>
              <w:t>2022</w:t>
            </w:r>
          </w:p>
        </w:tc>
        <w:tc>
          <w:tcPr>
            <w:tcW w:w="1099" w:type="dxa"/>
            <w:tcBorders>
              <w:top w:val="nil"/>
              <w:left w:val="nil"/>
              <w:bottom w:val="single" w:sz="4" w:space="0" w:color="auto"/>
              <w:right w:val="single" w:sz="4" w:space="0" w:color="auto"/>
            </w:tcBorders>
            <w:shd w:val="clear" w:color="000000" w:fill="FFFFFF"/>
            <w:noWrap/>
            <w:hideMark/>
          </w:tcPr>
          <w:p w14:paraId="63844178" w14:textId="4D998B53" w:rsidR="0003234F" w:rsidRPr="00D40D66" w:rsidRDefault="0003234F" w:rsidP="0003234F">
            <w:pPr>
              <w:spacing w:before="0"/>
              <w:rPr>
                <w:color w:val="000000"/>
                <w:sz w:val="16"/>
                <w:szCs w:val="16"/>
                <w:lang w:eastAsia="en-GB"/>
              </w:rPr>
            </w:pPr>
            <w:r w:rsidRPr="00D40D66">
              <w:rPr>
                <w:color w:val="000000"/>
                <w:sz w:val="16"/>
                <w:szCs w:val="16"/>
                <w:lang w:eastAsia="en-GB"/>
              </w:rPr>
              <w:t>0,00</w:t>
            </w:r>
          </w:p>
        </w:tc>
        <w:tc>
          <w:tcPr>
            <w:tcW w:w="1118" w:type="dxa"/>
            <w:tcBorders>
              <w:top w:val="nil"/>
              <w:left w:val="nil"/>
              <w:bottom w:val="single" w:sz="4" w:space="0" w:color="auto"/>
              <w:right w:val="single" w:sz="4" w:space="0" w:color="auto"/>
            </w:tcBorders>
            <w:shd w:val="clear" w:color="000000" w:fill="FFFFFF"/>
            <w:noWrap/>
            <w:hideMark/>
          </w:tcPr>
          <w:p w14:paraId="63D0804B" w14:textId="049B63EA" w:rsidR="0003234F" w:rsidRPr="00D40D66" w:rsidRDefault="0003234F" w:rsidP="0003234F">
            <w:pPr>
              <w:spacing w:before="0"/>
              <w:rPr>
                <w:color w:val="000000"/>
                <w:sz w:val="16"/>
                <w:szCs w:val="16"/>
                <w:lang w:eastAsia="en-GB"/>
              </w:rPr>
            </w:pPr>
            <w:r w:rsidRPr="00D40D66">
              <w:rPr>
                <w:color w:val="000000"/>
                <w:sz w:val="16"/>
                <w:szCs w:val="16"/>
                <w:lang w:eastAsia="en-GB"/>
              </w:rPr>
              <w:t>27 124,40</w:t>
            </w:r>
          </w:p>
        </w:tc>
        <w:tc>
          <w:tcPr>
            <w:tcW w:w="1196" w:type="dxa"/>
            <w:tcBorders>
              <w:top w:val="nil"/>
              <w:left w:val="nil"/>
              <w:bottom w:val="single" w:sz="4" w:space="0" w:color="auto"/>
              <w:right w:val="single" w:sz="4" w:space="0" w:color="auto"/>
            </w:tcBorders>
            <w:shd w:val="clear" w:color="000000" w:fill="FFFFFF"/>
            <w:noWrap/>
            <w:hideMark/>
          </w:tcPr>
          <w:p w14:paraId="50D6A612" w14:textId="3C971B18" w:rsidR="0003234F" w:rsidRPr="00D40D66" w:rsidRDefault="0003234F" w:rsidP="0003234F">
            <w:pPr>
              <w:spacing w:before="0"/>
              <w:rPr>
                <w:sz w:val="16"/>
                <w:szCs w:val="16"/>
                <w:lang w:eastAsia="en-GB"/>
              </w:rPr>
            </w:pPr>
            <w:r w:rsidRPr="00D40D66">
              <w:rPr>
                <w:sz w:val="16"/>
                <w:szCs w:val="16"/>
                <w:lang w:eastAsia="en-GB"/>
              </w:rPr>
              <w:t>27 124,40</w:t>
            </w:r>
          </w:p>
        </w:tc>
      </w:tr>
      <w:tr w:rsidR="0003234F" w:rsidRPr="00D40D66" w14:paraId="1A2DC84A" w14:textId="77777777" w:rsidTr="00501A8D">
        <w:trPr>
          <w:trHeight w:val="300"/>
          <w:jc w:val="center"/>
        </w:trPr>
        <w:tc>
          <w:tcPr>
            <w:tcW w:w="6206"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A492549" w14:textId="475435AE" w:rsidR="0003234F" w:rsidRPr="00D40D66" w:rsidRDefault="0003234F" w:rsidP="00CC68EE">
            <w:pPr>
              <w:spacing w:before="0"/>
              <w:jc w:val="center"/>
              <w:rPr>
                <w:b/>
                <w:bCs/>
                <w:i/>
                <w:iCs/>
                <w:sz w:val="16"/>
                <w:szCs w:val="16"/>
                <w:lang w:eastAsia="en-GB"/>
              </w:rPr>
            </w:pPr>
            <w:r w:rsidRPr="00D40D66">
              <w:rPr>
                <w:rFonts w:hint="cs"/>
                <w:b/>
                <w:bCs/>
                <w:i/>
                <w:iCs/>
                <w:sz w:val="16"/>
                <w:szCs w:val="16"/>
                <w:rtl/>
                <w:lang w:eastAsia="en-GB"/>
              </w:rPr>
              <w:t xml:space="preserve">المجموع الفرعي </w:t>
            </w:r>
            <w:r w:rsidRPr="00D40D66">
              <w:rPr>
                <w:b/>
                <w:bCs/>
                <w:i/>
                <w:iCs/>
                <w:sz w:val="16"/>
                <w:szCs w:val="16"/>
                <w:lang w:eastAsia="en-GB"/>
              </w:rPr>
              <w:t>2.3</w:t>
            </w:r>
          </w:p>
        </w:tc>
        <w:tc>
          <w:tcPr>
            <w:tcW w:w="1099" w:type="dxa"/>
            <w:tcBorders>
              <w:top w:val="single" w:sz="8" w:space="0" w:color="auto"/>
              <w:left w:val="nil"/>
              <w:bottom w:val="single" w:sz="8" w:space="0" w:color="auto"/>
              <w:right w:val="single" w:sz="8" w:space="0" w:color="auto"/>
            </w:tcBorders>
            <w:shd w:val="clear" w:color="auto" w:fill="auto"/>
            <w:noWrap/>
            <w:vAlign w:val="center"/>
            <w:hideMark/>
          </w:tcPr>
          <w:p w14:paraId="33280796" w14:textId="0B970CD5" w:rsidR="0003234F" w:rsidRPr="00D40D66" w:rsidRDefault="0003234F" w:rsidP="00CC68EE">
            <w:pPr>
              <w:spacing w:before="0"/>
              <w:jc w:val="left"/>
              <w:rPr>
                <w:b/>
                <w:bCs/>
                <w:sz w:val="16"/>
                <w:szCs w:val="16"/>
                <w:lang w:eastAsia="en-GB"/>
              </w:rPr>
            </w:pPr>
            <w:r w:rsidRPr="00D40D66">
              <w:rPr>
                <w:b/>
                <w:bCs/>
                <w:sz w:val="16"/>
                <w:szCs w:val="16"/>
                <w:lang w:eastAsia="en-GB"/>
              </w:rPr>
              <w:t>0,00</w:t>
            </w:r>
          </w:p>
        </w:tc>
        <w:tc>
          <w:tcPr>
            <w:tcW w:w="1118" w:type="dxa"/>
            <w:tcBorders>
              <w:top w:val="single" w:sz="8" w:space="0" w:color="auto"/>
              <w:left w:val="nil"/>
              <w:bottom w:val="single" w:sz="8" w:space="0" w:color="auto"/>
              <w:right w:val="single" w:sz="8" w:space="0" w:color="auto"/>
            </w:tcBorders>
            <w:shd w:val="clear" w:color="auto" w:fill="auto"/>
            <w:noWrap/>
            <w:vAlign w:val="center"/>
            <w:hideMark/>
          </w:tcPr>
          <w:p w14:paraId="21B7C376" w14:textId="2B5CB475" w:rsidR="0003234F" w:rsidRPr="00D40D66" w:rsidRDefault="0003234F" w:rsidP="0003234F">
            <w:pPr>
              <w:spacing w:before="0"/>
              <w:rPr>
                <w:b/>
                <w:bCs/>
                <w:sz w:val="16"/>
                <w:szCs w:val="16"/>
                <w:lang w:eastAsia="en-GB"/>
              </w:rPr>
            </w:pPr>
            <w:r w:rsidRPr="00D40D66">
              <w:rPr>
                <w:b/>
                <w:bCs/>
                <w:sz w:val="16"/>
                <w:szCs w:val="16"/>
                <w:lang w:eastAsia="en-GB"/>
              </w:rPr>
              <w:t>760 744,30</w:t>
            </w:r>
          </w:p>
        </w:tc>
        <w:tc>
          <w:tcPr>
            <w:tcW w:w="1196" w:type="dxa"/>
            <w:tcBorders>
              <w:top w:val="single" w:sz="8" w:space="0" w:color="auto"/>
              <w:left w:val="nil"/>
              <w:bottom w:val="single" w:sz="8" w:space="0" w:color="auto"/>
              <w:right w:val="single" w:sz="8" w:space="0" w:color="auto"/>
            </w:tcBorders>
            <w:shd w:val="clear" w:color="auto" w:fill="auto"/>
            <w:noWrap/>
            <w:vAlign w:val="center"/>
            <w:hideMark/>
          </w:tcPr>
          <w:p w14:paraId="21D241AA" w14:textId="31B07218" w:rsidR="0003234F" w:rsidRPr="00D40D66" w:rsidRDefault="0003234F" w:rsidP="0003234F">
            <w:pPr>
              <w:spacing w:before="0"/>
              <w:rPr>
                <w:b/>
                <w:bCs/>
                <w:sz w:val="16"/>
                <w:szCs w:val="16"/>
                <w:lang w:eastAsia="en-GB"/>
              </w:rPr>
            </w:pPr>
            <w:r w:rsidRPr="00D40D66">
              <w:rPr>
                <w:b/>
                <w:bCs/>
                <w:sz w:val="16"/>
                <w:szCs w:val="16"/>
                <w:lang w:eastAsia="en-GB"/>
              </w:rPr>
              <w:t>760 744,30</w:t>
            </w:r>
          </w:p>
        </w:tc>
      </w:tr>
      <w:tr w:rsidR="0003234F" w:rsidRPr="00D40D66" w14:paraId="3B82B854" w14:textId="77777777" w:rsidTr="00501A8D">
        <w:trPr>
          <w:trHeight w:val="288"/>
          <w:jc w:val="center"/>
        </w:trPr>
        <w:tc>
          <w:tcPr>
            <w:tcW w:w="1403" w:type="dxa"/>
            <w:tcBorders>
              <w:top w:val="single" w:sz="4" w:space="0" w:color="auto"/>
              <w:left w:val="single" w:sz="4" w:space="0" w:color="auto"/>
              <w:bottom w:val="single" w:sz="4" w:space="0" w:color="auto"/>
              <w:right w:val="single" w:sz="4" w:space="0" w:color="auto"/>
            </w:tcBorders>
            <w:shd w:val="clear" w:color="000000" w:fill="FFFFFF"/>
            <w:hideMark/>
          </w:tcPr>
          <w:p w14:paraId="696974D4" w14:textId="0A4695F1" w:rsidR="0003234F" w:rsidRPr="00D40D66" w:rsidRDefault="004B421D" w:rsidP="00864F9A">
            <w:pPr>
              <w:spacing w:before="0"/>
              <w:rPr>
                <w:sz w:val="16"/>
                <w:szCs w:val="16"/>
                <w:lang w:eastAsia="en-GB"/>
              </w:rPr>
            </w:pPr>
            <w:r w:rsidRPr="00D40D66">
              <w:rPr>
                <w:rFonts w:hint="cs"/>
                <w:sz w:val="16"/>
                <w:szCs w:val="16"/>
                <w:rtl/>
                <w:lang w:eastAsia="en-GB"/>
              </w:rPr>
              <w:t>الجزائر</w:t>
            </w:r>
          </w:p>
        </w:tc>
        <w:tc>
          <w:tcPr>
            <w:tcW w:w="3678" w:type="dxa"/>
            <w:tcBorders>
              <w:top w:val="single" w:sz="4" w:space="0" w:color="auto"/>
              <w:left w:val="nil"/>
              <w:bottom w:val="single" w:sz="4" w:space="0" w:color="auto"/>
              <w:right w:val="single" w:sz="4" w:space="0" w:color="auto"/>
            </w:tcBorders>
            <w:shd w:val="clear" w:color="000000" w:fill="FFFFFF"/>
            <w:hideMark/>
          </w:tcPr>
          <w:p w14:paraId="0DB3E0D4" w14:textId="77777777" w:rsidR="0003234F" w:rsidRPr="00D40D66" w:rsidRDefault="0003234F" w:rsidP="00CC68EE">
            <w:pPr>
              <w:bidi w:val="0"/>
              <w:spacing w:before="0"/>
              <w:jc w:val="left"/>
              <w:rPr>
                <w:sz w:val="16"/>
                <w:szCs w:val="16"/>
                <w:lang w:eastAsia="en-GB"/>
              </w:rPr>
            </w:pPr>
            <w:r w:rsidRPr="00D40D66">
              <w:rPr>
                <w:sz w:val="16"/>
                <w:szCs w:val="16"/>
                <w:lang w:eastAsia="en-GB"/>
              </w:rPr>
              <w:t>INPTIC, Alger</w:t>
            </w:r>
          </w:p>
        </w:tc>
        <w:tc>
          <w:tcPr>
            <w:tcW w:w="1125" w:type="dxa"/>
            <w:tcBorders>
              <w:top w:val="single" w:sz="4" w:space="0" w:color="auto"/>
              <w:left w:val="nil"/>
              <w:bottom w:val="single" w:sz="4" w:space="0" w:color="auto"/>
              <w:right w:val="single" w:sz="4" w:space="0" w:color="auto"/>
            </w:tcBorders>
            <w:shd w:val="clear" w:color="000000" w:fill="FFFFFF"/>
            <w:hideMark/>
          </w:tcPr>
          <w:p w14:paraId="48C4E980" w14:textId="33E857C1" w:rsidR="0003234F" w:rsidRPr="00D40D66" w:rsidRDefault="0003234F" w:rsidP="00864F9A">
            <w:pPr>
              <w:spacing w:before="0"/>
              <w:jc w:val="center"/>
              <w:rPr>
                <w:sz w:val="16"/>
                <w:szCs w:val="16"/>
                <w:lang w:eastAsia="en-GB"/>
              </w:rPr>
            </w:pPr>
            <w:r w:rsidRPr="00D40D66">
              <w:rPr>
                <w:rFonts w:hint="cs"/>
                <w:sz w:val="16"/>
                <w:szCs w:val="16"/>
                <w:rtl/>
                <w:lang w:eastAsia="en-GB"/>
              </w:rPr>
              <w:t>2012-2013</w:t>
            </w:r>
          </w:p>
        </w:tc>
        <w:tc>
          <w:tcPr>
            <w:tcW w:w="1099" w:type="dxa"/>
            <w:tcBorders>
              <w:top w:val="single" w:sz="4" w:space="0" w:color="auto"/>
              <w:left w:val="nil"/>
              <w:bottom w:val="single" w:sz="4" w:space="0" w:color="auto"/>
              <w:right w:val="single" w:sz="4" w:space="0" w:color="auto"/>
            </w:tcBorders>
            <w:shd w:val="clear" w:color="000000" w:fill="FFFFFF"/>
            <w:hideMark/>
          </w:tcPr>
          <w:p w14:paraId="453EAE17" w14:textId="3553DBCA" w:rsidR="0003234F" w:rsidRPr="00D40D66" w:rsidRDefault="0003234F" w:rsidP="0003234F">
            <w:pPr>
              <w:spacing w:before="0"/>
              <w:rPr>
                <w:sz w:val="16"/>
                <w:szCs w:val="16"/>
                <w:lang w:eastAsia="en-GB"/>
              </w:rPr>
            </w:pPr>
            <w:r w:rsidRPr="00D40D66">
              <w:rPr>
                <w:sz w:val="16"/>
                <w:szCs w:val="16"/>
                <w:lang w:eastAsia="en-GB"/>
              </w:rPr>
              <w:t>2 318,40</w:t>
            </w:r>
          </w:p>
        </w:tc>
        <w:tc>
          <w:tcPr>
            <w:tcW w:w="1118" w:type="dxa"/>
            <w:tcBorders>
              <w:top w:val="single" w:sz="4" w:space="0" w:color="auto"/>
              <w:left w:val="nil"/>
              <w:bottom w:val="single" w:sz="4" w:space="0" w:color="auto"/>
              <w:right w:val="single" w:sz="4" w:space="0" w:color="auto"/>
            </w:tcBorders>
            <w:shd w:val="clear" w:color="000000" w:fill="FFFFFF"/>
            <w:hideMark/>
          </w:tcPr>
          <w:p w14:paraId="10A972FD" w14:textId="21860DE9" w:rsidR="0003234F" w:rsidRPr="00D40D66" w:rsidRDefault="0003234F" w:rsidP="0003234F">
            <w:pPr>
              <w:spacing w:before="0"/>
              <w:rPr>
                <w:sz w:val="16"/>
                <w:szCs w:val="16"/>
                <w:lang w:eastAsia="en-GB"/>
              </w:rPr>
            </w:pPr>
            <w:r w:rsidRPr="00D40D66">
              <w:rPr>
                <w:sz w:val="16"/>
                <w:szCs w:val="16"/>
                <w:lang w:eastAsia="en-GB"/>
              </w:rPr>
              <w:t>1 795,65</w:t>
            </w:r>
          </w:p>
        </w:tc>
        <w:tc>
          <w:tcPr>
            <w:tcW w:w="1196" w:type="dxa"/>
            <w:tcBorders>
              <w:top w:val="single" w:sz="4" w:space="0" w:color="auto"/>
              <w:left w:val="nil"/>
              <w:bottom w:val="single" w:sz="4" w:space="0" w:color="auto"/>
              <w:right w:val="single" w:sz="4" w:space="0" w:color="auto"/>
            </w:tcBorders>
            <w:shd w:val="clear" w:color="000000" w:fill="FFFFFF"/>
            <w:hideMark/>
          </w:tcPr>
          <w:p w14:paraId="4FAD0417" w14:textId="725C71BF" w:rsidR="0003234F" w:rsidRPr="00D40D66" w:rsidRDefault="0003234F" w:rsidP="0003234F">
            <w:pPr>
              <w:spacing w:before="0"/>
              <w:rPr>
                <w:sz w:val="16"/>
                <w:szCs w:val="16"/>
                <w:lang w:eastAsia="en-GB"/>
              </w:rPr>
            </w:pPr>
            <w:r w:rsidRPr="00D40D66">
              <w:rPr>
                <w:sz w:val="16"/>
                <w:szCs w:val="16"/>
                <w:lang w:eastAsia="en-GB"/>
              </w:rPr>
              <w:t>4 114,05</w:t>
            </w:r>
          </w:p>
        </w:tc>
      </w:tr>
      <w:tr w:rsidR="0003234F" w:rsidRPr="00D40D66" w14:paraId="668B7294" w14:textId="77777777" w:rsidTr="00501A8D">
        <w:trPr>
          <w:trHeight w:val="408"/>
          <w:jc w:val="center"/>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20E63D6B" w14:textId="361C9025" w:rsidR="0003234F" w:rsidRPr="00D40D66" w:rsidRDefault="004B421D" w:rsidP="00864F9A">
            <w:pPr>
              <w:spacing w:before="0"/>
              <w:rPr>
                <w:color w:val="000000"/>
                <w:sz w:val="16"/>
                <w:szCs w:val="16"/>
                <w:lang w:eastAsia="en-GB"/>
              </w:rPr>
            </w:pPr>
            <w:r w:rsidRPr="00D40D66">
              <w:rPr>
                <w:rFonts w:hint="cs"/>
                <w:color w:val="000000"/>
                <w:sz w:val="16"/>
                <w:szCs w:val="16"/>
                <w:rtl/>
                <w:lang w:val="fr-CH" w:eastAsia="en-GB"/>
              </w:rPr>
              <w:t>كوت ديفوار</w:t>
            </w:r>
          </w:p>
        </w:tc>
        <w:tc>
          <w:tcPr>
            <w:tcW w:w="3678" w:type="dxa"/>
            <w:tcBorders>
              <w:top w:val="nil"/>
              <w:left w:val="nil"/>
              <w:bottom w:val="single" w:sz="4" w:space="0" w:color="auto"/>
              <w:right w:val="single" w:sz="4" w:space="0" w:color="auto"/>
            </w:tcBorders>
            <w:shd w:val="clear" w:color="000000" w:fill="FFFFFF"/>
            <w:hideMark/>
          </w:tcPr>
          <w:p w14:paraId="3BCEEF9D" w14:textId="77777777" w:rsidR="0003234F" w:rsidRPr="00D40D66" w:rsidRDefault="0003234F" w:rsidP="00CC68EE">
            <w:pPr>
              <w:bidi w:val="0"/>
              <w:spacing w:before="0"/>
              <w:jc w:val="left"/>
              <w:rPr>
                <w:sz w:val="16"/>
                <w:szCs w:val="16"/>
                <w:lang w:val="fr-CH" w:eastAsia="en-GB"/>
              </w:rPr>
            </w:pPr>
            <w:r w:rsidRPr="00D40D66">
              <w:rPr>
                <w:sz w:val="16"/>
                <w:szCs w:val="16"/>
                <w:lang w:val="fr-CH" w:eastAsia="en-GB"/>
              </w:rPr>
              <w:t>Association des Consommateurs de Télécommunications de Côte d'Ivoire - ACOTELCI, Abidjan</w:t>
            </w:r>
          </w:p>
        </w:tc>
        <w:tc>
          <w:tcPr>
            <w:tcW w:w="1125" w:type="dxa"/>
            <w:tcBorders>
              <w:top w:val="nil"/>
              <w:left w:val="nil"/>
              <w:bottom w:val="single" w:sz="4" w:space="0" w:color="auto"/>
              <w:right w:val="single" w:sz="4" w:space="0" w:color="auto"/>
            </w:tcBorders>
            <w:shd w:val="clear" w:color="000000" w:fill="FFFFFF"/>
            <w:hideMark/>
          </w:tcPr>
          <w:p w14:paraId="0CCB274A" w14:textId="55E35CF1" w:rsidR="0003234F" w:rsidRPr="00D40D66" w:rsidRDefault="0003234F" w:rsidP="00864F9A">
            <w:pPr>
              <w:spacing w:before="0"/>
              <w:jc w:val="center"/>
              <w:rPr>
                <w:sz w:val="16"/>
                <w:szCs w:val="16"/>
                <w:lang w:eastAsia="en-GB"/>
              </w:rPr>
            </w:pPr>
            <w:r w:rsidRPr="00D40D66">
              <w:rPr>
                <w:rFonts w:hint="cs"/>
                <w:sz w:val="16"/>
                <w:szCs w:val="16"/>
                <w:rtl/>
                <w:lang w:eastAsia="en-GB"/>
              </w:rPr>
              <w:t>2007-2008</w:t>
            </w:r>
          </w:p>
        </w:tc>
        <w:tc>
          <w:tcPr>
            <w:tcW w:w="1099" w:type="dxa"/>
            <w:tcBorders>
              <w:top w:val="nil"/>
              <w:left w:val="nil"/>
              <w:bottom w:val="single" w:sz="4" w:space="0" w:color="auto"/>
              <w:right w:val="single" w:sz="4" w:space="0" w:color="auto"/>
            </w:tcBorders>
            <w:shd w:val="clear" w:color="000000" w:fill="FFFFFF"/>
            <w:hideMark/>
          </w:tcPr>
          <w:p w14:paraId="68AEFFC5" w14:textId="0984190D" w:rsidR="0003234F" w:rsidRPr="00D40D66" w:rsidRDefault="0003234F" w:rsidP="0003234F">
            <w:pPr>
              <w:spacing w:before="0"/>
              <w:rPr>
                <w:sz w:val="16"/>
                <w:szCs w:val="16"/>
                <w:lang w:eastAsia="en-GB"/>
              </w:rPr>
            </w:pPr>
            <w:r w:rsidRPr="00D40D66">
              <w:rPr>
                <w:sz w:val="16"/>
                <w:szCs w:val="16"/>
                <w:lang w:eastAsia="en-GB"/>
              </w:rPr>
              <w:t>4 306,25</w:t>
            </w:r>
          </w:p>
        </w:tc>
        <w:tc>
          <w:tcPr>
            <w:tcW w:w="1118" w:type="dxa"/>
            <w:tcBorders>
              <w:top w:val="nil"/>
              <w:left w:val="nil"/>
              <w:bottom w:val="single" w:sz="4" w:space="0" w:color="auto"/>
              <w:right w:val="single" w:sz="4" w:space="0" w:color="auto"/>
            </w:tcBorders>
            <w:shd w:val="clear" w:color="000000" w:fill="FFFFFF"/>
            <w:hideMark/>
          </w:tcPr>
          <w:p w14:paraId="1C972A1F" w14:textId="0A408B36" w:rsidR="0003234F" w:rsidRPr="00D40D66" w:rsidRDefault="0003234F" w:rsidP="0003234F">
            <w:pPr>
              <w:spacing w:before="0"/>
              <w:rPr>
                <w:sz w:val="16"/>
                <w:szCs w:val="16"/>
                <w:lang w:eastAsia="en-GB"/>
              </w:rPr>
            </w:pPr>
            <w:r w:rsidRPr="00D40D66">
              <w:rPr>
                <w:sz w:val="16"/>
                <w:szCs w:val="16"/>
                <w:lang w:eastAsia="en-GB"/>
              </w:rPr>
              <w:t>6 057,80</w:t>
            </w:r>
          </w:p>
        </w:tc>
        <w:tc>
          <w:tcPr>
            <w:tcW w:w="1196" w:type="dxa"/>
            <w:tcBorders>
              <w:top w:val="nil"/>
              <w:left w:val="nil"/>
              <w:bottom w:val="single" w:sz="4" w:space="0" w:color="auto"/>
              <w:right w:val="single" w:sz="4" w:space="0" w:color="auto"/>
            </w:tcBorders>
            <w:shd w:val="clear" w:color="000000" w:fill="FFFFFF"/>
            <w:hideMark/>
          </w:tcPr>
          <w:p w14:paraId="6E379CE8" w14:textId="7F0EF7E9" w:rsidR="0003234F" w:rsidRPr="00D40D66" w:rsidRDefault="0003234F" w:rsidP="0003234F">
            <w:pPr>
              <w:spacing w:before="0"/>
              <w:rPr>
                <w:sz w:val="16"/>
                <w:szCs w:val="16"/>
                <w:lang w:eastAsia="en-GB"/>
              </w:rPr>
            </w:pPr>
            <w:r w:rsidRPr="00D40D66">
              <w:rPr>
                <w:sz w:val="16"/>
                <w:szCs w:val="16"/>
                <w:lang w:eastAsia="en-GB"/>
              </w:rPr>
              <w:t>10 364,05</w:t>
            </w:r>
          </w:p>
        </w:tc>
      </w:tr>
      <w:tr w:rsidR="0003234F" w:rsidRPr="00D40D66" w14:paraId="15E25595" w14:textId="77777777" w:rsidTr="00501A8D">
        <w:trPr>
          <w:trHeight w:val="315"/>
          <w:jc w:val="center"/>
        </w:trPr>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0EB7932D" w14:textId="6F7D9710" w:rsidR="0003234F" w:rsidRPr="00D40D66" w:rsidRDefault="004B421D" w:rsidP="00864F9A">
            <w:pPr>
              <w:spacing w:before="0"/>
              <w:rPr>
                <w:color w:val="000000"/>
                <w:sz w:val="16"/>
                <w:szCs w:val="16"/>
                <w:lang w:eastAsia="en-GB"/>
              </w:rPr>
            </w:pPr>
            <w:r w:rsidRPr="00D40D66">
              <w:rPr>
                <w:rFonts w:hint="cs"/>
                <w:color w:val="000000"/>
                <w:sz w:val="16"/>
                <w:szCs w:val="16"/>
                <w:rtl/>
                <w:lang w:val="fr-CH" w:eastAsia="en-GB"/>
              </w:rPr>
              <w:t>كوت ديفوار</w:t>
            </w:r>
          </w:p>
        </w:tc>
        <w:tc>
          <w:tcPr>
            <w:tcW w:w="3678" w:type="dxa"/>
            <w:tcBorders>
              <w:top w:val="nil"/>
              <w:left w:val="nil"/>
              <w:bottom w:val="nil"/>
              <w:right w:val="nil"/>
            </w:tcBorders>
            <w:shd w:val="clear" w:color="000000" w:fill="FFFFFF"/>
            <w:noWrap/>
            <w:hideMark/>
          </w:tcPr>
          <w:p w14:paraId="3395DF0B" w14:textId="77777777" w:rsidR="0003234F" w:rsidRPr="00D40D66" w:rsidRDefault="0003234F" w:rsidP="00CC68EE">
            <w:pPr>
              <w:bidi w:val="0"/>
              <w:spacing w:before="0"/>
              <w:jc w:val="left"/>
              <w:rPr>
                <w:sz w:val="16"/>
                <w:szCs w:val="16"/>
                <w:lang w:eastAsia="en-GB"/>
              </w:rPr>
            </w:pPr>
            <w:r w:rsidRPr="00D40D66">
              <w:rPr>
                <w:sz w:val="16"/>
                <w:szCs w:val="16"/>
                <w:lang w:eastAsia="en-GB"/>
              </w:rPr>
              <w:t>Côte d'Ivoire Telecom, Abidjan</w:t>
            </w:r>
          </w:p>
        </w:tc>
        <w:tc>
          <w:tcPr>
            <w:tcW w:w="1125" w:type="dxa"/>
            <w:tcBorders>
              <w:top w:val="nil"/>
              <w:left w:val="single" w:sz="4" w:space="0" w:color="auto"/>
              <w:bottom w:val="single" w:sz="4" w:space="0" w:color="auto"/>
              <w:right w:val="single" w:sz="4" w:space="0" w:color="auto"/>
            </w:tcBorders>
            <w:shd w:val="clear" w:color="000000" w:fill="FFFFFF"/>
            <w:hideMark/>
          </w:tcPr>
          <w:p w14:paraId="179A7D98" w14:textId="16581F19" w:rsidR="0003234F" w:rsidRPr="00D40D66" w:rsidRDefault="0003234F" w:rsidP="00864F9A">
            <w:pPr>
              <w:spacing w:before="0"/>
              <w:jc w:val="center"/>
              <w:rPr>
                <w:sz w:val="16"/>
                <w:szCs w:val="16"/>
                <w:lang w:eastAsia="en-GB"/>
              </w:rPr>
            </w:pPr>
            <w:r w:rsidRPr="00D40D66">
              <w:rPr>
                <w:rFonts w:hint="cs"/>
                <w:sz w:val="16"/>
                <w:szCs w:val="16"/>
                <w:rtl/>
                <w:lang w:eastAsia="en-GB"/>
              </w:rPr>
              <w:t>2002-2006</w:t>
            </w:r>
          </w:p>
        </w:tc>
        <w:tc>
          <w:tcPr>
            <w:tcW w:w="1099" w:type="dxa"/>
            <w:tcBorders>
              <w:top w:val="nil"/>
              <w:left w:val="nil"/>
              <w:bottom w:val="single" w:sz="4" w:space="0" w:color="auto"/>
              <w:right w:val="single" w:sz="4" w:space="0" w:color="auto"/>
            </w:tcBorders>
            <w:shd w:val="clear" w:color="000000" w:fill="FFFFFF"/>
            <w:hideMark/>
          </w:tcPr>
          <w:p w14:paraId="1CD0E678" w14:textId="42D85DF5" w:rsidR="0003234F" w:rsidRPr="00D40D66" w:rsidRDefault="0003234F" w:rsidP="0003234F">
            <w:pPr>
              <w:spacing w:before="0"/>
              <w:rPr>
                <w:sz w:val="16"/>
                <w:szCs w:val="16"/>
                <w:lang w:eastAsia="en-GB"/>
              </w:rPr>
            </w:pPr>
            <w:r w:rsidRPr="00D40D66">
              <w:rPr>
                <w:sz w:val="16"/>
                <w:szCs w:val="16"/>
                <w:lang w:eastAsia="en-GB"/>
              </w:rPr>
              <w:t>335 325,00</w:t>
            </w:r>
          </w:p>
        </w:tc>
        <w:tc>
          <w:tcPr>
            <w:tcW w:w="1118" w:type="dxa"/>
            <w:tcBorders>
              <w:top w:val="nil"/>
              <w:left w:val="nil"/>
              <w:bottom w:val="single" w:sz="4" w:space="0" w:color="auto"/>
              <w:right w:val="single" w:sz="4" w:space="0" w:color="auto"/>
            </w:tcBorders>
            <w:shd w:val="clear" w:color="000000" w:fill="FFFFFF"/>
            <w:hideMark/>
          </w:tcPr>
          <w:p w14:paraId="1526508E" w14:textId="7FFCE04E" w:rsidR="0003234F" w:rsidRPr="00D40D66" w:rsidRDefault="0003234F" w:rsidP="0003234F">
            <w:pPr>
              <w:spacing w:before="0"/>
              <w:rPr>
                <w:sz w:val="16"/>
                <w:szCs w:val="16"/>
                <w:lang w:eastAsia="en-GB"/>
              </w:rPr>
            </w:pPr>
            <w:r w:rsidRPr="00D40D66">
              <w:rPr>
                <w:sz w:val="16"/>
                <w:szCs w:val="16"/>
                <w:lang w:eastAsia="en-GB"/>
              </w:rPr>
              <w:t>648 802</w:t>
            </w:r>
            <w:r w:rsidR="004F66DB" w:rsidRPr="00D40D66">
              <w:rPr>
                <w:sz w:val="16"/>
                <w:szCs w:val="16"/>
                <w:lang w:eastAsia="en-GB"/>
              </w:rPr>
              <w:t>,</w:t>
            </w:r>
            <w:r w:rsidRPr="00D40D66">
              <w:rPr>
                <w:sz w:val="16"/>
                <w:szCs w:val="16"/>
                <w:lang w:eastAsia="en-GB"/>
              </w:rPr>
              <w:t>50</w:t>
            </w:r>
          </w:p>
        </w:tc>
        <w:tc>
          <w:tcPr>
            <w:tcW w:w="1196" w:type="dxa"/>
            <w:tcBorders>
              <w:top w:val="nil"/>
              <w:left w:val="nil"/>
              <w:bottom w:val="single" w:sz="4" w:space="0" w:color="auto"/>
              <w:right w:val="single" w:sz="4" w:space="0" w:color="auto"/>
            </w:tcBorders>
            <w:shd w:val="clear" w:color="000000" w:fill="FFFFFF"/>
            <w:hideMark/>
          </w:tcPr>
          <w:p w14:paraId="79ED0B95" w14:textId="2FDF6DFE" w:rsidR="0003234F" w:rsidRPr="00D40D66" w:rsidRDefault="0003234F" w:rsidP="0003234F">
            <w:pPr>
              <w:spacing w:before="0"/>
              <w:rPr>
                <w:sz w:val="16"/>
                <w:szCs w:val="16"/>
                <w:lang w:eastAsia="en-GB"/>
              </w:rPr>
            </w:pPr>
            <w:r w:rsidRPr="00D40D66">
              <w:rPr>
                <w:sz w:val="16"/>
                <w:szCs w:val="16"/>
                <w:lang w:eastAsia="en-GB"/>
              </w:rPr>
              <w:t>984 127,50</w:t>
            </w:r>
          </w:p>
        </w:tc>
      </w:tr>
      <w:tr w:rsidR="0003234F" w:rsidRPr="00D40D66" w14:paraId="0BA3423B" w14:textId="77777777" w:rsidTr="00501A8D">
        <w:trPr>
          <w:trHeight w:val="315"/>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26F9F1BF" w14:textId="623D0B95" w:rsidR="0003234F" w:rsidRPr="00D40D66" w:rsidRDefault="004B421D" w:rsidP="00864F9A">
            <w:pPr>
              <w:spacing w:before="0"/>
              <w:rPr>
                <w:sz w:val="16"/>
                <w:szCs w:val="16"/>
                <w:lang w:eastAsia="en-GB"/>
              </w:rPr>
            </w:pPr>
            <w:r w:rsidRPr="00D40D66">
              <w:rPr>
                <w:rFonts w:hint="cs"/>
                <w:sz w:val="16"/>
                <w:szCs w:val="16"/>
                <w:rtl/>
                <w:lang w:eastAsia="en-GB"/>
              </w:rPr>
              <w:t>فيجي</w:t>
            </w:r>
          </w:p>
        </w:tc>
        <w:tc>
          <w:tcPr>
            <w:tcW w:w="3678" w:type="dxa"/>
            <w:tcBorders>
              <w:top w:val="single" w:sz="4" w:space="0" w:color="auto"/>
              <w:left w:val="nil"/>
              <w:bottom w:val="single" w:sz="4" w:space="0" w:color="auto"/>
              <w:right w:val="single" w:sz="4" w:space="0" w:color="auto"/>
            </w:tcBorders>
            <w:shd w:val="clear" w:color="000000" w:fill="FFFFFF"/>
            <w:hideMark/>
          </w:tcPr>
          <w:p w14:paraId="5DBC0434" w14:textId="77777777" w:rsidR="0003234F" w:rsidRPr="00D40D66" w:rsidRDefault="0003234F" w:rsidP="00CC68EE">
            <w:pPr>
              <w:bidi w:val="0"/>
              <w:spacing w:before="0"/>
              <w:jc w:val="left"/>
              <w:rPr>
                <w:sz w:val="16"/>
                <w:szCs w:val="16"/>
                <w:lang w:eastAsia="en-GB"/>
              </w:rPr>
            </w:pPr>
            <w:r w:rsidRPr="00D40D66">
              <w:rPr>
                <w:sz w:val="16"/>
                <w:szCs w:val="16"/>
                <w:lang w:eastAsia="en-GB"/>
              </w:rPr>
              <w:t>South Pacific Commission, Suva</w:t>
            </w:r>
          </w:p>
        </w:tc>
        <w:tc>
          <w:tcPr>
            <w:tcW w:w="1125" w:type="dxa"/>
            <w:tcBorders>
              <w:top w:val="nil"/>
              <w:left w:val="nil"/>
              <w:bottom w:val="single" w:sz="4" w:space="0" w:color="auto"/>
              <w:right w:val="single" w:sz="4" w:space="0" w:color="auto"/>
            </w:tcBorders>
            <w:shd w:val="clear" w:color="000000" w:fill="FFFFFF"/>
            <w:hideMark/>
          </w:tcPr>
          <w:p w14:paraId="10FA143D" w14:textId="3237717E" w:rsidR="0003234F" w:rsidRPr="00D40D66" w:rsidRDefault="0003234F" w:rsidP="00864F9A">
            <w:pPr>
              <w:spacing w:before="0"/>
              <w:jc w:val="center"/>
              <w:rPr>
                <w:sz w:val="16"/>
                <w:szCs w:val="16"/>
                <w:lang w:eastAsia="en-GB"/>
              </w:rPr>
            </w:pPr>
            <w:r w:rsidRPr="00D40D66">
              <w:rPr>
                <w:rFonts w:hint="cs"/>
                <w:sz w:val="16"/>
                <w:szCs w:val="16"/>
                <w:rtl/>
                <w:lang w:eastAsia="en-GB"/>
              </w:rPr>
              <w:t>2012-2013</w:t>
            </w:r>
          </w:p>
        </w:tc>
        <w:tc>
          <w:tcPr>
            <w:tcW w:w="1099" w:type="dxa"/>
            <w:tcBorders>
              <w:top w:val="nil"/>
              <w:left w:val="nil"/>
              <w:bottom w:val="single" w:sz="4" w:space="0" w:color="auto"/>
              <w:right w:val="single" w:sz="4" w:space="0" w:color="auto"/>
            </w:tcBorders>
            <w:shd w:val="clear" w:color="000000" w:fill="FFFFFF"/>
            <w:hideMark/>
          </w:tcPr>
          <w:p w14:paraId="64E7175D" w14:textId="72F046F3" w:rsidR="0003234F" w:rsidRPr="00D40D66" w:rsidRDefault="0003234F" w:rsidP="0003234F">
            <w:pPr>
              <w:spacing w:before="0"/>
              <w:rPr>
                <w:sz w:val="16"/>
                <w:szCs w:val="16"/>
                <w:lang w:eastAsia="en-GB"/>
              </w:rPr>
            </w:pPr>
            <w:r w:rsidRPr="00D40D66">
              <w:rPr>
                <w:sz w:val="16"/>
                <w:szCs w:val="16"/>
                <w:lang w:eastAsia="en-GB"/>
              </w:rPr>
              <w:t>3 975,00</w:t>
            </w:r>
          </w:p>
        </w:tc>
        <w:tc>
          <w:tcPr>
            <w:tcW w:w="1118" w:type="dxa"/>
            <w:tcBorders>
              <w:top w:val="nil"/>
              <w:left w:val="nil"/>
              <w:bottom w:val="single" w:sz="4" w:space="0" w:color="auto"/>
              <w:right w:val="single" w:sz="4" w:space="0" w:color="auto"/>
            </w:tcBorders>
            <w:shd w:val="clear" w:color="000000" w:fill="FFFFFF"/>
            <w:hideMark/>
          </w:tcPr>
          <w:p w14:paraId="10783543" w14:textId="6D9DDF03" w:rsidR="0003234F" w:rsidRPr="00D40D66" w:rsidRDefault="0003234F" w:rsidP="0003234F">
            <w:pPr>
              <w:spacing w:before="0"/>
              <w:rPr>
                <w:sz w:val="16"/>
                <w:szCs w:val="16"/>
                <w:lang w:eastAsia="en-GB"/>
              </w:rPr>
            </w:pPr>
            <w:r w:rsidRPr="00D40D66">
              <w:rPr>
                <w:sz w:val="16"/>
                <w:szCs w:val="16"/>
                <w:lang w:eastAsia="en-GB"/>
              </w:rPr>
              <w:t>3 025</w:t>
            </w:r>
            <w:r w:rsidR="004F66DB" w:rsidRPr="00D40D66">
              <w:rPr>
                <w:sz w:val="16"/>
                <w:szCs w:val="16"/>
                <w:lang w:eastAsia="en-GB"/>
              </w:rPr>
              <w:t>,</w:t>
            </w:r>
            <w:r w:rsidRPr="00D40D66">
              <w:rPr>
                <w:sz w:val="16"/>
                <w:szCs w:val="16"/>
                <w:lang w:eastAsia="en-GB"/>
              </w:rPr>
              <w:t>00</w:t>
            </w:r>
          </w:p>
        </w:tc>
        <w:tc>
          <w:tcPr>
            <w:tcW w:w="1196" w:type="dxa"/>
            <w:tcBorders>
              <w:top w:val="nil"/>
              <w:left w:val="nil"/>
              <w:bottom w:val="single" w:sz="4" w:space="0" w:color="auto"/>
              <w:right w:val="single" w:sz="4" w:space="0" w:color="auto"/>
            </w:tcBorders>
            <w:shd w:val="clear" w:color="000000" w:fill="FFFFFF"/>
            <w:hideMark/>
          </w:tcPr>
          <w:p w14:paraId="6EA00315" w14:textId="65FE5A8E" w:rsidR="0003234F" w:rsidRPr="00D40D66" w:rsidRDefault="0003234F" w:rsidP="0003234F">
            <w:pPr>
              <w:spacing w:before="0"/>
              <w:rPr>
                <w:sz w:val="16"/>
                <w:szCs w:val="16"/>
                <w:lang w:eastAsia="en-GB"/>
              </w:rPr>
            </w:pPr>
            <w:r w:rsidRPr="00D40D66">
              <w:rPr>
                <w:sz w:val="16"/>
                <w:szCs w:val="16"/>
                <w:lang w:eastAsia="en-GB"/>
              </w:rPr>
              <w:t>7 000,00</w:t>
            </w:r>
          </w:p>
        </w:tc>
      </w:tr>
      <w:tr w:rsidR="0003234F" w:rsidRPr="00D40D66" w14:paraId="4D17487F" w14:textId="77777777" w:rsidTr="00501A8D">
        <w:trPr>
          <w:trHeight w:val="444"/>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11307FD1" w14:textId="2554F580" w:rsidR="0003234F" w:rsidRPr="00D40D66" w:rsidRDefault="004B421D" w:rsidP="00864F9A">
            <w:pPr>
              <w:spacing w:before="0"/>
              <w:rPr>
                <w:sz w:val="16"/>
                <w:szCs w:val="16"/>
                <w:lang w:eastAsia="en-GB"/>
              </w:rPr>
            </w:pPr>
            <w:r w:rsidRPr="00D40D66">
              <w:rPr>
                <w:rFonts w:hint="cs"/>
                <w:sz w:val="16"/>
                <w:szCs w:val="16"/>
                <w:rtl/>
                <w:lang w:eastAsia="en-GB"/>
              </w:rPr>
              <w:t>فنل</w:t>
            </w:r>
            <w:r w:rsidR="008F3B46" w:rsidRPr="00D40D66">
              <w:rPr>
                <w:rFonts w:hint="cs"/>
                <w:sz w:val="16"/>
                <w:szCs w:val="16"/>
                <w:rtl/>
                <w:lang w:eastAsia="en-GB"/>
              </w:rPr>
              <w:t>ن</w:t>
            </w:r>
            <w:r w:rsidRPr="00D40D66">
              <w:rPr>
                <w:rFonts w:hint="cs"/>
                <w:sz w:val="16"/>
                <w:szCs w:val="16"/>
                <w:rtl/>
                <w:lang w:eastAsia="en-GB"/>
              </w:rPr>
              <w:t>دا</w:t>
            </w:r>
          </w:p>
        </w:tc>
        <w:tc>
          <w:tcPr>
            <w:tcW w:w="3678" w:type="dxa"/>
            <w:tcBorders>
              <w:top w:val="nil"/>
              <w:left w:val="nil"/>
              <w:bottom w:val="single" w:sz="4" w:space="0" w:color="auto"/>
              <w:right w:val="single" w:sz="4" w:space="0" w:color="auto"/>
            </w:tcBorders>
            <w:shd w:val="clear" w:color="000000" w:fill="FFFFFF"/>
            <w:hideMark/>
          </w:tcPr>
          <w:p w14:paraId="0CA4391D" w14:textId="77777777" w:rsidR="0003234F" w:rsidRPr="00D40D66" w:rsidRDefault="0003234F" w:rsidP="00CC68EE">
            <w:pPr>
              <w:bidi w:val="0"/>
              <w:spacing w:before="0"/>
              <w:jc w:val="left"/>
              <w:rPr>
                <w:sz w:val="16"/>
                <w:szCs w:val="16"/>
                <w:lang w:eastAsia="en-GB"/>
              </w:rPr>
            </w:pPr>
            <w:r w:rsidRPr="00D40D66">
              <w:rPr>
                <w:sz w:val="16"/>
                <w:szCs w:val="16"/>
                <w:lang w:eastAsia="en-GB"/>
              </w:rPr>
              <w:t xml:space="preserve">Octagon Telecom Oy (former Oy </w:t>
            </w:r>
            <w:proofErr w:type="spellStart"/>
            <w:r w:rsidRPr="00D40D66">
              <w:rPr>
                <w:sz w:val="16"/>
                <w:szCs w:val="16"/>
                <w:lang w:eastAsia="en-GB"/>
              </w:rPr>
              <w:t>Cubio</w:t>
            </w:r>
            <w:proofErr w:type="spellEnd"/>
            <w:r w:rsidRPr="00D40D66">
              <w:rPr>
                <w:sz w:val="16"/>
                <w:szCs w:val="16"/>
                <w:lang w:eastAsia="en-GB"/>
              </w:rPr>
              <w:t xml:space="preserve"> Communications Ltd.), Helsinki</w:t>
            </w:r>
          </w:p>
        </w:tc>
        <w:tc>
          <w:tcPr>
            <w:tcW w:w="1125" w:type="dxa"/>
            <w:tcBorders>
              <w:top w:val="nil"/>
              <w:left w:val="nil"/>
              <w:bottom w:val="single" w:sz="4" w:space="0" w:color="auto"/>
              <w:right w:val="single" w:sz="4" w:space="0" w:color="auto"/>
            </w:tcBorders>
            <w:shd w:val="clear" w:color="000000" w:fill="FFFFFF"/>
            <w:hideMark/>
          </w:tcPr>
          <w:p w14:paraId="132FCC41" w14:textId="0D698D06" w:rsidR="0003234F" w:rsidRPr="00D40D66" w:rsidRDefault="0003234F" w:rsidP="00864F9A">
            <w:pPr>
              <w:spacing w:before="0"/>
              <w:jc w:val="center"/>
              <w:rPr>
                <w:sz w:val="16"/>
                <w:szCs w:val="16"/>
                <w:lang w:eastAsia="en-GB"/>
              </w:rPr>
            </w:pPr>
            <w:r w:rsidRPr="00D40D66">
              <w:rPr>
                <w:rFonts w:hint="cs"/>
                <w:sz w:val="16"/>
                <w:szCs w:val="16"/>
                <w:rtl/>
                <w:lang w:eastAsia="en-GB"/>
              </w:rPr>
              <w:t>2012-2013</w:t>
            </w:r>
          </w:p>
        </w:tc>
        <w:tc>
          <w:tcPr>
            <w:tcW w:w="1099" w:type="dxa"/>
            <w:tcBorders>
              <w:top w:val="nil"/>
              <w:left w:val="nil"/>
              <w:bottom w:val="single" w:sz="4" w:space="0" w:color="auto"/>
              <w:right w:val="single" w:sz="4" w:space="0" w:color="auto"/>
            </w:tcBorders>
            <w:shd w:val="clear" w:color="000000" w:fill="FFFFFF"/>
            <w:hideMark/>
          </w:tcPr>
          <w:p w14:paraId="2BBB8E5D" w14:textId="2B386598" w:rsidR="0003234F" w:rsidRPr="00D40D66" w:rsidRDefault="0003234F" w:rsidP="0003234F">
            <w:pPr>
              <w:spacing w:before="0"/>
              <w:rPr>
                <w:sz w:val="16"/>
                <w:szCs w:val="16"/>
                <w:lang w:eastAsia="en-GB"/>
              </w:rPr>
            </w:pPr>
            <w:r w:rsidRPr="00D40D66">
              <w:rPr>
                <w:sz w:val="16"/>
                <w:szCs w:val="16"/>
                <w:lang w:eastAsia="en-GB"/>
              </w:rPr>
              <w:t>13 066,67</w:t>
            </w:r>
          </w:p>
        </w:tc>
        <w:tc>
          <w:tcPr>
            <w:tcW w:w="1118" w:type="dxa"/>
            <w:tcBorders>
              <w:top w:val="nil"/>
              <w:left w:val="nil"/>
              <w:bottom w:val="single" w:sz="4" w:space="0" w:color="auto"/>
              <w:right w:val="single" w:sz="4" w:space="0" w:color="auto"/>
            </w:tcBorders>
            <w:shd w:val="clear" w:color="000000" w:fill="FFFFFF"/>
            <w:hideMark/>
          </w:tcPr>
          <w:p w14:paraId="55515AD4" w14:textId="697F3CC9" w:rsidR="0003234F" w:rsidRPr="00D40D66" w:rsidRDefault="0003234F" w:rsidP="0003234F">
            <w:pPr>
              <w:spacing w:before="0"/>
              <w:rPr>
                <w:sz w:val="16"/>
                <w:szCs w:val="16"/>
                <w:lang w:eastAsia="en-GB"/>
              </w:rPr>
            </w:pPr>
            <w:r w:rsidRPr="00D40D66">
              <w:rPr>
                <w:sz w:val="16"/>
                <w:szCs w:val="16"/>
                <w:lang w:eastAsia="en-GB"/>
              </w:rPr>
              <w:t>1 156</w:t>
            </w:r>
            <w:r w:rsidR="004F66DB" w:rsidRPr="00D40D66">
              <w:rPr>
                <w:sz w:val="16"/>
                <w:szCs w:val="16"/>
                <w:lang w:eastAsia="en-GB"/>
              </w:rPr>
              <w:t>,</w:t>
            </w:r>
            <w:r w:rsidRPr="00D40D66">
              <w:rPr>
                <w:sz w:val="16"/>
                <w:szCs w:val="16"/>
                <w:lang w:eastAsia="en-GB"/>
              </w:rPr>
              <w:t>75</w:t>
            </w:r>
          </w:p>
        </w:tc>
        <w:tc>
          <w:tcPr>
            <w:tcW w:w="1196" w:type="dxa"/>
            <w:tcBorders>
              <w:top w:val="nil"/>
              <w:left w:val="nil"/>
              <w:bottom w:val="single" w:sz="4" w:space="0" w:color="auto"/>
              <w:right w:val="single" w:sz="4" w:space="0" w:color="auto"/>
            </w:tcBorders>
            <w:shd w:val="clear" w:color="000000" w:fill="FFFFFF"/>
            <w:hideMark/>
          </w:tcPr>
          <w:p w14:paraId="2D165713" w14:textId="0ACF0B6E" w:rsidR="0003234F" w:rsidRPr="00D40D66" w:rsidRDefault="0003234F" w:rsidP="0003234F">
            <w:pPr>
              <w:spacing w:before="0"/>
              <w:rPr>
                <w:sz w:val="16"/>
                <w:szCs w:val="16"/>
                <w:lang w:eastAsia="en-GB"/>
              </w:rPr>
            </w:pPr>
            <w:r w:rsidRPr="00D40D66">
              <w:rPr>
                <w:sz w:val="16"/>
                <w:szCs w:val="16"/>
                <w:lang w:eastAsia="en-GB"/>
              </w:rPr>
              <w:t>14 223,42</w:t>
            </w:r>
          </w:p>
        </w:tc>
      </w:tr>
      <w:tr w:rsidR="0003234F" w:rsidRPr="00D40D66" w14:paraId="248DE760" w14:textId="77777777" w:rsidTr="00501A8D">
        <w:trPr>
          <w:trHeight w:val="315"/>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11450CC0" w14:textId="694B2D66" w:rsidR="0003234F" w:rsidRPr="00D40D66" w:rsidRDefault="008F3B46" w:rsidP="00864F9A">
            <w:pPr>
              <w:spacing w:before="0"/>
              <w:rPr>
                <w:sz w:val="16"/>
                <w:szCs w:val="16"/>
                <w:lang w:eastAsia="en-GB"/>
              </w:rPr>
            </w:pPr>
            <w:r w:rsidRPr="00D40D66">
              <w:rPr>
                <w:rFonts w:hint="cs"/>
                <w:sz w:val="16"/>
                <w:szCs w:val="16"/>
                <w:rtl/>
                <w:lang w:eastAsia="en-GB"/>
              </w:rPr>
              <w:t>الهند</w:t>
            </w:r>
          </w:p>
        </w:tc>
        <w:tc>
          <w:tcPr>
            <w:tcW w:w="3678" w:type="dxa"/>
            <w:tcBorders>
              <w:top w:val="nil"/>
              <w:left w:val="nil"/>
              <w:bottom w:val="single" w:sz="4" w:space="0" w:color="auto"/>
              <w:right w:val="single" w:sz="4" w:space="0" w:color="auto"/>
            </w:tcBorders>
            <w:shd w:val="clear" w:color="000000" w:fill="FFFFFF"/>
            <w:hideMark/>
          </w:tcPr>
          <w:p w14:paraId="2106E8B6" w14:textId="77777777" w:rsidR="0003234F" w:rsidRPr="00D40D66" w:rsidRDefault="0003234F" w:rsidP="00CC68EE">
            <w:pPr>
              <w:bidi w:val="0"/>
              <w:spacing w:before="0"/>
              <w:jc w:val="left"/>
              <w:rPr>
                <w:sz w:val="16"/>
                <w:szCs w:val="16"/>
                <w:lang w:eastAsia="en-GB"/>
              </w:rPr>
            </w:pPr>
            <w:r w:rsidRPr="00D40D66">
              <w:rPr>
                <w:sz w:val="16"/>
                <w:szCs w:val="16"/>
                <w:lang w:eastAsia="en-GB"/>
              </w:rPr>
              <w:t>Tata Communications, New Delhi</w:t>
            </w:r>
          </w:p>
        </w:tc>
        <w:tc>
          <w:tcPr>
            <w:tcW w:w="1125" w:type="dxa"/>
            <w:tcBorders>
              <w:top w:val="nil"/>
              <w:left w:val="nil"/>
              <w:bottom w:val="single" w:sz="4" w:space="0" w:color="auto"/>
              <w:right w:val="single" w:sz="4" w:space="0" w:color="auto"/>
            </w:tcBorders>
            <w:shd w:val="clear" w:color="000000" w:fill="FFFFFF"/>
            <w:hideMark/>
          </w:tcPr>
          <w:p w14:paraId="211A421F" w14:textId="77777777" w:rsidR="0003234F" w:rsidRPr="00D40D66" w:rsidRDefault="0003234F" w:rsidP="00864F9A">
            <w:pPr>
              <w:spacing w:before="0"/>
              <w:jc w:val="center"/>
              <w:rPr>
                <w:sz w:val="16"/>
                <w:szCs w:val="16"/>
                <w:lang w:eastAsia="en-GB"/>
              </w:rPr>
            </w:pPr>
            <w:r w:rsidRPr="00D40D66">
              <w:rPr>
                <w:sz w:val="16"/>
                <w:szCs w:val="16"/>
                <w:lang w:eastAsia="en-GB"/>
              </w:rPr>
              <w:t>2013</w:t>
            </w:r>
          </w:p>
        </w:tc>
        <w:tc>
          <w:tcPr>
            <w:tcW w:w="1099" w:type="dxa"/>
            <w:tcBorders>
              <w:top w:val="nil"/>
              <w:left w:val="nil"/>
              <w:bottom w:val="single" w:sz="4" w:space="0" w:color="auto"/>
              <w:right w:val="single" w:sz="4" w:space="0" w:color="auto"/>
            </w:tcBorders>
            <w:shd w:val="clear" w:color="000000" w:fill="FFFFFF"/>
            <w:hideMark/>
          </w:tcPr>
          <w:p w14:paraId="076754FD" w14:textId="2E293656" w:rsidR="0003234F" w:rsidRPr="00D40D66" w:rsidRDefault="0003234F" w:rsidP="0003234F">
            <w:pPr>
              <w:spacing w:before="0"/>
              <w:rPr>
                <w:sz w:val="16"/>
                <w:szCs w:val="16"/>
                <w:lang w:eastAsia="en-GB"/>
              </w:rPr>
            </w:pPr>
            <w:r w:rsidRPr="00D40D66">
              <w:rPr>
                <w:sz w:val="16"/>
                <w:szCs w:val="16"/>
                <w:lang w:eastAsia="en-GB"/>
              </w:rPr>
              <w:t>3 975,00</w:t>
            </w:r>
          </w:p>
        </w:tc>
        <w:tc>
          <w:tcPr>
            <w:tcW w:w="1118" w:type="dxa"/>
            <w:tcBorders>
              <w:top w:val="nil"/>
              <w:left w:val="nil"/>
              <w:bottom w:val="single" w:sz="4" w:space="0" w:color="auto"/>
              <w:right w:val="single" w:sz="4" w:space="0" w:color="auto"/>
            </w:tcBorders>
            <w:shd w:val="clear" w:color="000000" w:fill="FFFFFF"/>
            <w:hideMark/>
          </w:tcPr>
          <w:p w14:paraId="22342A74" w14:textId="687D5C06" w:rsidR="0003234F" w:rsidRPr="00D40D66" w:rsidRDefault="0003234F" w:rsidP="0003234F">
            <w:pPr>
              <w:spacing w:before="0"/>
              <w:rPr>
                <w:sz w:val="16"/>
                <w:szCs w:val="16"/>
                <w:lang w:eastAsia="en-GB"/>
              </w:rPr>
            </w:pPr>
            <w:r w:rsidRPr="00D40D66">
              <w:rPr>
                <w:sz w:val="16"/>
                <w:szCs w:val="16"/>
                <w:lang w:eastAsia="en-GB"/>
              </w:rPr>
              <w:t>2 992</w:t>
            </w:r>
            <w:r w:rsidR="004F66DB" w:rsidRPr="00D40D66">
              <w:rPr>
                <w:sz w:val="16"/>
                <w:szCs w:val="16"/>
                <w:lang w:eastAsia="en-GB"/>
              </w:rPr>
              <w:t>,</w:t>
            </w:r>
            <w:r w:rsidRPr="00D40D66">
              <w:rPr>
                <w:sz w:val="16"/>
                <w:szCs w:val="16"/>
                <w:lang w:eastAsia="en-GB"/>
              </w:rPr>
              <w:t>55</w:t>
            </w:r>
          </w:p>
        </w:tc>
        <w:tc>
          <w:tcPr>
            <w:tcW w:w="1196" w:type="dxa"/>
            <w:tcBorders>
              <w:top w:val="nil"/>
              <w:left w:val="nil"/>
              <w:bottom w:val="single" w:sz="4" w:space="0" w:color="auto"/>
              <w:right w:val="single" w:sz="4" w:space="0" w:color="auto"/>
            </w:tcBorders>
            <w:shd w:val="clear" w:color="000000" w:fill="FFFFFF"/>
            <w:hideMark/>
          </w:tcPr>
          <w:p w14:paraId="464D74FD" w14:textId="4E0BD1C8" w:rsidR="0003234F" w:rsidRPr="00D40D66" w:rsidRDefault="0003234F" w:rsidP="0003234F">
            <w:pPr>
              <w:spacing w:before="0"/>
              <w:rPr>
                <w:sz w:val="16"/>
                <w:szCs w:val="16"/>
                <w:lang w:eastAsia="en-GB"/>
              </w:rPr>
            </w:pPr>
            <w:r w:rsidRPr="00D40D66">
              <w:rPr>
                <w:sz w:val="16"/>
                <w:szCs w:val="16"/>
                <w:lang w:eastAsia="en-GB"/>
              </w:rPr>
              <w:t>6 967</w:t>
            </w:r>
            <w:r w:rsidR="004F66DB" w:rsidRPr="00D40D66">
              <w:rPr>
                <w:sz w:val="16"/>
                <w:szCs w:val="16"/>
                <w:lang w:eastAsia="en-GB"/>
              </w:rPr>
              <w:t>,</w:t>
            </w:r>
            <w:r w:rsidRPr="00D40D66">
              <w:rPr>
                <w:sz w:val="16"/>
                <w:szCs w:val="16"/>
                <w:lang w:eastAsia="en-GB"/>
              </w:rPr>
              <w:t>55</w:t>
            </w:r>
          </w:p>
        </w:tc>
      </w:tr>
      <w:tr w:rsidR="0003234F" w:rsidRPr="00D40D66" w14:paraId="4CCA0F8A" w14:textId="77777777" w:rsidTr="00501A8D">
        <w:trPr>
          <w:trHeight w:val="315"/>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72F22311" w14:textId="05A3DEF0" w:rsidR="0003234F" w:rsidRPr="00D40D66" w:rsidRDefault="008F3B46" w:rsidP="00864F9A">
            <w:pPr>
              <w:spacing w:before="0"/>
              <w:rPr>
                <w:sz w:val="16"/>
                <w:szCs w:val="16"/>
                <w:lang w:eastAsia="en-GB"/>
              </w:rPr>
            </w:pPr>
            <w:r w:rsidRPr="00D40D66">
              <w:rPr>
                <w:rFonts w:hint="cs"/>
                <w:sz w:val="16"/>
                <w:szCs w:val="16"/>
                <w:rtl/>
                <w:lang w:eastAsia="en-GB"/>
              </w:rPr>
              <w:t>الهند</w:t>
            </w:r>
          </w:p>
        </w:tc>
        <w:tc>
          <w:tcPr>
            <w:tcW w:w="3678" w:type="dxa"/>
            <w:tcBorders>
              <w:top w:val="nil"/>
              <w:left w:val="nil"/>
              <w:bottom w:val="single" w:sz="4" w:space="0" w:color="auto"/>
              <w:right w:val="single" w:sz="4" w:space="0" w:color="auto"/>
            </w:tcBorders>
            <w:shd w:val="clear" w:color="000000" w:fill="FFFFFF"/>
            <w:hideMark/>
          </w:tcPr>
          <w:p w14:paraId="4E38312C" w14:textId="77777777" w:rsidR="0003234F" w:rsidRPr="00D40D66" w:rsidRDefault="0003234F" w:rsidP="00CC68EE">
            <w:pPr>
              <w:bidi w:val="0"/>
              <w:spacing w:before="0"/>
              <w:jc w:val="left"/>
              <w:rPr>
                <w:sz w:val="16"/>
                <w:szCs w:val="16"/>
                <w:lang w:eastAsia="en-GB"/>
              </w:rPr>
            </w:pPr>
            <w:r w:rsidRPr="00D40D66">
              <w:rPr>
                <w:sz w:val="16"/>
                <w:szCs w:val="16"/>
                <w:lang w:eastAsia="en-GB"/>
              </w:rPr>
              <w:t xml:space="preserve">Vihaan </w:t>
            </w:r>
            <w:proofErr w:type="spellStart"/>
            <w:r w:rsidRPr="00D40D66">
              <w:rPr>
                <w:sz w:val="16"/>
                <w:szCs w:val="16"/>
                <w:lang w:eastAsia="en-GB"/>
              </w:rPr>
              <w:t>Ntwks</w:t>
            </w:r>
            <w:proofErr w:type="spellEnd"/>
            <w:r w:rsidRPr="00D40D66">
              <w:rPr>
                <w:sz w:val="16"/>
                <w:szCs w:val="16"/>
                <w:lang w:eastAsia="en-GB"/>
              </w:rPr>
              <w:t>. Ltd., Gurgaon</w:t>
            </w:r>
          </w:p>
        </w:tc>
        <w:tc>
          <w:tcPr>
            <w:tcW w:w="1125" w:type="dxa"/>
            <w:tcBorders>
              <w:top w:val="nil"/>
              <w:left w:val="nil"/>
              <w:bottom w:val="single" w:sz="4" w:space="0" w:color="auto"/>
              <w:right w:val="single" w:sz="4" w:space="0" w:color="auto"/>
            </w:tcBorders>
            <w:shd w:val="clear" w:color="000000" w:fill="FFFFFF"/>
            <w:hideMark/>
          </w:tcPr>
          <w:p w14:paraId="5CC33156" w14:textId="77777777" w:rsidR="0003234F" w:rsidRPr="00D40D66" w:rsidRDefault="0003234F" w:rsidP="00864F9A">
            <w:pPr>
              <w:spacing w:before="0"/>
              <w:jc w:val="center"/>
              <w:rPr>
                <w:sz w:val="16"/>
                <w:szCs w:val="16"/>
                <w:lang w:eastAsia="en-GB"/>
              </w:rPr>
            </w:pPr>
            <w:r w:rsidRPr="00D40D66">
              <w:rPr>
                <w:sz w:val="16"/>
                <w:szCs w:val="16"/>
                <w:lang w:eastAsia="en-GB"/>
              </w:rPr>
              <w:t>2013</w:t>
            </w:r>
          </w:p>
        </w:tc>
        <w:tc>
          <w:tcPr>
            <w:tcW w:w="1099" w:type="dxa"/>
            <w:tcBorders>
              <w:top w:val="nil"/>
              <w:left w:val="nil"/>
              <w:bottom w:val="single" w:sz="4" w:space="0" w:color="auto"/>
              <w:right w:val="single" w:sz="4" w:space="0" w:color="auto"/>
            </w:tcBorders>
            <w:shd w:val="clear" w:color="000000" w:fill="FFFFFF"/>
            <w:hideMark/>
          </w:tcPr>
          <w:p w14:paraId="47488D9A" w14:textId="3AC52565" w:rsidR="0003234F" w:rsidRPr="00D40D66" w:rsidRDefault="0003234F" w:rsidP="0003234F">
            <w:pPr>
              <w:spacing w:before="0"/>
              <w:rPr>
                <w:sz w:val="16"/>
                <w:szCs w:val="16"/>
                <w:lang w:eastAsia="en-GB"/>
              </w:rPr>
            </w:pPr>
            <w:r w:rsidRPr="00D40D66">
              <w:rPr>
                <w:sz w:val="16"/>
                <w:szCs w:val="16"/>
                <w:lang w:eastAsia="en-GB"/>
              </w:rPr>
              <w:t>35 775,00</w:t>
            </w:r>
          </w:p>
        </w:tc>
        <w:tc>
          <w:tcPr>
            <w:tcW w:w="1118" w:type="dxa"/>
            <w:tcBorders>
              <w:top w:val="nil"/>
              <w:left w:val="nil"/>
              <w:bottom w:val="single" w:sz="4" w:space="0" w:color="auto"/>
              <w:right w:val="single" w:sz="4" w:space="0" w:color="auto"/>
            </w:tcBorders>
            <w:shd w:val="clear" w:color="000000" w:fill="FFFFFF"/>
            <w:hideMark/>
          </w:tcPr>
          <w:p w14:paraId="456D3339" w14:textId="37EACAB3" w:rsidR="0003234F" w:rsidRPr="00D40D66" w:rsidRDefault="0003234F" w:rsidP="0003234F">
            <w:pPr>
              <w:spacing w:before="0"/>
              <w:rPr>
                <w:sz w:val="16"/>
                <w:szCs w:val="16"/>
                <w:lang w:eastAsia="en-GB"/>
              </w:rPr>
            </w:pPr>
            <w:r w:rsidRPr="00D40D66">
              <w:rPr>
                <w:sz w:val="16"/>
                <w:szCs w:val="16"/>
                <w:lang w:eastAsia="en-GB"/>
              </w:rPr>
              <w:t>26 932</w:t>
            </w:r>
            <w:r w:rsidR="004F66DB" w:rsidRPr="00D40D66">
              <w:rPr>
                <w:sz w:val="16"/>
                <w:szCs w:val="16"/>
                <w:lang w:eastAsia="en-GB"/>
              </w:rPr>
              <w:t>,</w:t>
            </w:r>
            <w:r w:rsidRPr="00D40D66">
              <w:rPr>
                <w:sz w:val="16"/>
                <w:szCs w:val="16"/>
                <w:lang w:eastAsia="en-GB"/>
              </w:rPr>
              <w:t>70</w:t>
            </w:r>
          </w:p>
        </w:tc>
        <w:tc>
          <w:tcPr>
            <w:tcW w:w="1196" w:type="dxa"/>
            <w:tcBorders>
              <w:top w:val="nil"/>
              <w:left w:val="nil"/>
              <w:bottom w:val="single" w:sz="4" w:space="0" w:color="auto"/>
              <w:right w:val="single" w:sz="4" w:space="0" w:color="auto"/>
            </w:tcBorders>
            <w:shd w:val="clear" w:color="000000" w:fill="FFFFFF"/>
            <w:hideMark/>
          </w:tcPr>
          <w:p w14:paraId="0952E93A" w14:textId="466DE5CA" w:rsidR="0003234F" w:rsidRPr="00D40D66" w:rsidRDefault="0003234F" w:rsidP="0003234F">
            <w:pPr>
              <w:spacing w:before="0"/>
              <w:rPr>
                <w:sz w:val="16"/>
                <w:szCs w:val="16"/>
                <w:lang w:eastAsia="en-GB"/>
              </w:rPr>
            </w:pPr>
            <w:r w:rsidRPr="00D40D66">
              <w:rPr>
                <w:sz w:val="16"/>
                <w:szCs w:val="16"/>
                <w:lang w:eastAsia="en-GB"/>
              </w:rPr>
              <w:t>62 707</w:t>
            </w:r>
            <w:r w:rsidR="004F66DB" w:rsidRPr="00D40D66">
              <w:rPr>
                <w:sz w:val="16"/>
                <w:szCs w:val="16"/>
                <w:lang w:eastAsia="en-GB"/>
              </w:rPr>
              <w:t>,</w:t>
            </w:r>
            <w:r w:rsidRPr="00D40D66">
              <w:rPr>
                <w:sz w:val="16"/>
                <w:szCs w:val="16"/>
                <w:lang w:eastAsia="en-GB"/>
              </w:rPr>
              <w:t>70</w:t>
            </w:r>
          </w:p>
        </w:tc>
      </w:tr>
      <w:tr w:rsidR="0003234F" w:rsidRPr="00D40D66" w14:paraId="2CFC0B42"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7EC3072E" w14:textId="1C6A78D1" w:rsidR="0003234F" w:rsidRPr="00D40D66" w:rsidRDefault="008F3B46" w:rsidP="00864F9A">
            <w:pPr>
              <w:spacing w:before="0"/>
              <w:rPr>
                <w:sz w:val="16"/>
                <w:szCs w:val="16"/>
                <w:lang w:eastAsia="en-GB"/>
              </w:rPr>
            </w:pPr>
            <w:r w:rsidRPr="00D40D66">
              <w:rPr>
                <w:rFonts w:hint="cs"/>
                <w:sz w:val="16"/>
                <w:szCs w:val="16"/>
                <w:rtl/>
                <w:lang w:eastAsia="en-GB"/>
              </w:rPr>
              <w:t>المكسيك</w:t>
            </w:r>
          </w:p>
        </w:tc>
        <w:tc>
          <w:tcPr>
            <w:tcW w:w="3678" w:type="dxa"/>
            <w:tcBorders>
              <w:top w:val="nil"/>
              <w:left w:val="nil"/>
              <w:bottom w:val="single" w:sz="4" w:space="0" w:color="auto"/>
              <w:right w:val="single" w:sz="4" w:space="0" w:color="auto"/>
            </w:tcBorders>
            <w:shd w:val="clear" w:color="000000" w:fill="FFFFFF"/>
            <w:hideMark/>
          </w:tcPr>
          <w:p w14:paraId="1AF77F0D" w14:textId="77777777" w:rsidR="0003234F" w:rsidRPr="00D40D66" w:rsidRDefault="0003234F" w:rsidP="00CC68EE">
            <w:pPr>
              <w:bidi w:val="0"/>
              <w:spacing w:before="0"/>
              <w:jc w:val="left"/>
              <w:rPr>
                <w:sz w:val="16"/>
                <w:szCs w:val="16"/>
                <w:lang w:eastAsia="en-GB"/>
              </w:rPr>
            </w:pPr>
            <w:r w:rsidRPr="00D40D66">
              <w:rPr>
                <w:sz w:val="16"/>
                <w:szCs w:val="16"/>
                <w:lang w:eastAsia="en-GB"/>
              </w:rPr>
              <w:t>CANITEC, Mexico City</w:t>
            </w:r>
          </w:p>
        </w:tc>
        <w:tc>
          <w:tcPr>
            <w:tcW w:w="1125" w:type="dxa"/>
            <w:tcBorders>
              <w:top w:val="nil"/>
              <w:left w:val="nil"/>
              <w:bottom w:val="single" w:sz="4" w:space="0" w:color="auto"/>
              <w:right w:val="single" w:sz="4" w:space="0" w:color="auto"/>
            </w:tcBorders>
            <w:shd w:val="clear" w:color="000000" w:fill="FFFFFF"/>
            <w:hideMark/>
          </w:tcPr>
          <w:p w14:paraId="23D1DBA2" w14:textId="019515DC" w:rsidR="0003234F" w:rsidRPr="00D40D66" w:rsidRDefault="0003234F" w:rsidP="00864F9A">
            <w:pPr>
              <w:spacing w:before="0"/>
              <w:jc w:val="center"/>
              <w:rPr>
                <w:sz w:val="16"/>
                <w:szCs w:val="16"/>
                <w:lang w:eastAsia="en-GB"/>
              </w:rPr>
            </w:pPr>
            <w:r w:rsidRPr="00D40D66">
              <w:rPr>
                <w:rFonts w:hint="cs"/>
                <w:sz w:val="16"/>
                <w:szCs w:val="16"/>
                <w:rtl/>
                <w:lang w:eastAsia="en-GB"/>
              </w:rPr>
              <w:t>2011-2013</w:t>
            </w:r>
          </w:p>
        </w:tc>
        <w:tc>
          <w:tcPr>
            <w:tcW w:w="1099" w:type="dxa"/>
            <w:tcBorders>
              <w:top w:val="nil"/>
              <w:left w:val="nil"/>
              <w:bottom w:val="single" w:sz="4" w:space="0" w:color="auto"/>
              <w:right w:val="single" w:sz="4" w:space="0" w:color="auto"/>
            </w:tcBorders>
            <w:shd w:val="clear" w:color="000000" w:fill="FFFFFF"/>
            <w:hideMark/>
          </w:tcPr>
          <w:p w14:paraId="44E39B63" w14:textId="692D7C4C" w:rsidR="0003234F" w:rsidRPr="00D40D66" w:rsidRDefault="0003234F" w:rsidP="0003234F">
            <w:pPr>
              <w:spacing w:before="0"/>
              <w:rPr>
                <w:sz w:val="16"/>
                <w:szCs w:val="16"/>
                <w:lang w:eastAsia="en-GB"/>
              </w:rPr>
            </w:pPr>
            <w:r w:rsidRPr="00D40D66">
              <w:rPr>
                <w:sz w:val="16"/>
                <w:szCs w:val="16"/>
                <w:lang w:eastAsia="en-GB"/>
              </w:rPr>
              <w:t>3 975,00</w:t>
            </w:r>
          </w:p>
        </w:tc>
        <w:tc>
          <w:tcPr>
            <w:tcW w:w="1118" w:type="dxa"/>
            <w:tcBorders>
              <w:top w:val="nil"/>
              <w:left w:val="nil"/>
              <w:bottom w:val="single" w:sz="4" w:space="0" w:color="auto"/>
              <w:right w:val="single" w:sz="4" w:space="0" w:color="auto"/>
            </w:tcBorders>
            <w:shd w:val="clear" w:color="000000" w:fill="FFFFFF"/>
            <w:hideMark/>
          </w:tcPr>
          <w:p w14:paraId="6ACCEE05" w14:textId="5121463E" w:rsidR="0003234F" w:rsidRPr="00D40D66" w:rsidRDefault="0003234F" w:rsidP="0003234F">
            <w:pPr>
              <w:spacing w:before="0"/>
              <w:rPr>
                <w:sz w:val="16"/>
                <w:szCs w:val="16"/>
                <w:lang w:eastAsia="en-GB"/>
              </w:rPr>
            </w:pPr>
            <w:r w:rsidRPr="00D40D66">
              <w:rPr>
                <w:sz w:val="16"/>
                <w:szCs w:val="16"/>
                <w:lang w:eastAsia="en-GB"/>
              </w:rPr>
              <w:t>3 171</w:t>
            </w:r>
            <w:r w:rsidR="004F66DB" w:rsidRPr="00D40D66">
              <w:rPr>
                <w:sz w:val="16"/>
                <w:szCs w:val="16"/>
                <w:lang w:eastAsia="en-GB"/>
              </w:rPr>
              <w:t>,</w:t>
            </w:r>
            <w:r w:rsidRPr="00D40D66">
              <w:rPr>
                <w:sz w:val="16"/>
                <w:szCs w:val="16"/>
                <w:lang w:eastAsia="en-GB"/>
              </w:rPr>
              <w:t>40</w:t>
            </w:r>
          </w:p>
        </w:tc>
        <w:tc>
          <w:tcPr>
            <w:tcW w:w="1196" w:type="dxa"/>
            <w:tcBorders>
              <w:top w:val="nil"/>
              <w:left w:val="nil"/>
              <w:bottom w:val="single" w:sz="4" w:space="0" w:color="auto"/>
              <w:right w:val="single" w:sz="4" w:space="0" w:color="auto"/>
            </w:tcBorders>
            <w:shd w:val="clear" w:color="000000" w:fill="FFFFFF"/>
            <w:hideMark/>
          </w:tcPr>
          <w:p w14:paraId="52D4137A" w14:textId="28EFF52D" w:rsidR="0003234F" w:rsidRPr="00D40D66" w:rsidRDefault="0003234F" w:rsidP="0003234F">
            <w:pPr>
              <w:spacing w:before="0"/>
              <w:rPr>
                <w:sz w:val="16"/>
                <w:szCs w:val="16"/>
                <w:lang w:eastAsia="en-GB"/>
              </w:rPr>
            </w:pPr>
            <w:r w:rsidRPr="00D40D66">
              <w:rPr>
                <w:sz w:val="16"/>
                <w:szCs w:val="16"/>
                <w:lang w:eastAsia="en-GB"/>
              </w:rPr>
              <w:t>7 146</w:t>
            </w:r>
            <w:r w:rsidR="004F66DB" w:rsidRPr="00D40D66">
              <w:rPr>
                <w:sz w:val="16"/>
                <w:szCs w:val="16"/>
                <w:lang w:eastAsia="en-GB"/>
              </w:rPr>
              <w:t>,</w:t>
            </w:r>
            <w:r w:rsidRPr="00D40D66">
              <w:rPr>
                <w:sz w:val="16"/>
                <w:szCs w:val="16"/>
                <w:lang w:eastAsia="en-GB"/>
              </w:rPr>
              <w:t>40</w:t>
            </w:r>
          </w:p>
        </w:tc>
      </w:tr>
      <w:tr w:rsidR="0003234F" w:rsidRPr="00D40D66" w14:paraId="1AEDE882"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5C48B7F2" w14:textId="5C8F507A" w:rsidR="0003234F" w:rsidRPr="00D40D66" w:rsidRDefault="008F3B46" w:rsidP="00864F9A">
            <w:pPr>
              <w:spacing w:before="0"/>
              <w:rPr>
                <w:sz w:val="16"/>
                <w:szCs w:val="16"/>
                <w:lang w:eastAsia="en-GB"/>
              </w:rPr>
            </w:pPr>
            <w:r w:rsidRPr="00D40D66">
              <w:rPr>
                <w:rFonts w:hint="cs"/>
                <w:sz w:val="16"/>
                <w:szCs w:val="16"/>
                <w:rtl/>
                <w:lang w:eastAsia="en-GB"/>
              </w:rPr>
              <w:t>باكستان</w:t>
            </w:r>
          </w:p>
        </w:tc>
        <w:tc>
          <w:tcPr>
            <w:tcW w:w="3678" w:type="dxa"/>
            <w:tcBorders>
              <w:top w:val="nil"/>
              <w:left w:val="nil"/>
              <w:bottom w:val="single" w:sz="4" w:space="0" w:color="auto"/>
              <w:right w:val="single" w:sz="4" w:space="0" w:color="auto"/>
            </w:tcBorders>
            <w:shd w:val="clear" w:color="000000" w:fill="FFFFFF"/>
            <w:hideMark/>
          </w:tcPr>
          <w:p w14:paraId="6CC59800" w14:textId="77777777" w:rsidR="0003234F" w:rsidRPr="00D40D66" w:rsidRDefault="0003234F" w:rsidP="00CC68EE">
            <w:pPr>
              <w:bidi w:val="0"/>
              <w:spacing w:before="0"/>
              <w:jc w:val="left"/>
              <w:rPr>
                <w:sz w:val="16"/>
                <w:szCs w:val="16"/>
                <w:lang w:eastAsia="en-GB"/>
              </w:rPr>
            </w:pPr>
            <w:r w:rsidRPr="00D40D66">
              <w:rPr>
                <w:sz w:val="16"/>
                <w:szCs w:val="16"/>
                <w:lang w:eastAsia="en-GB"/>
              </w:rPr>
              <w:t>e Worldwide Group, Islamabad</w:t>
            </w:r>
          </w:p>
        </w:tc>
        <w:tc>
          <w:tcPr>
            <w:tcW w:w="1125" w:type="dxa"/>
            <w:tcBorders>
              <w:top w:val="nil"/>
              <w:left w:val="nil"/>
              <w:bottom w:val="single" w:sz="4" w:space="0" w:color="auto"/>
              <w:right w:val="single" w:sz="4" w:space="0" w:color="auto"/>
            </w:tcBorders>
            <w:shd w:val="clear" w:color="000000" w:fill="FFFFFF"/>
            <w:hideMark/>
          </w:tcPr>
          <w:p w14:paraId="73653713" w14:textId="60BC8459" w:rsidR="0003234F" w:rsidRPr="00D40D66" w:rsidRDefault="0003234F" w:rsidP="00864F9A">
            <w:pPr>
              <w:spacing w:before="0"/>
              <w:jc w:val="center"/>
              <w:rPr>
                <w:sz w:val="16"/>
                <w:szCs w:val="16"/>
                <w:lang w:eastAsia="en-GB"/>
              </w:rPr>
            </w:pPr>
            <w:r w:rsidRPr="00D40D66">
              <w:rPr>
                <w:rFonts w:hint="cs"/>
                <w:sz w:val="16"/>
                <w:szCs w:val="16"/>
                <w:rtl/>
                <w:lang w:eastAsia="en-GB"/>
              </w:rPr>
              <w:t>2011-2013</w:t>
            </w:r>
          </w:p>
        </w:tc>
        <w:tc>
          <w:tcPr>
            <w:tcW w:w="1099" w:type="dxa"/>
            <w:tcBorders>
              <w:top w:val="nil"/>
              <w:left w:val="nil"/>
              <w:bottom w:val="single" w:sz="4" w:space="0" w:color="auto"/>
              <w:right w:val="single" w:sz="4" w:space="0" w:color="auto"/>
            </w:tcBorders>
            <w:shd w:val="clear" w:color="000000" w:fill="FFFFFF"/>
            <w:hideMark/>
          </w:tcPr>
          <w:p w14:paraId="0CFED681" w14:textId="3E4FD7FF" w:rsidR="0003234F" w:rsidRPr="00D40D66" w:rsidRDefault="0003234F" w:rsidP="0003234F">
            <w:pPr>
              <w:spacing w:before="0"/>
              <w:rPr>
                <w:sz w:val="16"/>
                <w:szCs w:val="16"/>
                <w:lang w:eastAsia="en-GB"/>
              </w:rPr>
            </w:pPr>
            <w:r w:rsidRPr="00D40D66">
              <w:rPr>
                <w:sz w:val="16"/>
                <w:szCs w:val="16"/>
                <w:lang w:eastAsia="en-GB"/>
              </w:rPr>
              <w:t>3 975,00</w:t>
            </w:r>
          </w:p>
        </w:tc>
        <w:tc>
          <w:tcPr>
            <w:tcW w:w="1118" w:type="dxa"/>
            <w:tcBorders>
              <w:top w:val="nil"/>
              <w:left w:val="nil"/>
              <w:bottom w:val="single" w:sz="4" w:space="0" w:color="auto"/>
              <w:right w:val="single" w:sz="4" w:space="0" w:color="auto"/>
            </w:tcBorders>
            <w:shd w:val="clear" w:color="000000" w:fill="FFFFFF"/>
            <w:hideMark/>
          </w:tcPr>
          <w:p w14:paraId="2777DD6B" w14:textId="38F2AF78" w:rsidR="0003234F" w:rsidRPr="00D40D66" w:rsidRDefault="0003234F" w:rsidP="0003234F">
            <w:pPr>
              <w:spacing w:before="0"/>
              <w:rPr>
                <w:sz w:val="16"/>
                <w:szCs w:val="16"/>
                <w:lang w:eastAsia="en-GB"/>
              </w:rPr>
            </w:pPr>
            <w:r w:rsidRPr="00D40D66">
              <w:rPr>
                <w:sz w:val="16"/>
                <w:szCs w:val="16"/>
                <w:lang w:eastAsia="en-GB"/>
              </w:rPr>
              <w:t>3 072</w:t>
            </w:r>
            <w:r w:rsidR="004F66DB" w:rsidRPr="00D40D66">
              <w:rPr>
                <w:sz w:val="16"/>
                <w:szCs w:val="16"/>
                <w:lang w:eastAsia="en-GB"/>
              </w:rPr>
              <w:t>,</w:t>
            </w:r>
            <w:r w:rsidRPr="00D40D66">
              <w:rPr>
                <w:sz w:val="16"/>
                <w:szCs w:val="16"/>
                <w:lang w:eastAsia="en-GB"/>
              </w:rPr>
              <w:t>05</w:t>
            </w:r>
          </w:p>
        </w:tc>
        <w:tc>
          <w:tcPr>
            <w:tcW w:w="1196" w:type="dxa"/>
            <w:tcBorders>
              <w:top w:val="nil"/>
              <w:left w:val="nil"/>
              <w:bottom w:val="single" w:sz="4" w:space="0" w:color="auto"/>
              <w:right w:val="single" w:sz="4" w:space="0" w:color="auto"/>
            </w:tcBorders>
            <w:shd w:val="clear" w:color="000000" w:fill="FFFFFF"/>
            <w:hideMark/>
          </w:tcPr>
          <w:p w14:paraId="3C762172" w14:textId="6CFA126D" w:rsidR="0003234F" w:rsidRPr="00D40D66" w:rsidRDefault="0003234F" w:rsidP="0003234F">
            <w:pPr>
              <w:spacing w:before="0"/>
              <w:rPr>
                <w:sz w:val="16"/>
                <w:szCs w:val="16"/>
                <w:lang w:eastAsia="en-GB"/>
              </w:rPr>
            </w:pPr>
            <w:r w:rsidRPr="00D40D66">
              <w:rPr>
                <w:sz w:val="16"/>
                <w:szCs w:val="16"/>
                <w:lang w:eastAsia="en-GB"/>
              </w:rPr>
              <w:t>7 047</w:t>
            </w:r>
            <w:r w:rsidR="004F66DB" w:rsidRPr="00D40D66">
              <w:rPr>
                <w:sz w:val="16"/>
                <w:szCs w:val="16"/>
                <w:lang w:eastAsia="en-GB"/>
              </w:rPr>
              <w:t>,</w:t>
            </w:r>
            <w:r w:rsidRPr="00D40D66">
              <w:rPr>
                <w:sz w:val="16"/>
                <w:szCs w:val="16"/>
                <w:lang w:eastAsia="en-GB"/>
              </w:rPr>
              <w:t>05</w:t>
            </w:r>
          </w:p>
        </w:tc>
      </w:tr>
      <w:tr w:rsidR="0003234F" w:rsidRPr="00D40D66" w14:paraId="5BCCD7A8"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33FD91C1" w14:textId="7AB33287" w:rsidR="0003234F" w:rsidRPr="00D40D66" w:rsidRDefault="008F3B46" w:rsidP="00864F9A">
            <w:pPr>
              <w:spacing w:before="0"/>
              <w:rPr>
                <w:sz w:val="16"/>
                <w:szCs w:val="16"/>
                <w:lang w:eastAsia="en-GB"/>
              </w:rPr>
            </w:pPr>
            <w:r w:rsidRPr="00D40D66">
              <w:rPr>
                <w:rFonts w:hint="cs"/>
                <w:sz w:val="16"/>
                <w:szCs w:val="16"/>
                <w:rtl/>
                <w:lang w:eastAsia="en-GB"/>
              </w:rPr>
              <w:t>السودان</w:t>
            </w:r>
          </w:p>
        </w:tc>
        <w:tc>
          <w:tcPr>
            <w:tcW w:w="3678" w:type="dxa"/>
            <w:tcBorders>
              <w:top w:val="nil"/>
              <w:left w:val="nil"/>
              <w:bottom w:val="single" w:sz="4" w:space="0" w:color="auto"/>
              <w:right w:val="single" w:sz="4" w:space="0" w:color="auto"/>
            </w:tcBorders>
            <w:shd w:val="clear" w:color="000000" w:fill="FFFFFF"/>
            <w:hideMark/>
          </w:tcPr>
          <w:p w14:paraId="21CD5A61" w14:textId="77777777" w:rsidR="0003234F" w:rsidRPr="00D40D66" w:rsidRDefault="0003234F" w:rsidP="00CC68EE">
            <w:pPr>
              <w:bidi w:val="0"/>
              <w:spacing w:before="0"/>
              <w:jc w:val="left"/>
              <w:rPr>
                <w:sz w:val="16"/>
                <w:szCs w:val="16"/>
                <w:lang w:eastAsia="en-GB"/>
              </w:rPr>
            </w:pPr>
            <w:r w:rsidRPr="00D40D66">
              <w:rPr>
                <w:sz w:val="16"/>
                <w:szCs w:val="16"/>
                <w:lang w:eastAsia="en-GB"/>
              </w:rPr>
              <w:t>Open University of Sudan, Khartoum</w:t>
            </w:r>
          </w:p>
        </w:tc>
        <w:tc>
          <w:tcPr>
            <w:tcW w:w="1125" w:type="dxa"/>
            <w:tcBorders>
              <w:top w:val="nil"/>
              <w:left w:val="nil"/>
              <w:bottom w:val="single" w:sz="4" w:space="0" w:color="auto"/>
              <w:right w:val="single" w:sz="4" w:space="0" w:color="auto"/>
            </w:tcBorders>
            <w:shd w:val="clear" w:color="000000" w:fill="FFFFFF"/>
            <w:hideMark/>
          </w:tcPr>
          <w:p w14:paraId="5E10F6BB" w14:textId="3363D67B" w:rsidR="0003234F" w:rsidRPr="00D40D66" w:rsidRDefault="0003234F" w:rsidP="00864F9A">
            <w:pPr>
              <w:spacing w:before="0"/>
              <w:jc w:val="center"/>
              <w:rPr>
                <w:sz w:val="16"/>
                <w:szCs w:val="16"/>
                <w:lang w:eastAsia="en-GB"/>
              </w:rPr>
            </w:pPr>
            <w:r w:rsidRPr="00D40D66">
              <w:rPr>
                <w:rFonts w:hint="cs"/>
                <w:sz w:val="16"/>
                <w:szCs w:val="16"/>
                <w:rtl/>
                <w:lang w:eastAsia="en-GB"/>
              </w:rPr>
              <w:t>2013-2014</w:t>
            </w:r>
          </w:p>
        </w:tc>
        <w:tc>
          <w:tcPr>
            <w:tcW w:w="1099" w:type="dxa"/>
            <w:tcBorders>
              <w:top w:val="nil"/>
              <w:left w:val="nil"/>
              <w:bottom w:val="single" w:sz="4" w:space="0" w:color="auto"/>
              <w:right w:val="single" w:sz="4" w:space="0" w:color="auto"/>
            </w:tcBorders>
            <w:shd w:val="clear" w:color="000000" w:fill="FFFFFF"/>
            <w:hideMark/>
          </w:tcPr>
          <w:p w14:paraId="4BD64650" w14:textId="55351E7F" w:rsidR="0003234F" w:rsidRPr="00D40D66" w:rsidRDefault="0003234F" w:rsidP="0003234F">
            <w:pPr>
              <w:spacing w:before="0"/>
              <w:rPr>
                <w:sz w:val="16"/>
                <w:szCs w:val="16"/>
                <w:lang w:eastAsia="en-GB"/>
              </w:rPr>
            </w:pPr>
            <w:r w:rsidRPr="00D40D66">
              <w:rPr>
                <w:sz w:val="16"/>
                <w:szCs w:val="16"/>
                <w:lang w:eastAsia="en-GB"/>
              </w:rPr>
              <w:t>2 484,35</w:t>
            </w:r>
          </w:p>
        </w:tc>
        <w:tc>
          <w:tcPr>
            <w:tcW w:w="1118" w:type="dxa"/>
            <w:tcBorders>
              <w:top w:val="nil"/>
              <w:left w:val="nil"/>
              <w:bottom w:val="single" w:sz="4" w:space="0" w:color="auto"/>
              <w:right w:val="single" w:sz="4" w:space="0" w:color="auto"/>
            </w:tcBorders>
            <w:shd w:val="clear" w:color="000000" w:fill="FFFFFF"/>
            <w:hideMark/>
          </w:tcPr>
          <w:p w14:paraId="765457DB" w14:textId="77C20921" w:rsidR="0003234F" w:rsidRPr="00D40D66" w:rsidRDefault="0003234F" w:rsidP="0003234F">
            <w:pPr>
              <w:spacing w:before="0"/>
              <w:rPr>
                <w:sz w:val="16"/>
                <w:szCs w:val="16"/>
                <w:lang w:eastAsia="en-GB"/>
              </w:rPr>
            </w:pPr>
            <w:r w:rsidRPr="00D40D66">
              <w:rPr>
                <w:sz w:val="16"/>
                <w:szCs w:val="16"/>
                <w:lang w:eastAsia="en-GB"/>
              </w:rPr>
              <w:t>1 638</w:t>
            </w:r>
            <w:r w:rsidR="004F66DB" w:rsidRPr="00D40D66">
              <w:rPr>
                <w:sz w:val="16"/>
                <w:szCs w:val="16"/>
                <w:lang w:eastAsia="en-GB"/>
              </w:rPr>
              <w:t>,</w:t>
            </w:r>
            <w:r w:rsidRPr="00D40D66">
              <w:rPr>
                <w:sz w:val="16"/>
                <w:szCs w:val="16"/>
                <w:lang w:eastAsia="en-GB"/>
              </w:rPr>
              <w:t>90</w:t>
            </w:r>
          </w:p>
        </w:tc>
        <w:tc>
          <w:tcPr>
            <w:tcW w:w="1196" w:type="dxa"/>
            <w:tcBorders>
              <w:top w:val="nil"/>
              <w:left w:val="nil"/>
              <w:bottom w:val="single" w:sz="4" w:space="0" w:color="auto"/>
              <w:right w:val="single" w:sz="4" w:space="0" w:color="auto"/>
            </w:tcBorders>
            <w:shd w:val="clear" w:color="000000" w:fill="FFFFFF"/>
            <w:hideMark/>
          </w:tcPr>
          <w:p w14:paraId="1CBB62DF" w14:textId="68CDCE77" w:rsidR="0003234F" w:rsidRPr="00D40D66" w:rsidRDefault="0003234F" w:rsidP="0003234F">
            <w:pPr>
              <w:spacing w:before="0"/>
              <w:rPr>
                <w:sz w:val="16"/>
                <w:szCs w:val="16"/>
                <w:lang w:eastAsia="en-GB"/>
              </w:rPr>
            </w:pPr>
            <w:r w:rsidRPr="00D40D66">
              <w:rPr>
                <w:sz w:val="16"/>
                <w:szCs w:val="16"/>
                <w:lang w:eastAsia="en-GB"/>
              </w:rPr>
              <w:t>4 123</w:t>
            </w:r>
            <w:r w:rsidR="004F66DB" w:rsidRPr="00D40D66">
              <w:rPr>
                <w:sz w:val="16"/>
                <w:szCs w:val="16"/>
                <w:lang w:eastAsia="en-GB"/>
              </w:rPr>
              <w:t>,</w:t>
            </w:r>
            <w:r w:rsidRPr="00D40D66">
              <w:rPr>
                <w:sz w:val="16"/>
                <w:szCs w:val="16"/>
                <w:lang w:eastAsia="en-GB"/>
              </w:rPr>
              <w:t>25</w:t>
            </w:r>
          </w:p>
        </w:tc>
      </w:tr>
      <w:tr w:rsidR="0003234F" w:rsidRPr="00D40D66" w14:paraId="4BA2E2BF"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5C7A2F48" w14:textId="701FFF1D" w:rsidR="0003234F" w:rsidRPr="00D40D66" w:rsidRDefault="008F3B46" w:rsidP="00864F9A">
            <w:pPr>
              <w:spacing w:before="0"/>
              <w:rPr>
                <w:sz w:val="16"/>
                <w:szCs w:val="16"/>
                <w:lang w:eastAsia="en-GB"/>
              </w:rPr>
            </w:pPr>
            <w:r w:rsidRPr="00D40D66">
              <w:rPr>
                <w:rFonts w:hint="cs"/>
                <w:sz w:val="16"/>
                <w:szCs w:val="16"/>
                <w:rtl/>
                <w:lang w:eastAsia="en-GB"/>
              </w:rPr>
              <w:t>تونس</w:t>
            </w:r>
          </w:p>
        </w:tc>
        <w:tc>
          <w:tcPr>
            <w:tcW w:w="3678" w:type="dxa"/>
            <w:tcBorders>
              <w:top w:val="nil"/>
              <w:left w:val="nil"/>
              <w:bottom w:val="single" w:sz="4" w:space="0" w:color="auto"/>
              <w:right w:val="single" w:sz="4" w:space="0" w:color="auto"/>
            </w:tcBorders>
            <w:shd w:val="clear" w:color="000000" w:fill="FFFFFF"/>
            <w:hideMark/>
          </w:tcPr>
          <w:p w14:paraId="5674C288" w14:textId="77777777" w:rsidR="0003234F" w:rsidRPr="00D40D66" w:rsidRDefault="0003234F" w:rsidP="00CC68EE">
            <w:pPr>
              <w:bidi w:val="0"/>
              <w:spacing w:before="0"/>
              <w:jc w:val="left"/>
              <w:rPr>
                <w:sz w:val="16"/>
                <w:szCs w:val="16"/>
                <w:lang w:eastAsia="en-GB"/>
              </w:rPr>
            </w:pPr>
            <w:r w:rsidRPr="00D40D66">
              <w:rPr>
                <w:sz w:val="16"/>
                <w:szCs w:val="16"/>
                <w:lang w:eastAsia="en-GB"/>
              </w:rPr>
              <w:t xml:space="preserve">Orascom Telecom </w:t>
            </w:r>
            <w:proofErr w:type="spellStart"/>
            <w:r w:rsidRPr="00D40D66">
              <w:rPr>
                <w:sz w:val="16"/>
                <w:szCs w:val="16"/>
                <w:lang w:eastAsia="en-GB"/>
              </w:rPr>
              <w:t>Tunisiana</w:t>
            </w:r>
            <w:proofErr w:type="spellEnd"/>
            <w:r w:rsidRPr="00D40D66">
              <w:rPr>
                <w:sz w:val="16"/>
                <w:szCs w:val="16"/>
                <w:lang w:eastAsia="en-GB"/>
              </w:rPr>
              <w:t>, Tunis Carthage</w:t>
            </w:r>
          </w:p>
        </w:tc>
        <w:tc>
          <w:tcPr>
            <w:tcW w:w="1125" w:type="dxa"/>
            <w:tcBorders>
              <w:top w:val="nil"/>
              <w:left w:val="nil"/>
              <w:bottom w:val="single" w:sz="4" w:space="0" w:color="auto"/>
              <w:right w:val="single" w:sz="4" w:space="0" w:color="auto"/>
            </w:tcBorders>
            <w:shd w:val="clear" w:color="000000" w:fill="FFFFFF"/>
            <w:hideMark/>
          </w:tcPr>
          <w:p w14:paraId="5857D264" w14:textId="77777777" w:rsidR="0003234F" w:rsidRPr="00D40D66" w:rsidRDefault="0003234F" w:rsidP="00864F9A">
            <w:pPr>
              <w:spacing w:before="0"/>
              <w:jc w:val="center"/>
              <w:rPr>
                <w:sz w:val="16"/>
                <w:szCs w:val="16"/>
                <w:lang w:eastAsia="en-GB"/>
              </w:rPr>
            </w:pPr>
            <w:r w:rsidRPr="00D40D66">
              <w:rPr>
                <w:sz w:val="16"/>
                <w:szCs w:val="16"/>
                <w:lang w:eastAsia="en-GB"/>
              </w:rPr>
              <w:t>2013</w:t>
            </w:r>
          </w:p>
        </w:tc>
        <w:tc>
          <w:tcPr>
            <w:tcW w:w="1099" w:type="dxa"/>
            <w:tcBorders>
              <w:top w:val="nil"/>
              <w:left w:val="nil"/>
              <w:bottom w:val="single" w:sz="4" w:space="0" w:color="auto"/>
              <w:right w:val="single" w:sz="4" w:space="0" w:color="auto"/>
            </w:tcBorders>
            <w:shd w:val="clear" w:color="000000" w:fill="FFFFFF"/>
            <w:hideMark/>
          </w:tcPr>
          <w:p w14:paraId="3C2F3140" w14:textId="31D68A2F" w:rsidR="0003234F" w:rsidRPr="00D40D66" w:rsidRDefault="0003234F" w:rsidP="0003234F">
            <w:pPr>
              <w:spacing w:before="0"/>
              <w:rPr>
                <w:sz w:val="16"/>
                <w:szCs w:val="16"/>
                <w:lang w:eastAsia="en-GB"/>
              </w:rPr>
            </w:pPr>
            <w:r w:rsidRPr="00D40D66">
              <w:rPr>
                <w:sz w:val="16"/>
                <w:szCs w:val="16"/>
                <w:lang w:eastAsia="en-GB"/>
              </w:rPr>
              <w:t>3 975,00</w:t>
            </w:r>
          </w:p>
        </w:tc>
        <w:tc>
          <w:tcPr>
            <w:tcW w:w="1118" w:type="dxa"/>
            <w:tcBorders>
              <w:top w:val="nil"/>
              <w:left w:val="nil"/>
              <w:bottom w:val="single" w:sz="4" w:space="0" w:color="auto"/>
              <w:right w:val="single" w:sz="4" w:space="0" w:color="auto"/>
            </w:tcBorders>
            <w:shd w:val="clear" w:color="000000" w:fill="FFFFFF"/>
            <w:hideMark/>
          </w:tcPr>
          <w:p w14:paraId="798145CE" w14:textId="1683A701" w:rsidR="0003234F" w:rsidRPr="00D40D66" w:rsidRDefault="0003234F" w:rsidP="0003234F">
            <w:pPr>
              <w:spacing w:before="0"/>
              <w:rPr>
                <w:sz w:val="16"/>
                <w:szCs w:val="16"/>
                <w:lang w:eastAsia="en-GB"/>
              </w:rPr>
            </w:pPr>
            <w:r w:rsidRPr="00D40D66">
              <w:rPr>
                <w:sz w:val="16"/>
                <w:szCs w:val="16"/>
                <w:lang w:eastAsia="en-GB"/>
              </w:rPr>
              <w:t>2 992</w:t>
            </w:r>
            <w:r w:rsidR="004F66DB" w:rsidRPr="00D40D66">
              <w:rPr>
                <w:sz w:val="16"/>
                <w:szCs w:val="16"/>
                <w:lang w:eastAsia="en-GB"/>
              </w:rPr>
              <w:t>,</w:t>
            </w:r>
            <w:r w:rsidRPr="00D40D66">
              <w:rPr>
                <w:sz w:val="16"/>
                <w:szCs w:val="16"/>
                <w:lang w:eastAsia="en-GB"/>
              </w:rPr>
              <w:t>55</w:t>
            </w:r>
          </w:p>
        </w:tc>
        <w:tc>
          <w:tcPr>
            <w:tcW w:w="1196" w:type="dxa"/>
            <w:tcBorders>
              <w:top w:val="nil"/>
              <w:left w:val="nil"/>
              <w:bottom w:val="single" w:sz="4" w:space="0" w:color="auto"/>
              <w:right w:val="single" w:sz="4" w:space="0" w:color="auto"/>
            </w:tcBorders>
            <w:shd w:val="clear" w:color="000000" w:fill="FFFFFF"/>
            <w:hideMark/>
          </w:tcPr>
          <w:p w14:paraId="6F5FDCB4" w14:textId="70A22C49" w:rsidR="0003234F" w:rsidRPr="00D40D66" w:rsidRDefault="0003234F" w:rsidP="0003234F">
            <w:pPr>
              <w:spacing w:before="0"/>
              <w:rPr>
                <w:sz w:val="16"/>
                <w:szCs w:val="16"/>
                <w:lang w:eastAsia="en-GB"/>
              </w:rPr>
            </w:pPr>
            <w:r w:rsidRPr="00D40D66">
              <w:rPr>
                <w:sz w:val="16"/>
                <w:szCs w:val="16"/>
                <w:lang w:eastAsia="en-GB"/>
              </w:rPr>
              <w:t>6 967</w:t>
            </w:r>
            <w:r w:rsidR="004F66DB" w:rsidRPr="00D40D66">
              <w:rPr>
                <w:sz w:val="16"/>
                <w:szCs w:val="16"/>
                <w:lang w:eastAsia="en-GB"/>
              </w:rPr>
              <w:t>,</w:t>
            </w:r>
            <w:r w:rsidRPr="00D40D66">
              <w:rPr>
                <w:sz w:val="16"/>
                <w:szCs w:val="16"/>
                <w:lang w:eastAsia="en-GB"/>
              </w:rPr>
              <w:t>55</w:t>
            </w:r>
          </w:p>
        </w:tc>
      </w:tr>
      <w:tr w:rsidR="0003234F" w:rsidRPr="00D40D66" w14:paraId="4DE7FFF3"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42E18EE1" w14:textId="45001E16" w:rsidR="0003234F" w:rsidRPr="00D40D66" w:rsidRDefault="008F3B46" w:rsidP="00864F9A">
            <w:pPr>
              <w:spacing w:before="0"/>
              <w:rPr>
                <w:sz w:val="16"/>
                <w:szCs w:val="16"/>
                <w:lang w:eastAsia="en-GB"/>
              </w:rPr>
            </w:pPr>
            <w:r w:rsidRPr="00D40D66">
              <w:rPr>
                <w:rFonts w:hint="cs"/>
                <w:sz w:val="16"/>
                <w:szCs w:val="16"/>
                <w:rtl/>
                <w:lang w:eastAsia="en-GB"/>
              </w:rPr>
              <w:t>المملكة المتحدة</w:t>
            </w:r>
          </w:p>
        </w:tc>
        <w:tc>
          <w:tcPr>
            <w:tcW w:w="3678" w:type="dxa"/>
            <w:tcBorders>
              <w:top w:val="nil"/>
              <w:left w:val="nil"/>
              <w:bottom w:val="single" w:sz="4" w:space="0" w:color="auto"/>
              <w:right w:val="single" w:sz="4" w:space="0" w:color="auto"/>
            </w:tcBorders>
            <w:shd w:val="clear" w:color="000000" w:fill="FFFFFF"/>
            <w:hideMark/>
          </w:tcPr>
          <w:p w14:paraId="6233313E" w14:textId="77777777" w:rsidR="0003234F" w:rsidRPr="00D40D66" w:rsidRDefault="0003234F" w:rsidP="00CC68EE">
            <w:pPr>
              <w:bidi w:val="0"/>
              <w:spacing w:before="0"/>
              <w:jc w:val="left"/>
              <w:rPr>
                <w:sz w:val="16"/>
                <w:szCs w:val="16"/>
                <w:lang w:eastAsia="en-GB"/>
              </w:rPr>
            </w:pPr>
            <w:r w:rsidRPr="00D40D66">
              <w:rPr>
                <w:sz w:val="16"/>
                <w:szCs w:val="16"/>
                <w:lang w:eastAsia="en-GB"/>
              </w:rPr>
              <w:t>KRE Corporate Recovery LLP (former ICO Satellite Limited), Berks</w:t>
            </w:r>
          </w:p>
        </w:tc>
        <w:tc>
          <w:tcPr>
            <w:tcW w:w="1125" w:type="dxa"/>
            <w:tcBorders>
              <w:top w:val="nil"/>
              <w:left w:val="nil"/>
              <w:bottom w:val="single" w:sz="4" w:space="0" w:color="auto"/>
              <w:right w:val="single" w:sz="4" w:space="0" w:color="auto"/>
            </w:tcBorders>
            <w:shd w:val="clear" w:color="000000" w:fill="FFFFFF"/>
            <w:hideMark/>
          </w:tcPr>
          <w:p w14:paraId="60F4F9C1" w14:textId="6B08DCDB" w:rsidR="0003234F" w:rsidRPr="00D40D66" w:rsidRDefault="0003234F" w:rsidP="00864F9A">
            <w:pPr>
              <w:spacing w:before="0"/>
              <w:jc w:val="center"/>
              <w:rPr>
                <w:sz w:val="16"/>
                <w:szCs w:val="16"/>
                <w:lang w:eastAsia="en-GB"/>
              </w:rPr>
            </w:pPr>
            <w:r w:rsidRPr="00D40D66">
              <w:rPr>
                <w:rFonts w:hint="cs"/>
                <w:sz w:val="16"/>
                <w:szCs w:val="16"/>
                <w:rtl/>
                <w:lang w:eastAsia="en-GB"/>
              </w:rPr>
              <w:t>2012-2013</w:t>
            </w:r>
          </w:p>
        </w:tc>
        <w:tc>
          <w:tcPr>
            <w:tcW w:w="1099" w:type="dxa"/>
            <w:tcBorders>
              <w:top w:val="nil"/>
              <w:left w:val="nil"/>
              <w:bottom w:val="single" w:sz="4" w:space="0" w:color="auto"/>
              <w:right w:val="single" w:sz="4" w:space="0" w:color="auto"/>
            </w:tcBorders>
            <w:shd w:val="clear" w:color="000000" w:fill="FFFFFF"/>
            <w:hideMark/>
          </w:tcPr>
          <w:p w14:paraId="311E3FF9" w14:textId="5C51C1D2" w:rsidR="0003234F" w:rsidRPr="00D40D66" w:rsidRDefault="0003234F" w:rsidP="0003234F">
            <w:pPr>
              <w:spacing w:before="0"/>
              <w:rPr>
                <w:sz w:val="16"/>
                <w:szCs w:val="16"/>
                <w:lang w:eastAsia="en-GB"/>
              </w:rPr>
            </w:pPr>
            <w:r w:rsidRPr="00D40D66">
              <w:rPr>
                <w:sz w:val="16"/>
                <w:szCs w:val="16"/>
                <w:lang w:eastAsia="en-GB"/>
              </w:rPr>
              <w:t>24 733,20</w:t>
            </w:r>
          </w:p>
        </w:tc>
        <w:tc>
          <w:tcPr>
            <w:tcW w:w="1118" w:type="dxa"/>
            <w:tcBorders>
              <w:top w:val="nil"/>
              <w:left w:val="nil"/>
              <w:bottom w:val="single" w:sz="4" w:space="0" w:color="auto"/>
              <w:right w:val="single" w:sz="4" w:space="0" w:color="auto"/>
            </w:tcBorders>
            <w:shd w:val="clear" w:color="000000" w:fill="FFFFFF"/>
            <w:hideMark/>
          </w:tcPr>
          <w:p w14:paraId="70890BA5" w14:textId="5390F16B" w:rsidR="0003234F" w:rsidRPr="00D40D66" w:rsidRDefault="0003234F" w:rsidP="0003234F">
            <w:pPr>
              <w:spacing w:before="0"/>
              <w:rPr>
                <w:sz w:val="16"/>
                <w:szCs w:val="16"/>
                <w:lang w:eastAsia="en-GB"/>
              </w:rPr>
            </w:pPr>
            <w:r w:rsidRPr="00D40D66">
              <w:rPr>
                <w:sz w:val="16"/>
                <w:szCs w:val="16"/>
                <w:lang w:eastAsia="en-GB"/>
              </w:rPr>
              <w:t>2 082</w:t>
            </w:r>
            <w:r w:rsidR="004F66DB" w:rsidRPr="00D40D66">
              <w:rPr>
                <w:sz w:val="16"/>
                <w:szCs w:val="16"/>
                <w:lang w:eastAsia="en-GB"/>
              </w:rPr>
              <w:t>,</w:t>
            </w:r>
            <w:r w:rsidRPr="00D40D66">
              <w:rPr>
                <w:sz w:val="16"/>
                <w:szCs w:val="16"/>
                <w:lang w:eastAsia="en-GB"/>
              </w:rPr>
              <w:t>30</w:t>
            </w:r>
          </w:p>
        </w:tc>
        <w:tc>
          <w:tcPr>
            <w:tcW w:w="1196" w:type="dxa"/>
            <w:tcBorders>
              <w:top w:val="nil"/>
              <w:left w:val="nil"/>
              <w:bottom w:val="single" w:sz="4" w:space="0" w:color="auto"/>
              <w:right w:val="single" w:sz="4" w:space="0" w:color="auto"/>
            </w:tcBorders>
            <w:shd w:val="clear" w:color="000000" w:fill="FFFFFF"/>
            <w:hideMark/>
          </w:tcPr>
          <w:p w14:paraId="5490B120" w14:textId="7BDB8317" w:rsidR="0003234F" w:rsidRPr="00D40D66" w:rsidRDefault="0003234F" w:rsidP="0003234F">
            <w:pPr>
              <w:spacing w:before="0"/>
              <w:rPr>
                <w:sz w:val="16"/>
                <w:szCs w:val="16"/>
                <w:lang w:eastAsia="en-GB"/>
              </w:rPr>
            </w:pPr>
            <w:r w:rsidRPr="00D40D66">
              <w:rPr>
                <w:sz w:val="16"/>
                <w:szCs w:val="16"/>
                <w:lang w:eastAsia="en-GB"/>
              </w:rPr>
              <w:t>26 815</w:t>
            </w:r>
            <w:r w:rsidR="004F66DB" w:rsidRPr="00D40D66">
              <w:rPr>
                <w:sz w:val="16"/>
                <w:szCs w:val="16"/>
                <w:lang w:eastAsia="en-GB"/>
              </w:rPr>
              <w:t>,</w:t>
            </w:r>
            <w:r w:rsidRPr="00D40D66">
              <w:rPr>
                <w:sz w:val="16"/>
                <w:szCs w:val="16"/>
                <w:lang w:eastAsia="en-GB"/>
              </w:rPr>
              <w:t>50</w:t>
            </w:r>
          </w:p>
        </w:tc>
      </w:tr>
      <w:tr w:rsidR="0003234F" w:rsidRPr="00D40D66" w14:paraId="21C05CC3"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5852F99F" w14:textId="1A20535C" w:rsidR="0003234F" w:rsidRPr="00D40D66" w:rsidRDefault="008F3B46" w:rsidP="00864F9A">
            <w:pPr>
              <w:spacing w:before="0"/>
              <w:rPr>
                <w:sz w:val="16"/>
                <w:szCs w:val="16"/>
                <w:lang w:eastAsia="en-GB"/>
              </w:rPr>
            </w:pPr>
            <w:r w:rsidRPr="00D40D66">
              <w:rPr>
                <w:rFonts w:hint="cs"/>
                <w:sz w:val="16"/>
                <w:szCs w:val="16"/>
                <w:rtl/>
                <w:lang w:eastAsia="en-GB"/>
              </w:rPr>
              <w:t>الولايات المتحدة</w:t>
            </w:r>
          </w:p>
        </w:tc>
        <w:tc>
          <w:tcPr>
            <w:tcW w:w="3678" w:type="dxa"/>
            <w:tcBorders>
              <w:top w:val="nil"/>
              <w:left w:val="nil"/>
              <w:bottom w:val="single" w:sz="4" w:space="0" w:color="auto"/>
              <w:right w:val="single" w:sz="4" w:space="0" w:color="auto"/>
            </w:tcBorders>
            <w:shd w:val="clear" w:color="000000" w:fill="FFFFFF"/>
            <w:hideMark/>
          </w:tcPr>
          <w:p w14:paraId="023F3BA2" w14:textId="77777777" w:rsidR="0003234F" w:rsidRPr="00D40D66" w:rsidRDefault="0003234F" w:rsidP="00CC68EE">
            <w:pPr>
              <w:bidi w:val="0"/>
              <w:spacing w:before="0"/>
              <w:jc w:val="left"/>
              <w:rPr>
                <w:sz w:val="16"/>
                <w:szCs w:val="16"/>
                <w:lang w:eastAsia="en-GB"/>
              </w:rPr>
            </w:pPr>
            <w:proofErr w:type="spellStart"/>
            <w:r w:rsidRPr="00D40D66">
              <w:rPr>
                <w:sz w:val="16"/>
                <w:szCs w:val="16"/>
                <w:lang w:eastAsia="en-GB"/>
              </w:rPr>
              <w:t>Animatele</w:t>
            </w:r>
            <w:proofErr w:type="spellEnd"/>
            <w:r w:rsidRPr="00D40D66">
              <w:rPr>
                <w:sz w:val="16"/>
                <w:szCs w:val="16"/>
                <w:lang w:eastAsia="en-GB"/>
              </w:rPr>
              <w:t xml:space="preserve"> Inc., New York</w:t>
            </w:r>
          </w:p>
        </w:tc>
        <w:tc>
          <w:tcPr>
            <w:tcW w:w="1125" w:type="dxa"/>
            <w:tcBorders>
              <w:top w:val="nil"/>
              <w:left w:val="nil"/>
              <w:bottom w:val="single" w:sz="4" w:space="0" w:color="auto"/>
              <w:right w:val="single" w:sz="4" w:space="0" w:color="auto"/>
            </w:tcBorders>
            <w:shd w:val="clear" w:color="000000" w:fill="FFFFFF"/>
            <w:noWrap/>
            <w:hideMark/>
          </w:tcPr>
          <w:p w14:paraId="4EDF546C" w14:textId="77777777" w:rsidR="0003234F" w:rsidRPr="00D40D66" w:rsidRDefault="0003234F" w:rsidP="00864F9A">
            <w:pPr>
              <w:spacing w:before="0"/>
              <w:jc w:val="center"/>
              <w:rPr>
                <w:sz w:val="16"/>
                <w:szCs w:val="16"/>
                <w:lang w:eastAsia="en-GB"/>
              </w:rPr>
            </w:pPr>
            <w:r w:rsidRPr="00D40D66">
              <w:rPr>
                <w:sz w:val="16"/>
                <w:szCs w:val="16"/>
                <w:lang w:eastAsia="en-GB"/>
              </w:rPr>
              <w:t>2011</w:t>
            </w:r>
          </w:p>
        </w:tc>
        <w:tc>
          <w:tcPr>
            <w:tcW w:w="1099" w:type="dxa"/>
            <w:tcBorders>
              <w:top w:val="nil"/>
              <w:left w:val="nil"/>
              <w:bottom w:val="single" w:sz="4" w:space="0" w:color="auto"/>
              <w:right w:val="single" w:sz="4" w:space="0" w:color="auto"/>
            </w:tcBorders>
            <w:shd w:val="clear" w:color="000000" w:fill="FFFFFF"/>
            <w:hideMark/>
          </w:tcPr>
          <w:p w14:paraId="68B69145" w14:textId="69AB211E" w:rsidR="0003234F" w:rsidRPr="00D40D66" w:rsidRDefault="0003234F" w:rsidP="0003234F">
            <w:pPr>
              <w:spacing w:before="0"/>
              <w:rPr>
                <w:sz w:val="16"/>
                <w:szCs w:val="16"/>
                <w:lang w:eastAsia="en-GB"/>
              </w:rPr>
            </w:pPr>
            <w:r w:rsidRPr="00D40D66">
              <w:rPr>
                <w:sz w:val="16"/>
                <w:szCs w:val="16"/>
                <w:lang w:eastAsia="en-GB"/>
              </w:rPr>
              <w:t>10 600,00</w:t>
            </w:r>
          </w:p>
        </w:tc>
        <w:tc>
          <w:tcPr>
            <w:tcW w:w="1118" w:type="dxa"/>
            <w:tcBorders>
              <w:top w:val="nil"/>
              <w:left w:val="nil"/>
              <w:bottom w:val="single" w:sz="4" w:space="0" w:color="auto"/>
              <w:right w:val="single" w:sz="4" w:space="0" w:color="auto"/>
            </w:tcBorders>
            <w:shd w:val="clear" w:color="000000" w:fill="FFFFFF"/>
            <w:hideMark/>
          </w:tcPr>
          <w:p w14:paraId="3EEFF356" w14:textId="2CBE415A" w:rsidR="0003234F" w:rsidRPr="00D40D66" w:rsidRDefault="0003234F" w:rsidP="0003234F">
            <w:pPr>
              <w:spacing w:before="0"/>
              <w:rPr>
                <w:sz w:val="16"/>
                <w:szCs w:val="16"/>
                <w:lang w:eastAsia="en-GB"/>
              </w:rPr>
            </w:pPr>
            <w:r w:rsidRPr="00D40D66">
              <w:rPr>
                <w:sz w:val="16"/>
                <w:szCs w:val="16"/>
                <w:lang w:eastAsia="en-GB"/>
              </w:rPr>
              <w:t>10 276</w:t>
            </w:r>
            <w:r w:rsidR="004F66DB" w:rsidRPr="00D40D66">
              <w:rPr>
                <w:sz w:val="16"/>
                <w:szCs w:val="16"/>
                <w:lang w:eastAsia="en-GB"/>
              </w:rPr>
              <w:t>,</w:t>
            </w:r>
            <w:r w:rsidRPr="00D40D66">
              <w:rPr>
                <w:sz w:val="16"/>
                <w:szCs w:val="16"/>
                <w:lang w:eastAsia="en-GB"/>
              </w:rPr>
              <w:t>55</w:t>
            </w:r>
          </w:p>
        </w:tc>
        <w:tc>
          <w:tcPr>
            <w:tcW w:w="1196" w:type="dxa"/>
            <w:tcBorders>
              <w:top w:val="nil"/>
              <w:left w:val="nil"/>
              <w:bottom w:val="single" w:sz="4" w:space="0" w:color="auto"/>
              <w:right w:val="single" w:sz="4" w:space="0" w:color="auto"/>
            </w:tcBorders>
            <w:shd w:val="clear" w:color="000000" w:fill="FFFFFF"/>
            <w:hideMark/>
          </w:tcPr>
          <w:p w14:paraId="1656F9F8" w14:textId="6B273B24" w:rsidR="0003234F" w:rsidRPr="00D40D66" w:rsidRDefault="0003234F" w:rsidP="0003234F">
            <w:pPr>
              <w:spacing w:before="0"/>
              <w:rPr>
                <w:sz w:val="16"/>
                <w:szCs w:val="16"/>
                <w:lang w:eastAsia="en-GB"/>
              </w:rPr>
            </w:pPr>
            <w:r w:rsidRPr="00D40D66">
              <w:rPr>
                <w:sz w:val="16"/>
                <w:szCs w:val="16"/>
                <w:lang w:eastAsia="en-GB"/>
              </w:rPr>
              <w:t>20 876</w:t>
            </w:r>
            <w:r w:rsidR="004F66DB" w:rsidRPr="00D40D66">
              <w:rPr>
                <w:sz w:val="16"/>
                <w:szCs w:val="16"/>
                <w:lang w:eastAsia="en-GB"/>
              </w:rPr>
              <w:t>,</w:t>
            </w:r>
            <w:r w:rsidRPr="00D40D66">
              <w:rPr>
                <w:sz w:val="16"/>
                <w:szCs w:val="16"/>
                <w:lang w:eastAsia="en-GB"/>
              </w:rPr>
              <w:t>55</w:t>
            </w:r>
          </w:p>
        </w:tc>
      </w:tr>
      <w:tr w:rsidR="0003234F" w:rsidRPr="00D40D66" w14:paraId="0A26B672"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6BB36B1F" w14:textId="4C873424" w:rsidR="0003234F" w:rsidRPr="00D40D66" w:rsidRDefault="008F3B46" w:rsidP="00864F9A">
            <w:pPr>
              <w:spacing w:before="0"/>
              <w:rPr>
                <w:sz w:val="16"/>
                <w:szCs w:val="16"/>
                <w:lang w:eastAsia="en-GB"/>
              </w:rPr>
            </w:pPr>
            <w:r w:rsidRPr="00D40D66">
              <w:rPr>
                <w:rFonts w:hint="cs"/>
                <w:sz w:val="16"/>
                <w:szCs w:val="16"/>
                <w:rtl/>
                <w:lang w:eastAsia="en-GB"/>
              </w:rPr>
              <w:t>الولايات المتحدة</w:t>
            </w:r>
          </w:p>
        </w:tc>
        <w:tc>
          <w:tcPr>
            <w:tcW w:w="3678" w:type="dxa"/>
            <w:tcBorders>
              <w:top w:val="nil"/>
              <w:left w:val="nil"/>
              <w:bottom w:val="single" w:sz="4" w:space="0" w:color="auto"/>
              <w:right w:val="single" w:sz="4" w:space="0" w:color="auto"/>
            </w:tcBorders>
            <w:shd w:val="clear" w:color="000000" w:fill="FFFFFF"/>
            <w:hideMark/>
          </w:tcPr>
          <w:p w14:paraId="5D216CA3" w14:textId="77777777" w:rsidR="0003234F" w:rsidRPr="00D40D66" w:rsidRDefault="0003234F" w:rsidP="00CC68EE">
            <w:pPr>
              <w:bidi w:val="0"/>
              <w:spacing w:before="0"/>
              <w:jc w:val="left"/>
              <w:rPr>
                <w:sz w:val="16"/>
                <w:szCs w:val="16"/>
                <w:lang w:eastAsia="en-GB"/>
              </w:rPr>
            </w:pPr>
            <w:r w:rsidRPr="00D40D66">
              <w:rPr>
                <w:sz w:val="16"/>
                <w:szCs w:val="16"/>
                <w:lang w:eastAsia="en-GB"/>
              </w:rPr>
              <w:t>AOL, New York</w:t>
            </w:r>
          </w:p>
        </w:tc>
        <w:tc>
          <w:tcPr>
            <w:tcW w:w="1125" w:type="dxa"/>
            <w:tcBorders>
              <w:top w:val="nil"/>
              <w:left w:val="nil"/>
              <w:bottom w:val="single" w:sz="4" w:space="0" w:color="auto"/>
              <w:right w:val="single" w:sz="4" w:space="0" w:color="auto"/>
            </w:tcBorders>
            <w:shd w:val="clear" w:color="000000" w:fill="FFFFFF"/>
            <w:noWrap/>
            <w:hideMark/>
          </w:tcPr>
          <w:p w14:paraId="6651841A" w14:textId="5F3613A4" w:rsidR="0003234F" w:rsidRPr="00D40D66" w:rsidRDefault="0003234F" w:rsidP="00864F9A">
            <w:pPr>
              <w:spacing w:before="0"/>
              <w:jc w:val="center"/>
              <w:rPr>
                <w:sz w:val="16"/>
                <w:szCs w:val="16"/>
                <w:lang w:eastAsia="en-GB"/>
              </w:rPr>
            </w:pPr>
            <w:r w:rsidRPr="00D40D66">
              <w:rPr>
                <w:sz w:val="16"/>
                <w:szCs w:val="16"/>
                <w:lang w:eastAsia="en-GB"/>
              </w:rPr>
              <w:t>2002</w:t>
            </w:r>
            <w:r w:rsidR="008F3B46" w:rsidRPr="00D40D66">
              <w:rPr>
                <w:rFonts w:hint="cs"/>
                <w:sz w:val="16"/>
                <w:szCs w:val="16"/>
                <w:rtl/>
                <w:lang w:eastAsia="en-GB"/>
              </w:rPr>
              <w:t>-</w:t>
            </w:r>
            <w:r w:rsidRPr="00D40D66">
              <w:rPr>
                <w:sz w:val="16"/>
                <w:szCs w:val="16"/>
                <w:lang w:eastAsia="en-GB"/>
              </w:rPr>
              <w:t>2003</w:t>
            </w:r>
          </w:p>
        </w:tc>
        <w:tc>
          <w:tcPr>
            <w:tcW w:w="1099" w:type="dxa"/>
            <w:tcBorders>
              <w:top w:val="nil"/>
              <w:left w:val="nil"/>
              <w:bottom w:val="single" w:sz="4" w:space="0" w:color="auto"/>
              <w:right w:val="single" w:sz="4" w:space="0" w:color="auto"/>
            </w:tcBorders>
            <w:shd w:val="clear" w:color="000000" w:fill="FFFFFF"/>
            <w:hideMark/>
          </w:tcPr>
          <w:p w14:paraId="6045BFF2" w14:textId="7436E330" w:rsidR="0003234F" w:rsidRPr="00D40D66" w:rsidRDefault="0003234F" w:rsidP="0003234F">
            <w:pPr>
              <w:spacing w:before="0"/>
              <w:rPr>
                <w:sz w:val="16"/>
                <w:szCs w:val="16"/>
                <w:lang w:eastAsia="en-GB"/>
              </w:rPr>
            </w:pPr>
            <w:r w:rsidRPr="00D40D66">
              <w:rPr>
                <w:sz w:val="16"/>
                <w:szCs w:val="16"/>
                <w:lang w:eastAsia="en-GB"/>
              </w:rPr>
              <w:t>78 750,00</w:t>
            </w:r>
          </w:p>
        </w:tc>
        <w:tc>
          <w:tcPr>
            <w:tcW w:w="1118" w:type="dxa"/>
            <w:tcBorders>
              <w:top w:val="nil"/>
              <w:left w:val="nil"/>
              <w:bottom w:val="single" w:sz="4" w:space="0" w:color="auto"/>
              <w:right w:val="single" w:sz="4" w:space="0" w:color="auto"/>
            </w:tcBorders>
            <w:shd w:val="clear" w:color="000000" w:fill="FFFFFF"/>
            <w:hideMark/>
          </w:tcPr>
          <w:p w14:paraId="6EE19355" w14:textId="6DEF58D3" w:rsidR="0003234F" w:rsidRPr="00D40D66" w:rsidRDefault="0003234F" w:rsidP="0003234F">
            <w:pPr>
              <w:spacing w:before="0"/>
              <w:rPr>
                <w:sz w:val="16"/>
                <w:szCs w:val="16"/>
                <w:lang w:eastAsia="en-GB"/>
              </w:rPr>
            </w:pPr>
            <w:r w:rsidRPr="00D40D66">
              <w:rPr>
                <w:sz w:val="16"/>
                <w:szCs w:val="16"/>
                <w:lang w:eastAsia="en-GB"/>
              </w:rPr>
              <w:t>175 431</w:t>
            </w:r>
            <w:r w:rsidR="004F66DB" w:rsidRPr="00D40D66">
              <w:rPr>
                <w:sz w:val="16"/>
                <w:szCs w:val="16"/>
                <w:lang w:eastAsia="en-GB"/>
              </w:rPr>
              <w:t>,</w:t>
            </w:r>
            <w:r w:rsidRPr="00D40D66">
              <w:rPr>
                <w:sz w:val="16"/>
                <w:szCs w:val="16"/>
                <w:lang w:eastAsia="en-GB"/>
              </w:rPr>
              <w:t>40</w:t>
            </w:r>
          </w:p>
        </w:tc>
        <w:tc>
          <w:tcPr>
            <w:tcW w:w="1196" w:type="dxa"/>
            <w:tcBorders>
              <w:top w:val="nil"/>
              <w:left w:val="nil"/>
              <w:bottom w:val="single" w:sz="4" w:space="0" w:color="auto"/>
              <w:right w:val="single" w:sz="4" w:space="0" w:color="auto"/>
            </w:tcBorders>
            <w:shd w:val="clear" w:color="000000" w:fill="FFFFFF"/>
            <w:hideMark/>
          </w:tcPr>
          <w:p w14:paraId="5EDE1DB6" w14:textId="48C1C43F" w:rsidR="0003234F" w:rsidRPr="00D40D66" w:rsidRDefault="0003234F" w:rsidP="0003234F">
            <w:pPr>
              <w:spacing w:before="0"/>
              <w:rPr>
                <w:sz w:val="16"/>
                <w:szCs w:val="16"/>
                <w:lang w:eastAsia="en-GB"/>
              </w:rPr>
            </w:pPr>
            <w:r w:rsidRPr="00D40D66">
              <w:rPr>
                <w:sz w:val="16"/>
                <w:szCs w:val="16"/>
                <w:lang w:eastAsia="en-GB"/>
              </w:rPr>
              <w:t>254 181</w:t>
            </w:r>
            <w:r w:rsidR="004F66DB" w:rsidRPr="00D40D66">
              <w:rPr>
                <w:sz w:val="16"/>
                <w:szCs w:val="16"/>
                <w:lang w:eastAsia="en-GB"/>
              </w:rPr>
              <w:t>,</w:t>
            </w:r>
            <w:r w:rsidRPr="00D40D66">
              <w:rPr>
                <w:sz w:val="16"/>
                <w:szCs w:val="16"/>
                <w:lang w:eastAsia="en-GB"/>
              </w:rPr>
              <w:t>40</w:t>
            </w:r>
          </w:p>
        </w:tc>
      </w:tr>
      <w:tr w:rsidR="0003234F" w:rsidRPr="00D40D66" w14:paraId="1BC53AAA"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0A31F967" w14:textId="5CF47BFC" w:rsidR="0003234F" w:rsidRPr="00D40D66" w:rsidRDefault="008F3B46" w:rsidP="00864F9A">
            <w:pPr>
              <w:spacing w:before="0"/>
              <w:rPr>
                <w:sz w:val="16"/>
                <w:szCs w:val="16"/>
                <w:lang w:eastAsia="en-GB"/>
              </w:rPr>
            </w:pPr>
            <w:r w:rsidRPr="00D40D66">
              <w:rPr>
                <w:rFonts w:hint="cs"/>
                <w:sz w:val="16"/>
                <w:szCs w:val="16"/>
                <w:rtl/>
                <w:lang w:eastAsia="en-GB"/>
              </w:rPr>
              <w:t>الولايات المتحدة</w:t>
            </w:r>
          </w:p>
        </w:tc>
        <w:tc>
          <w:tcPr>
            <w:tcW w:w="3678" w:type="dxa"/>
            <w:tcBorders>
              <w:top w:val="nil"/>
              <w:left w:val="nil"/>
              <w:bottom w:val="single" w:sz="4" w:space="0" w:color="auto"/>
              <w:right w:val="single" w:sz="4" w:space="0" w:color="auto"/>
            </w:tcBorders>
            <w:shd w:val="clear" w:color="000000" w:fill="FFFFFF"/>
            <w:hideMark/>
          </w:tcPr>
          <w:p w14:paraId="3A398A8F" w14:textId="77777777" w:rsidR="0003234F" w:rsidRPr="00D40D66" w:rsidRDefault="0003234F" w:rsidP="00CC68EE">
            <w:pPr>
              <w:bidi w:val="0"/>
              <w:spacing w:before="0"/>
              <w:jc w:val="left"/>
              <w:rPr>
                <w:sz w:val="16"/>
                <w:szCs w:val="16"/>
                <w:lang w:eastAsia="en-GB"/>
              </w:rPr>
            </w:pPr>
            <w:r w:rsidRPr="00D40D66">
              <w:rPr>
                <w:sz w:val="16"/>
                <w:szCs w:val="16"/>
                <w:lang w:eastAsia="en-GB"/>
              </w:rPr>
              <w:t>Compuware Corporation, Detroit</w:t>
            </w:r>
          </w:p>
        </w:tc>
        <w:tc>
          <w:tcPr>
            <w:tcW w:w="1125" w:type="dxa"/>
            <w:tcBorders>
              <w:top w:val="nil"/>
              <w:left w:val="nil"/>
              <w:bottom w:val="single" w:sz="4" w:space="0" w:color="auto"/>
              <w:right w:val="single" w:sz="4" w:space="0" w:color="auto"/>
            </w:tcBorders>
            <w:shd w:val="clear" w:color="000000" w:fill="FFFFFF"/>
            <w:noWrap/>
            <w:hideMark/>
          </w:tcPr>
          <w:p w14:paraId="4C8554E2" w14:textId="39BD2F2B" w:rsidR="0003234F" w:rsidRPr="00D40D66" w:rsidRDefault="0003234F" w:rsidP="00864F9A">
            <w:pPr>
              <w:spacing w:before="0"/>
              <w:jc w:val="center"/>
              <w:rPr>
                <w:sz w:val="16"/>
                <w:szCs w:val="16"/>
                <w:lang w:eastAsia="en-GB"/>
              </w:rPr>
            </w:pPr>
            <w:r w:rsidRPr="00D40D66">
              <w:rPr>
                <w:rFonts w:hint="cs"/>
                <w:sz w:val="16"/>
                <w:szCs w:val="16"/>
                <w:rtl/>
                <w:lang w:eastAsia="en-GB"/>
              </w:rPr>
              <w:t>2009-2010</w:t>
            </w:r>
          </w:p>
        </w:tc>
        <w:tc>
          <w:tcPr>
            <w:tcW w:w="1099" w:type="dxa"/>
            <w:tcBorders>
              <w:top w:val="nil"/>
              <w:left w:val="nil"/>
              <w:bottom w:val="single" w:sz="4" w:space="0" w:color="auto"/>
              <w:right w:val="single" w:sz="4" w:space="0" w:color="auto"/>
            </w:tcBorders>
            <w:shd w:val="clear" w:color="000000" w:fill="FFFFFF"/>
            <w:hideMark/>
          </w:tcPr>
          <w:p w14:paraId="32164023" w14:textId="104E45E6" w:rsidR="0003234F" w:rsidRPr="00D40D66" w:rsidRDefault="0003234F" w:rsidP="0003234F">
            <w:pPr>
              <w:spacing w:before="0"/>
              <w:rPr>
                <w:sz w:val="16"/>
                <w:szCs w:val="16"/>
                <w:lang w:eastAsia="en-GB"/>
              </w:rPr>
            </w:pPr>
            <w:r w:rsidRPr="00D40D66">
              <w:rPr>
                <w:sz w:val="16"/>
                <w:szCs w:val="16"/>
                <w:lang w:eastAsia="en-GB"/>
              </w:rPr>
              <w:t>7 949,70</w:t>
            </w:r>
          </w:p>
        </w:tc>
        <w:tc>
          <w:tcPr>
            <w:tcW w:w="1118" w:type="dxa"/>
            <w:tcBorders>
              <w:top w:val="nil"/>
              <w:left w:val="nil"/>
              <w:bottom w:val="single" w:sz="4" w:space="0" w:color="auto"/>
              <w:right w:val="single" w:sz="4" w:space="0" w:color="auto"/>
            </w:tcBorders>
            <w:shd w:val="clear" w:color="000000" w:fill="FFFFFF"/>
            <w:hideMark/>
          </w:tcPr>
          <w:p w14:paraId="1AA756FC" w14:textId="45B86CF2" w:rsidR="0003234F" w:rsidRPr="00D40D66" w:rsidRDefault="0003234F" w:rsidP="0003234F">
            <w:pPr>
              <w:spacing w:before="0"/>
              <w:rPr>
                <w:sz w:val="16"/>
                <w:szCs w:val="16"/>
                <w:lang w:eastAsia="en-GB"/>
              </w:rPr>
            </w:pPr>
            <w:r w:rsidRPr="00D40D66">
              <w:rPr>
                <w:sz w:val="16"/>
                <w:szCs w:val="16"/>
                <w:lang w:eastAsia="en-GB"/>
              </w:rPr>
              <w:t>8 826</w:t>
            </w:r>
            <w:r w:rsidR="004F66DB" w:rsidRPr="00D40D66">
              <w:rPr>
                <w:sz w:val="16"/>
                <w:szCs w:val="16"/>
                <w:lang w:eastAsia="en-GB"/>
              </w:rPr>
              <w:t>,</w:t>
            </w:r>
            <w:r w:rsidRPr="00D40D66">
              <w:rPr>
                <w:sz w:val="16"/>
                <w:szCs w:val="16"/>
                <w:lang w:eastAsia="en-GB"/>
              </w:rPr>
              <w:t>10</w:t>
            </w:r>
          </w:p>
        </w:tc>
        <w:tc>
          <w:tcPr>
            <w:tcW w:w="1196" w:type="dxa"/>
            <w:tcBorders>
              <w:top w:val="nil"/>
              <w:left w:val="nil"/>
              <w:bottom w:val="single" w:sz="4" w:space="0" w:color="auto"/>
              <w:right w:val="single" w:sz="4" w:space="0" w:color="auto"/>
            </w:tcBorders>
            <w:shd w:val="clear" w:color="000000" w:fill="FFFFFF"/>
            <w:hideMark/>
          </w:tcPr>
          <w:p w14:paraId="20C0B3FA" w14:textId="2A7C1E19" w:rsidR="0003234F" w:rsidRPr="00D40D66" w:rsidRDefault="0003234F" w:rsidP="0003234F">
            <w:pPr>
              <w:spacing w:before="0"/>
              <w:rPr>
                <w:sz w:val="16"/>
                <w:szCs w:val="16"/>
                <w:lang w:eastAsia="en-GB"/>
              </w:rPr>
            </w:pPr>
            <w:r w:rsidRPr="00D40D66">
              <w:rPr>
                <w:sz w:val="16"/>
                <w:szCs w:val="16"/>
                <w:lang w:eastAsia="en-GB"/>
              </w:rPr>
              <w:t>16 775</w:t>
            </w:r>
            <w:r w:rsidR="004F66DB" w:rsidRPr="00D40D66">
              <w:rPr>
                <w:sz w:val="16"/>
                <w:szCs w:val="16"/>
                <w:lang w:eastAsia="en-GB"/>
              </w:rPr>
              <w:t>,</w:t>
            </w:r>
            <w:r w:rsidRPr="00D40D66">
              <w:rPr>
                <w:sz w:val="16"/>
                <w:szCs w:val="16"/>
                <w:lang w:eastAsia="en-GB"/>
              </w:rPr>
              <w:t>80</w:t>
            </w:r>
          </w:p>
        </w:tc>
      </w:tr>
      <w:tr w:rsidR="0003234F" w:rsidRPr="00D40D66" w14:paraId="013CCAC5"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7868521D" w14:textId="42B51F6D" w:rsidR="0003234F" w:rsidRPr="00D40D66" w:rsidRDefault="008F3B46" w:rsidP="00864F9A">
            <w:pPr>
              <w:spacing w:before="0"/>
              <w:rPr>
                <w:sz w:val="16"/>
                <w:szCs w:val="16"/>
                <w:lang w:eastAsia="en-GB"/>
              </w:rPr>
            </w:pPr>
            <w:r w:rsidRPr="00D40D66">
              <w:rPr>
                <w:rFonts w:hint="cs"/>
                <w:sz w:val="16"/>
                <w:szCs w:val="16"/>
                <w:rtl/>
                <w:lang w:eastAsia="en-GB"/>
              </w:rPr>
              <w:t>الولايات المتحدة</w:t>
            </w:r>
          </w:p>
        </w:tc>
        <w:tc>
          <w:tcPr>
            <w:tcW w:w="3678" w:type="dxa"/>
            <w:tcBorders>
              <w:top w:val="nil"/>
              <w:left w:val="nil"/>
              <w:bottom w:val="single" w:sz="4" w:space="0" w:color="auto"/>
              <w:right w:val="single" w:sz="4" w:space="0" w:color="auto"/>
            </w:tcBorders>
            <w:shd w:val="clear" w:color="000000" w:fill="FFFFFF"/>
            <w:hideMark/>
          </w:tcPr>
          <w:p w14:paraId="552311E1" w14:textId="77777777" w:rsidR="0003234F" w:rsidRPr="00D40D66" w:rsidRDefault="0003234F" w:rsidP="00CC68EE">
            <w:pPr>
              <w:bidi w:val="0"/>
              <w:spacing w:before="0"/>
              <w:jc w:val="left"/>
              <w:rPr>
                <w:sz w:val="16"/>
                <w:szCs w:val="16"/>
                <w:lang w:eastAsia="en-GB"/>
              </w:rPr>
            </w:pPr>
            <w:proofErr w:type="spellStart"/>
            <w:r w:rsidRPr="00D40D66">
              <w:rPr>
                <w:sz w:val="16"/>
                <w:szCs w:val="16"/>
                <w:lang w:eastAsia="en-GB"/>
              </w:rPr>
              <w:t>Covad</w:t>
            </w:r>
            <w:proofErr w:type="spellEnd"/>
            <w:r w:rsidRPr="00D40D66">
              <w:rPr>
                <w:sz w:val="16"/>
                <w:szCs w:val="16"/>
                <w:lang w:eastAsia="en-GB"/>
              </w:rPr>
              <w:t xml:space="preserve"> Communications Co., San Jose</w:t>
            </w:r>
          </w:p>
        </w:tc>
        <w:tc>
          <w:tcPr>
            <w:tcW w:w="1125" w:type="dxa"/>
            <w:tcBorders>
              <w:top w:val="nil"/>
              <w:left w:val="nil"/>
              <w:bottom w:val="single" w:sz="4" w:space="0" w:color="auto"/>
              <w:right w:val="single" w:sz="4" w:space="0" w:color="auto"/>
            </w:tcBorders>
            <w:shd w:val="clear" w:color="000000" w:fill="FFFFFF"/>
            <w:noWrap/>
            <w:hideMark/>
          </w:tcPr>
          <w:p w14:paraId="3D71BB95" w14:textId="37D4EDD9" w:rsidR="0003234F" w:rsidRPr="00D40D66" w:rsidRDefault="0003234F" w:rsidP="00864F9A">
            <w:pPr>
              <w:spacing w:before="0"/>
              <w:jc w:val="center"/>
              <w:rPr>
                <w:sz w:val="16"/>
                <w:szCs w:val="16"/>
                <w:lang w:eastAsia="en-GB"/>
              </w:rPr>
            </w:pPr>
            <w:r w:rsidRPr="00D40D66">
              <w:rPr>
                <w:rFonts w:hint="cs"/>
                <w:sz w:val="16"/>
                <w:szCs w:val="16"/>
                <w:rtl/>
                <w:lang w:eastAsia="en-GB"/>
              </w:rPr>
              <w:t>2001-2002</w:t>
            </w:r>
          </w:p>
        </w:tc>
        <w:tc>
          <w:tcPr>
            <w:tcW w:w="1099" w:type="dxa"/>
            <w:tcBorders>
              <w:top w:val="nil"/>
              <w:left w:val="nil"/>
              <w:bottom w:val="single" w:sz="4" w:space="0" w:color="auto"/>
              <w:right w:val="single" w:sz="4" w:space="0" w:color="auto"/>
            </w:tcBorders>
            <w:shd w:val="clear" w:color="000000" w:fill="FFFFFF"/>
            <w:hideMark/>
          </w:tcPr>
          <w:p w14:paraId="4F360A9C" w14:textId="10506A0B" w:rsidR="0003234F" w:rsidRPr="00D40D66" w:rsidRDefault="0003234F" w:rsidP="0003234F">
            <w:pPr>
              <w:spacing w:before="0"/>
              <w:rPr>
                <w:sz w:val="16"/>
                <w:szCs w:val="16"/>
                <w:lang w:eastAsia="en-GB"/>
              </w:rPr>
            </w:pPr>
            <w:r w:rsidRPr="00D40D66">
              <w:rPr>
                <w:sz w:val="16"/>
                <w:szCs w:val="16"/>
                <w:lang w:eastAsia="en-GB"/>
              </w:rPr>
              <w:t>46 142,25</w:t>
            </w:r>
          </w:p>
        </w:tc>
        <w:tc>
          <w:tcPr>
            <w:tcW w:w="1118" w:type="dxa"/>
            <w:tcBorders>
              <w:top w:val="nil"/>
              <w:left w:val="nil"/>
              <w:bottom w:val="single" w:sz="4" w:space="0" w:color="auto"/>
              <w:right w:val="single" w:sz="4" w:space="0" w:color="auto"/>
            </w:tcBorders>
            <w:shd w:val="clear" w:color="000000" w:fill="FFFFFF"/>
            <w:hideMark/>
          </w:tcPr>
          <w:p w14:paraId="6741E773" w14:textId="3EE97D85" w:rsidR="0003234F" w:rsidRPr="00D40D66" w:rsidRDefault="0003234F" w:rsidP="0003234F">
            <w:pPr>
              <w:spacing w:before="0"/>
              <w:rPr>
                <w:sz w:val="16"/>
                <w:szCs w:val="16"/>
                <w:lang w:eastAsia="en-GB"/>
              </w:rPr>
            </w:pPr>
            <w:r w:rsidRPr="00D40D66">
              <w:rPr>
                <w:sz w:val="16"/>
                <w:szCs w:val="16"/>
                <w:lang w:eastAsia="en-GB"/>
              </w:rPr>
              <w:t>113 040</w:t>
            </w:r>
            <w:r w:rsidR="004F66DB" w:rsidRPr="00D40D66">
              <w:rPr>
                <w:sz w:val="16"/>
                <w:szCs w:val="16"/>
                <w:lang w:eastAsia="en-GB"/>
              </w:rPr>
              <w:t>,</w:t>
            </w:r>
            <w:r w:rsidRPr="00D40D66">
              <w:rPr>
                <w:sz w:val="16"/>
                <w:szCs w:val="16"/>
                <w:lang w:eastAsia="en-GB"/>
              </w:rPr>
              <w:t>70</w:t>
            </w:r>
          </w:p>
        </w:tc>
        <w:tc>
          <w:tcPr>
            <w:tcW w:w="1196" w:type="dxa"/>
            <w:tcBorders>
              <w:top w:val="nil"/>
              <w:left w:val="nil"/>
              <w:bottom w:val="single" w:sz="4" w:space="0" w:color="auto"/>
              <w:right w:val="single" w:sz="4" w:space="0" w:color="auto"/>
            </w:tcBorders>
            <w:shd w:val="clear" w:color="000000" w:fill="FFFFFF"/>
            <w:hideMark/>
          </w:tcPr>
          <w:p w14:paraId="66590C61" w14:textId="448C6A7D" w:rsidR="0003234F" w:rsidRPr="00D40D66" w:rsidRDefault="0003234F" w:rsidP="0003234F">
            <w:pPr>
              <w:spacing w:before="0"/>
              <w:rPr>
                <w:sz w:val="16"/>
                <w:szCs w:val="16"/>
                <w:lang w:eastAsia="en-GB"/>
              </w:rPr>
            </w:pPr>
            <w:r w:rsidRPr="00D40D66">
              <w:rPr>
                <w:sz w:val="16"/>
                <w:szCs w:val="16"/>
                <w:lang w:eastAsia="en-GB"/>
              </w:rPr>
              <w:t>159 182</w:t>
            </w:r>
            <w:r w:rsidR="004F66DB" w:rsidRPr="00D40D66">
              <w:rPr>
                <w:sz w:val="16"/>
                <w:szCs w:val="16"/>
                <w:lang w:eastAsia="en-GB"/>
              </w:rPr>
              <w:t>,</w:t>
            </w:r>
            <w:r w:rsidRPr="00D40D66">
              <w:rPr>
                <w:sz w:val="16"/>
                <w:szCs w:val="16"/>
                <w:lang w:eastAsia="en-GB"/>
              </w:rPr>
              <w:t>95</w:t>
            </w:r>
          </w:p>
        </w:tc>
      </w:tr>
      <w:tr w:rsidR="0003234F" w:rsidRPr="00D40D66" w14:paraId="663E40F5"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143B9FC4" w14:textId="0245CA50" w:rsidR="0003234F" w:rsidRPr="00D40D66" w:rsidRDefault="008F3B46" w:rsidP="00864F9A">
            <w:pPr>
              <w:spacing w:before="0"/>
              <w:rPr>
                <w:sz w:val="16"/>
                <w:szCs w:val="16"/>
                <w:lang w:eastAsia="en-GB"/>
              </w:rPr>
            </w:pPr>
            <w:r w:rsidRPr="00D40D66">
              <w:rPr>
                <w:rFonts w:hint="cs"/>
                <w:sz w:val="16"/>
                <w:szCs w:val="16"/>
                <w:rtl/>
                <w:lang w:eastAsia="en-GB"/>
              </w:rPr>
              <w:t>الولايات المتحدة</w:t>
            </w:r>
          </w:p>
        </w:tc>
        <w:tc>
          <w:tcPr>
            <w:tcW w:w="3678" w:type="dxa"/>
            <w:tcBorders>
              <w:top w:val="nil"/>
              <w:left w:val="nil"/>
              <w:bottom w:val="single" w:sz="4" w:space="0" w:color="auto"/>
              <w:right w:val="single" w:sz="4" w:space="0" w:color="auto"/>
            </w:tcBorders>
            <w:shd w:val="clear" w:color="000000" w:fill="FFFFFF"/>
            <w:hideMark/>
          </w:tcPr>
          <w:p w14:paraId="4E6CDE85" w14:textId="77777777" w:rsidR="0003234F" w:rsidRPr="00D40D66" w:rsidRDefault="0003234F" w:rsidP="00CC68EE">
            <w:pPr>
              <w:bidi w:val="0"/>
              <w:spacing w:before="0"/>
              <w:jc w:val="left"/>
              <w:rPr>
                <w:sz w:val="16"/>
                <w:szCs w:val="16"/>
                <w:lang w:eastAsia="en-GB"/>
              </w:rPr>
            </w:pPr>
            <w:r w:rsidRPr="00D40D66">
              <w:rPr>
                <w:sz w:val="16"/>
                <w:szCs w:val="16"/>
                <w:lang w:eastAsia="en-GB"/>
              </w:rPr>
              <w:t>Cypress Semiconductor Corp., San Jose</w:t>
            </w:r>
          </w:p>
        </w:tc>
        <w:tc>
          <w:tcPr>
            <w:tcW w:w="1125" w:type="dxa"/>
            <w:tcBorders>
              <w:top w:val="nil"/>
              <w:left w:val="nil"/>
              <w:bottom w:val="single" w:sz="4" w:space="0" w:color="auto"/>
              <w:right w:val="single" w:sz="4" w:space="0" w:color="auto"/>
            </w:tcBorders>
            <w:shd w:val="clear" w:color="000000" w:fill="FFFFFF"/>
            <w:noWrap/>
            <w:hideMark/>
          </w:tcPr>
          <w:p w14:paraId="41A18220" w14:textId="7F6255D7" w:rsidR="0003234F" w:rsidRPr="00D40D66" w:rsidRDefault="0003234F" w:rsidP="00864F9A">
            <w:pPr>
              <w:spacing w:before="0"/>
              <w:jc w:val="center"/>
              <w:rPr>
                <w:sz w:val="16"/>
                <w:szCs w:val="16"/>
                <w:lang w:eastAsia="en-GB"/>
              </w:rPr>
            </w:pPr>
            <w:r w:rsidRPr="00D40D66">
              <w:rPr>
                <w:rFonts w:hint="cs"/>
                <w:sz w:val="16"/>
                <w:szCs w:val="16"/>
                <w:rtl/>
                <w:lang w:eastAsia="en-GB"/>
              </w:rPr>
              <w:t>2004-2005</w:t>
            </w:r>
          </w:p>
        </w:tc>
        <w:tc>
          <w:tcPr>
            <w:tcW w:w="1099" w:type="dxa"/>
            <w:tcBorders>
              <w:top w:val="nil"/>
              <w:left w:val="nil"/>
              <w:bottom w:val="single" w:sz="4" w:space="0" w:color="auto"/>
              <w:right w:val="single" w:sz="4" w:space="0" w:color="auto"/>
            </w:tcBorders>
            <w:shd w:val="clear" w:color="000000" w:fill="FFFFFF"/>
            <w:hideMark/>
          </w:tcPr>
          <w:p w14:paraId="6C09D3B3" w14:textId="53CE042E" w:rsidR="0003234F" w:rsidRPr="00D40D66" w:rsidRDefault="0003234F" w:rsidP="0003234F">
            <w:pPr>
              <w:spacing w:before="0"/>
              <w:rPr>
                <w:sz w:val="16"/>
                <w:szCs w:val="16"/>
                <w:lang w:eastAsia="en-GB"/>
              </w:rPr>
            </w:pPr>
            <w:r w:rsidRPr="00D40D66">
              <w:rPr>
                <w:sz w:val="16"/>
                <w:szCs w:val="16"/>
                <w:lang w:eastAsia="en-GB"/>
              </w:rPr>
              <w:t>16 625,00</w:t>
            </w:r>
          </w:p>
        </w:tc>
        <w:tc>
          <w:tcPr>
            <w:tcW w:w="1118" w:type="dxa"/>
            <w:tcBorders>
              <w:top w:val="nil"/>
              <w:left w:val="nil"/>
              <w:bottom w:val="single" w:sz="4" w:space="0" w:color="auto"/>
              <w:right w:val="single" w:sz="4" w:space="0" w:color="auto"/>
            </w:tcBorders>
            <w:shd w:val="clear" w:color="000000" w:fill="FFFFFF"/>
            <w:hideMark/>
          </w:tcPr>
          <w:p w14:paraId="500B5E35" w14:textId="5CBAC38A" w:rsidR="0003234F" w:rsidRPr="00D40D66" w:rsidRDefault="0003234F" w:rsidP="0003234F">
            <w:pPr>
              <w:spacing w:before="0"/>
              <w:rPr>
                <w:sz w:val="16"/>
                <w:szCs w:val="16"/>
                <w:lang w:eastAsia="en-GB"/>
              </w:rPr>
            </w:pPr>
            <w:r w:rsidRPr="00D40D66">
              <w:rPr>
                <w:sz w:val="16"/>
                <w:szCs w:val="16"/>
                <w:lang w:eastAsia="en-GB"/>
              </w:rPr>
              <w:t>31 081</w:t>
            </w:r>
            <w:r w:rsidR="004F66DB" w:rsidRPr="00D40D66">
              <w:rPr>
                <w:sz w:val="16"/>
                <w:szCs w:val="16"/>
                <w:lang w:eastAsia="en-GB"/>
              </w:rPr>
              <w:t>,</w:t>
            </w:r>
            <w:r w:rsidRPr="00D40D66">
              <w:rPr>
                <w:sz w:val="16"/>
                <w:szCs w:val="16"/>
                <w:lang w:eastAsia="en-GB"/>
              </w:rPr>
              <w:t>10</w:t>
            </w:r>
          </w:p>
        </w:tc>
        <w:tc>
          <w:tcPr>
            <w:tcW w:w="1196" w:type="dxa"/>
            <w:tcBorders>
              <w:top w:val="nil"/>
              <w:left w:val="nil"/>
              <w:bottom w:val="single" w:sz="4" w:space="0" w:color="auto"/>
              <w:right w:val="single" w:sz="4" w:space="0" w:color="auto"/>
            </w:tcBorders>
            <w:shd w:val="clear" w:color="000000" w:fill="FFFFFF"/>
            <w:hideMark/>
          </w:tcPr>
          <w:p w14:paraId="5F29EB8C" w14:textId="354EE508" w:rsidR="0003234F" w:rsidRPr="00D40D66" w:rsidRDefault="0003234F" w:rsidP="0003234F">
            <w:pPr>
              <w:spacing w:before="0"/>
              <w:rPr>
                <w:sz w:val="16"/>
                <w:szCs w:val="16"/>
                <w:lang w:eastAsia="en-GB"/>
              </w:rPr>
            </w:pPr>
            <w:r w:rsidRPr="00D40D66">
              <w:rPr>
                <w:sz w:val="16"/>
                <w:szCs w:val="16"/>
                <w:lang w:eastAsia="en-GB"/>
              </w:rPr>
              <w:t>47 706</w:t>
            </w:r>
            <w:r w:rsidR="004F66DB" w:rsidRPr="00D40D66">
              <w:rPr>
                <w:sz w:val="16"/>
                <w:szCs w:val="16"/>
                <w:lang w:eastAsia="en-GB"/>
              </w:rPr>
              <w:t>,</w:t>
            </w:r>
            <w:r w:rsidRPr="00D40D66">
              <w:rPr>
                <w:sz w:val="16"/>
                <w:szCs w:val="16"/>
                <w:lang w:eastAsia="en-GB"/>
              </w:rPr>
              <w:t>10</w:t>
            </w:r>
          </w:p>
        </w:tc>
      </w:tr>
      <w:tr w:rsidR="0003234F" w:rsidRPr="00D40D66" w14:paraId="6696E637"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7D4EF4CE" w14:textId="21BF8E77" w:rsidR="0003234F" w:rsidRPr="00D40D66" w:rsidRDefault="008F3B46" w:rsidP="00864F9A">
            <w:pPr>
              <w:spacing w:before="0"/>
              <w:rPr>
                <w:sz w:val="16"/>
                <w:szCs w:val="16"/>
                <w:lang w:eastAsia="en-GB"/>
              </w:rPr>
            </w:pPr>
            <w:r w:rsidRPr="00D40D66">
              <w:rPr>
                <w:rFonts w:hint="cs"/>
                <w:sz w:val="16"/>
                <w:szCs w:val="16"/>
                <w:rtl/>
                <w:lang w:eastAsia="en-GB"/>
              </w:rPr>
              <w:t>الولايات المتحدة</w:t>
            </w:r>
          </w:p>
        </w:tc>
        <w:tc>
          <w:tcPr>
            <w:tcW w:w="3678" w:type="dxa"/>
            <w:tcBorders>
              <w:top w:val="nil"/>
              <w:left w:val="nil"/>
              <w:bottom w:val="single" w:sz="4" w:space="0" w:color="auto"/>
              <w:right w:val="single" w:sz="4" w:space="0" w:color="auto"/>
            </w:tcBorders>
            <w:shd w:val="clear" w:color="000000" w:fill="FFFFFF"/>
            <w:hideMark/>
          </w:tcPr>
          <w:p w14:paraId="59128210" w14:textId="77777777" w:rsidR="0003234F" w:rsidRPr="00D40D66" w:rsidRDefault="0003234F" w:rsidP="00CC68EE">
            <w:pPr>
              <w:bidi w:val="0"/>
              <w:spacing w:before="0"/>
              <w:jc w:val="left"/>
              <w:rPr>
                <w:sz w:val="16"/>
                <w:szCs w:val="16"/>
                <w:lang w:eastAsia="en-GB"/>
              </w:rPr>
            </w:pPr>
            <w:proofErr w:type="spellStart"/>
            <w:r w:rsidRPr="00D40D66">
              <w:rPr>
                <w:sz w:val="16"/>
                <w:szCs w:val="16"/>
                <w:lang w:eastAsia="en-GB"/>
              </w:rPr>
              <w:t>Lightwaves</w:t>
            </w:r>
            <w:proofErr w:type="spellEnd"/>
            <w:r w:rsidRPr="00D40D66">
              <w:rPr>
                <w:sz w:val="16"/>
                <w:szCs w:val="16"/>
                <w:lang w:eastAsia="en-GB"/>
              </w:rPr>
              <w:t xml:space="preserve"> Inc., Cedar Rapids</w:t>
            </w:r>
          </w:p>
        </w:tc>
        <w:tc>
          <w:tcPr>
            <w:tcW w:w="1125" w:type="dxa"/>
            <w:tcBorders>
              <w:top w:val="nil"/>
              <w:left w:val="nil"/>
              <w:bottom w:val="single" w:sz="4" w:space="0" w:color="auto"/>
              <w:right w:val="single" w:sz="4" w:space="0" w:color="auto"/>
            </w:tcBorders>
            <w:shd w:val="clear" w:color="000000" w:fill="FFFFFF"/>
            <w:noWrap/>
            <w:hideMark/>
          </w:tcPr>
          <w:p w14:paraId="36148A23" w14:textId="77777777" w:rsidR="0003234F" w:rsidRPr="00D40D66" w:rsidRDefault="0003234F" w:rsidP="00864F9A">
            <w:pPr>
              <w:spacing w:before="0"/>
              <w:jc w:val="center"/>
              <w:rPr>
                <w:sz w:val="16"/>
                <w:szCs w:val="16"/>
                <w:lang w:eastAsia="en-GB"/>
              </w:rPr>
            </w:pPr>
            <w:r w:rsidRPr="00D40D66">
              <w:rPr>
                <w:sz w:val="16"/>
                <w:szCs w:val="16"/>
                <w:lang w:eastAsia="en-GB"/>
              </w:rPr>
              <w:t>2009</w:t>
            </w:r>
          </w:p>
        </w:tc>
        <w:tc>
          <w:tcPr>
            <w:tcW w:w="1099" w:type="dxa"/>
            <w:tcBorders>
              <w:top w:val="nil"/>
              <w:left w:val="nil"/>
              <w:bottom w:val="single" w:sz="4" w:space="0" w:color="auto"/>
              <w:right w:val="single" w:sz="4" w:space="0" w:color="auto"/>
            </w:tcBorders>
            <w:shd w:val="clear" w:color="000000" w:fill="FFFFFF"/>
            <w:hideMark/>
          </w:tcPr>
          <w:p w14:paraId="4D0430E3" w14:textId="42D50A46" w:rsidR="0003234F" w:rsidRPr="00D40D66" w:rsidRDefault="0003234F" w:rsidP="0003234F">
            <w:pPr>
              <w:spacing w:before="0"/>
              <w:rPr>
                <w:sz w:val="16"/>
                <w:szCs w:val="16"/>
                <w:lang w:eastAsia="en-GB"/>
              </w:rPr>
            </w:pPr>
            <w:r w:rsidRPr="00D40D66">
              <w:rPr>
                <w:sz w:val="16"/>
                <w:szCs w:val="16"/>
                <w:lang w:eastAsia="en-GB"/>
              </w:rPr>
              <w:t>10 600,00</w:t>
            </w:r>
          </w:p>
        </w:tc>
        <w:tc>
          <w:tcPr>
            <w:tcW w:w="1118" w:type="dxa"/>
            <w:tcBorders>
              <w:top w:val="nil"/>
              <w:left w:val="nil"/>
              <w:bottom w:val="single" w:sz="4" w:space="0" w:color="auto"/>
              <w:right w:val="single" w:sz="4" w:space="0" w:color="auto"/>
            </w:tcBorders>
            <w:shd w:val="clear" w:color="000000" w:fill="FFFFFF"/>
            <w:hideMark/>
          </w:tcPr>
          <w:p w14:paraId="34D45BF1" w14:textId="1F771773" w:rsidR="0003234F" w:rsidRPr="00D40D66" w:rsidRDefault="0003234F" w:rsidP="0003234F">
            <w:pPr>
              <w:spacing w:before="0"/>
              <w:rPr>
                <w:sz w:val="16"/>
                <w:szCs w:val="16"/>
                <w:lang w:eastAsia="en-GB"/>
              </w:rPr>
            </w:pPr>
            <w:r w:rsidRPr="00D40D66">
              <w:rPr>
                <w:sz w:val="16"/>
                <w:szCs w:val="16"/>
                <w:lang w:eastAsia="en-GB"/>
              </w:rPr>
              <w:t>12 856</w:t>
            </w:r>
            <w:r w:rsidR="004F66DB" w:rsidRPr="00D40D66">
              <w:rPr>
                <w:sz w:val="16"/>
                <w:szCs w:val="16"/>
                <w:lang w:eastAsia="en-GB"/>
              </w:rPr>
              <w:t>,</w:t>
            </w:r>
            <w:r w:rsidRPr="00D40D66">
              <w:rPr>
                <w:sz w:val="16"/>
                <w:szCs w:val="16"/>
                <w:lang w:eastAsia="en-GB"/>
              </w:rPr>
              <w:t>90</w:t>
            </w:r>
          </w:p>
        </w:tc>
        <w:tc>
          <w:tcPr>
            <w:tcW w:w="1196" w:type="dxa"/>
            <w:tcBorders>
              <w:top w:val="nil"/>
              <w:left w:val="nil"/>
              <w:bottom w:val="single" w:sz="4" w:space="0" w:color="auto"/>
              <w:right w:val="single" w:sz="4" w:space="0" w:color="auto"/>
            </w:tcBorders>
            <w:shd w:val="clear" w:color="000000" w:fill="FFFFFF"/>
            <w:hideMark/>
          </w:tcPr>
          <w:p w14:paraId="51D80078" w14:textId="771D7BF0" w:rsidR="0003234F" w:rsidRPr="00D40D66" w:rsidRDefault="0003234F" w:rsidP="0003234F">
            <w:pPr>
              <w:spacing w:before="0"/>
              <w:rPr>
                <w:sz w:val="16"/>
                <w:szCs w:val="16"/>
                <w:lang w:eastAsia="en-GB"/>
              </w:rPr>
            </w:pPr>
            <w:r w:rsidRPr="00D40D66">
              <w:rPr>
                <w:sz w:val="16"/>
                <w:szCs w:val="16"/>
                <w:lang w:eastAsia="en-GB"/>
              </w:rPr>
              <w:t>23 456</w:t>
            </w:r>
            <w:r w:rsidR="004F66DB" w:rsidRPr="00D40D66">
              <w:rPr>
                <w:sz w:val="16"/>
                <w:szCs w:val="16"/>
                <w:lang w:eastAsia="en-GB"/>
              </w:rPr>
              <w:t>,</w:t>
            </w:r>
            <w:r w:rsidRPr="00D40D66">
              <w:rPr>
                <w:sz w:val="16"/>
                <w:szCs w:val="16"/>
                <w:lang w:eastAsia="en-GB"/>
              </w:rPr>
              <w:t>90</w:t>
            </w:r>
          </w:p>
        </w:tc>
      </w:tr>
      <w:tr w:rsidR="0003234F" w:rsidRPr="00D40D66" w14:paraId="7C643F48" w14:textId="77777777" w:rsidTr="00501A8D">
        <w:trPr>
          <w:trHeight w:val="288"/>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460AB807" w14:textId="5D49994B" w:rsidR="0003234F" w:rsidRPr="00D40D66" w:rsidRDefault="008F3B46" w:rsidP="00864F9A">
            <w:pPr>
              <w:spacing w:before="0"/>
              <w:rPr>
                <w:sz w:val="16"/>
                <w:szCs w:val="16"/>
                <w:lang w:eastAsia="en-GB"/>
              </w:rPr>
            </w:pPr>
            <w:r w:rsidRPr="00D40D66">
              <w:rPr>
                <w:rFonts w:hint="cs"/>
                <w:sz w:val="16"/>
                <w:szCs w:val="16"/>
                <w:rtl/>
                <w:lang w:eastAsia="en-GB"/>
              </w:rPr>
              <w:t>الولايات المتحدة</w:t>
            </w:r>
          </w:p>
        </w:tc>
        <w:tc>
          <w:tcPr>
            <w:tcW w:w="3678" w:type="dxa"/>
            <w:tcBorders>
              <w:top w:val="nil"/>
              <w:left w:val="nil"/>
              <w:bottom w:val="single" w:sz="4" w:space="0" w:color="auto"/>
              <w:right w:val="single" w:sz="4" w:space="0" w:color="auto"/>
            </w:tcBorders>
            <w:shd w:val="clear" w:color="000000" w:fill="FFFFFF"/>
            <w:noWrap/>
            <w:hideMark/>
          </w:tcPr>
          <w:p w14:paraId="2442BB89" w14:textId="77777777" w:rsidR="0003234F" w:rsidRPr="00D40D66" w:rsidRDefault="0003234F" w:rsidP="00CC68EE">
            <w:pPr>
              <w:bidi w:val="0"/>
              <w:spacing w:before="0"/>
              <w:jc w:val="left"/>
              <w:rPr>
                <w:sz w:val="16"/>
                <w:szCs w:val="16"/>
                <w:lang w:eastAsia="en-GB"/>
              </w:rPr>
            </w:pPr>
            <w:r w:rsidRPr="00D40D66">
              <w:rPr>
                <w:sz w:val="16"/>
                <w:szCs w:val="16"/>
                <w:lang w:eastAsia="en-GB"/>
              </w:rPr>
              <w:t>The Village Group Inc., Waltham</w:t>
            </w:r>
          </w:p>
        </w:tc>
        <w:tc>
          <w:tcPr>
            <w:tcW w:w="1125" w:type="dxa"/>
            <w:tcBorders>
              <w:top w:val="nil"/>
              <w:left w:val="nil"/>
              <w:bottom w:val="single" w:sz="4" w:space="0" w:color="auto"/>
              <w:right w:val="single" w:sz="4" w:space="0" w:color="auto"/>
            </w:tcBorders>
            <w:shd w:val="clear" w:color="000000" w:fill="FFFFFF"/>
            <w:noWrap/>
            <w:hideMark/>
          </w:tcPr>
          <w:p w14:paraId="2F214C30" w14:textId="02E82D02" w:rsidR="0003234F" w:rsidRPr="00D40D66" w:rsidRDefault="0003234F" w:rsidP="00864F9A">
            <w:pPr>
              <w:spacing w:before="0"/>
              <w:jc w:val="center"/>
              <w:rPr>
                <w:sz w:val="16"/>
                <w:szCs w:val="16"/>
                <w:lang w:eastAsia="en-GB"/>
              </w:rPr>
            </w:pPr>
            <w:r w:rsidRPr="00D40D66">
              <w:rPr>
                <w:rFonts w:hint="cs"/>
                <w:sz w:val="16"/>
                <w:szCs w:val="16"/>
                <w:rtl/>
                <w:lang w:eastAsia="en-GB"/>
              </w:rPr>
              <w:t>2007-2008</w:t>
            </w:r>
          </w:p>
        </w:tc>
        <w:tc>
          <w:tcPr>
            <w:tcW w:w="1099" w:type="dxa"/>
            <w:tcBorders>
              <w:top w:val="nil"/>
              <w:left w:val="nil"/>
              <w:bottom w:val="single" w:sz="4" w:space="0" w:color="auto"/>
              <w:right w:val="single" w:sz="4" w:space="0" w:color="auto"/>
            </w:tcBorders>
            <w:shd w:val="clear" w:color="000000" w:fill="FFFFFF"/>
            <w:hideMark/>
          </w:tcPr>
          <w:p w14:paraId="2B74A9FA" w14:textId="1E5F7D8E" w:rsidR="0003234F" w:rsidRPr="00D40D66" w:rsidRDefault="0003234F" w:rsidP="0003234F">
            <w:pPr>
              <w:spacing w:before="0"/>
              <w:rPr>
                <w:sz w:val="16"/>
                <w:szCs w:val="16"/>
                <w:lang w:eastAsia="en-GB"/>
              </w:rPr>
            </w:pPr>
            <w:r w:rsidRPr="00D40D66">
              <w:rPr>
                <w:sz w:val="16"/>
                <w:szCs w:val="16"/>
                <w:lang w:eastAsia="en-GB"/>
              </w:rPr>
              <w:t>7 950,00</w:t>
            </w:r>
          </w:p>
        </w:tc>
        <w:tc>
          <w:tcPr>
            <w:tcW w:w="1118" w:type="dxa"/>
            <w:tcBorders>
              <w:top w:val="nil"/>
              <w:left w:val="nil"/>
              <w:bottom w:val="single" w:sz="4" w:space="0" w:color="auto"/>
              <w:right w:val="single" w:sz="4" w:space="0" w:color="auto"/>
            </w:tcBorders>
            <w:shd w:val="clear" w:color="000000" w:fill="FFFFFF"/>
            <w:hideMark/>
          </w:tcPr>
          <w:p w14:paraId="35A99BCF" w14:textId="30AD089F" w:rsidR="0003234F" w:rsidRPr="00D40D66" w:rsidRDefault="0003234F" w:rsidP="0003234F">
            <w:pPr>
              <w:spacing w:before="0"/>
              <w:rPr>
                <w:sz w:val="16"/>
                <w:szCs w:val="16"/>
                <w:lang w:eastAsia="en-GB"/>
              </w:rPr>
            </w:pPr>
            <w:r w:rsidRPr="00D40D66">
              <w:rPr>
                <w:sz w:val="16"/>
                <w:szCs w:val="16"/>
                <w:lang w:eastAsia="en-GB"/>
              </w:rPr>
              <w:t>10 735</w:t>
            </w:r>
            <w:r w:rsidR="004F66DB" w:rsidRPr="00D40D66">
              <w:rPr>
                <w:sz w:val="16"/>
                <w:szCs w:val="16"/>
                <w:lang w:eastAsia="en-GB"/>
              </w:rPr>
              <w:t>,</w:t>
            </w:r>
            <w:r w:rsidRPr="00D40D66">
              <w:rPr>
                <w:sz w:val="16"/>
                <w:szCs w:val="16"/>
                <w:lang w:eastAsia="en-GB"/>
              </w:rPr>
              <w:t>25</w:t>
            </w:r>
          </w:p>
        </w:tc>
        <w:tc>
          <w:tcPr>
            <w:tcW w:w="1196" w:type="dxa"/>
            <w:tcBorders>
              <w:top w:val="nil"/>
              <w:left w:val="nil"/>
              <w:bottom w:val="single" w:sz="4" w:space="0" w:color="auto"/>
              <w:right w:val="single" w:sz="4" w:space="0" w:color="auto"/>
            </w:tcBorders>
            <w:shd w:val="clear" w:color="000000" w:fill="FFFFFF"/>
            <w:hideMark/>
          </w:tcPr>
          <w:p w14:paraId="46CB32AF" w14:textId="50479348" w:rsidR="0003234F" w:rsidRPr="00D40D66" w:rsidRDefault="0003234F" w:rsidP="0003234F">
            <w:pPr>
              <w:spacing w:before="0"/>
              <w:rPr>
                <w:sz w:val="16"/>
                <w:szCs w:val="16"/>
                <w:lang w:eastAsia="en-GB"/>
              </w:rPr>
            </w:pPr>
            <w:r w:rsidRPr="00D40D66">
              <w:rPr>
                <w:sz w:val="16"/>
                <w:szCs w:val="16"/>
                <w:lang w:eastAsia="en-GB"/>
              </w:rPr>
              <w:t>18 685</w:t>
            </w:r>
            <w:r w:rsidR="004F66DB" w:rsidRPr="00D40D66">
              <w:rPr>
                <w:sz w:val="16"/>
                <w:szCs w:val="16"/>
                <w:lang w:eastAsia="en-GB"/>
              </w:rPr>
              <w:t>,</w:t>
            </w:r>
            <w:r w:rsidRPr="00D40D66">
              <w:rPr>
                <w:sz w:val="16"/>
                <w:szCs w:val="16"/>
                <w:lang w:eastAsia="en-GB"/>
              </w:rPr>
              <w:t>25</w:t>
            </w:r>
          </w:p>
        </w:tc>
      </w:tr>
      <w:tr w:rsidR="0003234F" w:rsidRPr="00D40D66" w14:paraId="37517CFA" w14:textId="77777777" w:rsidTr="00501A8D">
        <w:trPr>
          <w:trHeight w:val="300"/>
          <w:jc w:val="center"/>
        </w:trPr>
        <w:tc>
          <w:tcPr>
            <w:tcW w:w="1403" w:type="dxa"/>
            <w:tcBorders>
              <w:top w:val="nil"/>
              <w:left w:val="single" w:sz="4" w:space="0" w:color="auto"/>
              <w:bottom w:val="single" w:sz="4" w:space="0" w:color="auto"/>
              <w:right w:val="single" w:sz="4" w:space="0" w:color="auto"/>
            </w:tcBorders>
            <w:shd w:val="clear" w:color="000000" w:fill="FFFFFF"/>
            <w:hideMark/>
          </w:tcPr>
          <w:p w14:paraId="2CDCB9F3" w14:textId="41BC3C61" w:rsidR="0003234F" w:rsidRPr="00D40D66" w:rsidRDefault="008F3B46" w:rsidP="00864F9A">
            <w:pPr>
              <w:spacing w:before="0"/>
              <w:rPr>
                <w:sz w:val="16"/>
                <w:szCs w:val="16"/>
                <w:lang w:eastAsia="en-GB"/>
              </w:rPr>
            </w:pPr>
            <w:r w:rsidRPr="00D40D66">
              <w:rPr>
                <w:rFonts w:hint="cs"/>
                <w:sz w:val="16"/>
                <w:szCs w:val="16"/>
                <w:rtl/>
                <w:lang w:eastAsia="en-GB"/>
              </w:rPr>
              <w:t>الولايات المتحدة</w:t>
            </w:r>
          </w:p>
        </w:tc>
        <w:tc>
          <w:tcPr>
            <w:tcW w:w="3678" w:type="dxa"/>
            <w:tcBorders>
              <w:top w:val="nil"/>
              <w:left w:val="nil"/>
              <w:bottom w:val="single" w:sz="4" w:space="0" w:color="auto"/>
              <w:right w:val="single" w:sz="4" w:space="0" w:color="auto"/>
            </w:tcBorders>
            <w:shd w:val="clear" w:color="000000" w:fill="FFFFFF"/>
            <w:hideMark/>
          </w:tcPr>
          <w:p w14:paraId="2AD65E72" w14:textId="77777777" w:rsidR="0003234F" w:rsidRPr="00D40D66" w:rsidRDefault="0003234F" w:rsidP="00CC68EE">
            <w:pPr>
              <w:bidi w:val="0"/>
              <w:spacing w:before="0"/>
              <w:jc w:val="left"/>
              <w:rPr>
                <w:sz w:val="16"/>
                <w:szCs w:val="16"/>
                <w:lang w:eastAsia="en-GB"/>
              </w:rPr>
            </w:pPr>
            <w:r w:rsidRPr="00D40D66">
              <w:rPr>
                <w:sz w:val="16"/>
                <w:szCs w:val="16"/>
                <w:lang w:eastAsia="en-GB"/>
              </w:rPr>
              <w:t xml:space="preserve">Vocal Technologies Ltd, Amherst          </w:t>
            </w:r>
          </w:p>
        </w:tc>
        <w:tc>
          <w:tcPr>
            <w:tcW w:w="1125" w:type="dxa"/>
            <w:tcBorders>
              <w:top w:val="nil"/>
              <w:left w:val="nil"/>
              <w:bottom w:val="single" w:sz="4" w:space="0" w:color="auto"/>
              <w:right w:val="single" w:sz="4" w:space="0" w:color="auto"/>
            </w:tcBorders>
            <w:shd w:val="clear" w:color="000000" w:fill="FFFFFF"/>
            <w:noWrap/>
            <w:hideMark/>
          </w:tcPr>
          <w:p w14:paraId="7CF1F39B" w14:textId="2ECD5BFA" w:rsidR="0003234F" w:rsidRPr="00D40D66" w:rsidRDefault="0003234F" w:rsidP="00864F9A">
            <w:pPr>
              <w:spacing w:before="0"/>
              <w:jc w:val="center"/>
              <w:rPr>
                <w:sz w:val="16"/>
                <w:szCs w:val="16"/>
                <w:lang w:eastAsia="en-GB"/>
              </w:rPr>
            </w:pPr>
            <w:r w:rsidRPr="00D40D66">
              <w:rPr>
                <w:rFonts w:hint="cs"/>
                <w:sz w:val="16"/>
                <w:szCs w:val="16"/>
                <w:rtl/>
                <w:lang w:eastAsia="en-GB"/>
              </w:rPr>
              <w:t>1998-2002</w:t>
            </w:r>
          </w:p>
        </w:tc>
        <w:tc>
          <w:tcPr>
            <w:tcW w:w="1099" w:type="dxa"/>
            <w:tcBorders>
              <w:top w:val="nil"/>
              <w:left w:val="nil"/>
              <w:bottom w:val="single" w:sz="4" w:space="0" w:color="auto"/>
              <w:right w:val="single" w:sz="4" w:space="0" w:color="auto"/>
            </w:tcBorders>
            <w:shd w:val="clear" w:color="000000" w:fill="FFFFFF"/>
            <w:hideMark/>
          </w:tcPr>
          <w:p w14:paraId="691B8A5A" w14:textId="1F4D0713" w:rsidR="0003234F" w:rsidRPr="00D40D66" w:rsidRDefault="0003234F" w:rsidP="0003234F">
            <w:pPr>
              <w:spacing w:before="0"/>
              <w:rPr>
                <w:sz w:val="16"/>
                <w:szCs w:val="16"/>
                <w:lang w:eastAsia="en-GB"/>
              </w:rPr>
            </w:pPr>
            <w:r w:rsidRPr="00D40D66">
              <w:rPr>
                <w:sz w:val="16"/>
                <w:szCs w:val="16"/>
                <w:lang w:eastAsia="en-GB"/>
              </w:rPr>
              <w:t>160 100,00</w:t>
            </w:r>
          </w:p>
        </w:tc>
        <w:tc>
          <w:tcPr>
            <w:tcW w:w="1118" w:type="dxa"/>
            <w:tcBorders>
              <w:top w:val="nil"/>
              <w:left w:val="nil"/>
              <w:bottom w:val="single" w:sz="4" w:space="0" w:color="auto"/>
              <w:right w:val="single" w:sz="4" w:space="0" w:color="auto"/>
            </w:tcBorders>
            <w:shd w:val="clear" w:color="000000" w:fill="FFFFFF"/>
            <w:hideMark/>
          </w:tcPr>
          <w:p w14:paraId="60978113" w14:textId="56B47474" w:rsidR="0003234F" w:rsidRPr="00D40D66" w:rsidRDefault="0003234F" w:rsidP="0003234F">
            <w:pPr>
              <w:spacing w:before="0"/>
              <w:rPr>
                <w:sz w:val="16"/>
                <w:szCs w:val="16"/>
                <w:lang w:eastAsia="en-GB"/>
              </w:rPr>
            </w:pPr>
            <w:r w:rsidRPr="00D40D66">
              <w:rPr>
                <w:sz w:val="16"/>
                <w:szCs w:val="16"/>
                <w:lang w:eastAsia="en-GB"/>
              </w:rPr>
              <w:t>365 825</w:t>
            </w:r>
            <w:r w:rsidR="004F66DB" w:rsidRPr="00D40D66">
              <w:rPr>
                <w:sz w:val="16"/>
                <w:szCs w:val="16"/>
                <w:lang w:eastAsia="en-GB"/>
              </w:rPr>
              <w:t>,</w:t>
            </w:r>
            <w:r w:rsidRPr="00D40D66">
              <w:rPr>
                <w:sz w:val="16"/>
                <w:szCs w:val="16"/>
                <w:lang w:eastAsia="en-GB"/>
              </w:rPr>
              <w:t>75</w:t>
            </w:r>
          </w:p>
        </w:tc>
        <w:tc>
          <w:tcPr>
            <w:tcW w:w="1196" w:type="dxa"/>
            <w:tcBorders>
              <w:top w:val="nil"/>
              <w:left w:val="nil"/>
              <w:bottom w:val="single" w:sz="4" w:space="0" w:color="auto"/>
              <w:right w:val="single" w:sz="4" w:space="0" w:color="auto"/>
            </w:tcBorders>
            <w:shd w:val="clear" w:color="000000" w:fill="FFFFFF"/>
            <w:hideMark/>
          </w:tcPr>
          <w:p w14:paraId="2F3FA2B3" w14:textId="00EE533C" w:rsidR="0003234F" w:rsidRPr="00D40D66" w:rsidRDefault="0003234F" w:rsidP="0003234F">
            <w:pPr>
              <w:spacing w:before="0"/>
              <w:rPr>
                <w:sz w:val="16"/>
                <w:szCs w:val="16"/>
                <w:lang w:eastAsia="en-GB"/>
              </w:rPr>
            </w:pPr>
            <w:r w:rsidRPr="00D40D66">
              <w:rPr>
                <w:sz w:val="16"/>
                <w:szCs w:val="16"/>
                <w:lang w:eastAsia="en-GB"/>
              </w:rPr>
              <w:t>525 925</w:t>
            </w:r>
            <w:r w:rsidR="004F66DB" w:rsidRPr="00D40D66">
              <w:rPr>
                <w:sz w:val="16"/>
                <w:szCs w:val="16"/>
                <w:lang w:eastAsia="en-GB"/>
              </w:rPr>
              <w:t>,</w:t>
            </w:r>
            <w:r w:rsidRPr="00D40D66">
              <w:rPr>
                <w:sz w:val="16"/>
                <w:szCs w:val="16"/>
                <w:lang w:eastAsia="en-GB"/>
              </w:rPr>
              <w:t>75</w:t>
            </w:r>
          </w:p>
        </w:tc>
      </w:tr>
      <w:tr w:rsidR="0003234F" w:rsidRPr="00D40D66" w14:paraId="270A58F4" w14:textId="77777777" w:rsidTr="00501A8D">
        <w:trPr>
          <w:trHeight w:val="300"/>
          <w:jc w:val="center"/>
        </w:trPr>
        <w:tc>
          <w:tcPr>
            <w:tcW w:w="620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345564" w14:textId="347EDF7C" w:rsidR="0003234F" w:rsidRPr="00D40D66" w:rsidRDefault="0003234F" w:rsidP="0003234F">
            <w:pPr>
              <w:spacing w:before="0"/>
              <w:jc w:val="center"/>
              <w:rPr>
                <w:b/>
                <w:bCs/>
                <w:i/>
                <w:iCs/>
                <w:color w:val="000000"/>
                <w:sz w:val="16"/>
                <w:szCs w:val="16"/>
                <w:lang w:eastAsia="en-GB"/>
              </w:rPr>
            </w:pPr>
            <w:r w:rsidRPr="00D40D66">
              <w:rPr>
                <w:rFonts w:hint="cs"/>
                <w:b/>
                <w:bCs/>
                <w:i/>
                <w:iCs/>
                <w:sz w:val="16"/>
                <w:szCs w:val="16"/>
                <w:rtl/>
                <w:lang w:eastAsia="en-GB"/>
              </w:rPr>
              <w:t xml:space="preserve">المجموع الفرعي </w:t>
            </w:r>
            <w:r w:rsidRPr="00D40D66">
              <w:rPr>
                <w:b/>
                <w:bCs/>
                <w:i/>
                <w:iCs/>
                <w:sz w:val="16"/>
                <w:szCs w:val="16"/>
                <w:lang w:eastAsia="en-GB"/>
              </w:rPr>
              <w:t>3.3</w:t>
            </w:r>
          </w:p>
        </w:tc>
        <w:tc>
          <w:tcPr>
            <w:tcW w:w="1099" w:type="dxa"/>
            <w:tcBorders>
              <w:top w:val="single" w:sz="8" w:space="0" w:color="auto"/>
              <w:left w:val="nil"/>
              <w:bottom w:val="single" w:sz="8" w:space="0" w:color="auto"/>
              <w:right w:val="single" w:sz="8" w:space="0" w:color="auto"/>
            </w:tcBorders>
            <w:shd w:val="clear" w:color="auto" w:fill="auto"/>
            <w:noWrap/>
            <w:vAlign w:val="center"/>
            <w:hideMark/>
          </w:tcPr>
          <w:p w14:paraId="0EBCBD9D" w14:textId="1EC1DBCB" w:rsidR="0003234F" w:rsidRPr="00D40D66" w:rsidRDefault="0003234F" w:rsidP="0003234F">
            <w:pPr>
              <w:spacing w:before="0"/>
              <w:rPr>
                <w:b/>
                <w:bCs/>
                <w:sz w:val="16"/>
                <w:szCs w:val="16"/>
                <w:lang w:eastAsia="en-GB"/>
              </w:rPr>
            </w:pPr>
            <w:r w:rsidRPr="00D40D66">
              <w:rPr>
                <w:b/>
                <w:bCs/>
                <w:sz w:val="16"/>
                <w:szCs w:val="16"/>
                <w:lang w:eastAsia="en-GB"/>
              </w:rPr>
              <w:t>776 600</w:t>
            </w:r>
            <w:r w:rsidR="00D40D66">
              <w:rPr>
                <w:b/>
                <w:bCs/>
                <w:sz w:val="16"/>
                <w:szCs w:val="16"/>
                <w:lang w:eastAsia="en-GB"/>
              </w:rPr>
              <w:t>,</w:t>
            </w:r>
            <w:r w:rsidRPr="00D40D66">
              <w:rPr>
                <w:b/>
                <w:bCs/>
                <w:sz w:val="16"/>
                <w:szCs w:val="16"/>
                <w:lang w:eastAsia="en-GB"/>
              </w:rPr>
              <w:t>82</w:t>
            </w:r>
          </w:p>
        </w:tc>
        <w:tc>
          <w:tcPr>
            <w:tcW w:w="1118" w:type="dxa"/>
            <w:tcBorders>
              <w:top w:val="single" w:sz="8" w:space="0" w:color="auto"/>
              <w:left w:val="nil"/>
              <w:bottom w:val="single" w:sz="8" w:space="0" w:color="auto"/>
              <w:right w:val="single" w:sz="8" w:space="0" w:color="auto"/>
            </w:tcBorders>
            <w:shd w:val="clear" w:color="auto" w:fill="auto"/>
            <w:noWrap/>
            <w:vAlign w:val="center"/>
            <w:hideMark/>
          </w:tcPr>
          <w:p w14:paraId="79C2F32B" w14:textId="19F9250F" w:rsidR="0003234F" w:rsidRPr="00D40D66" w:rsidRDefault="0003234F" w:rsidP="0003234F">
            <w:pPr>
              <w:spacing w:before="0"/>
              <w:rPr>
                <w:b/>
                <w:bCs/>
                <w:sz w:val="16"/>
                <w:szCs w:val="16"/>
                <w:lang w:eastAsia="en-GB"/>
              </w:rPr>
            </w:pPr>
            <w:r w:rsidRPr="00D40D66">
              <w:rPr>
                <w:b/>
                <w:bCs/>
                <w:sz w:val="16"/>
                <w:szCs w:val="16"/>
                <w:lang w:eastAsia="en-GB"/>
              </w:rPr>
              <w:t>1 431 793</w:t>
            </w:r>
            <w:r w:rsidR="00D40D66">
              <w:rPr>
                <w:b/>
                <w:bCs/>
                <w:sz w:val="16"/>
                <w:szCs w:val="16"/>
                <w:lang w:eastAsia="en-GB"/>
              </w:rPr>
              <w:t>,</w:t>
            </w:r>
            <w:r w:rsidRPr="00D40D66">
              <w:rPr>
                <w:b/>
                <w:bCs/>
                <w:sz w:val="16"/>
                <w:szCs w:val="16"/>
                <w:lang w:eastAsia="en-GB"/>
              </w:rPr>
              <w:t>90</w:t>
            </w:r>
          </w:p>
        </w:tc>
        <w:tc>
          <w:tcPr>
            <w:tcW w:w="1196" w:type="dxa"/>
            <w:tcBorders>
              <w:top w:val="single" w:sz="8" w:space="0" w:color="auto"/>
              <w:left w:val="nil"/>
              <w:bottom w:val="single" w:sz="8" w:space="0" w:color="auto"/>
              <w:right w:val="single" w:sz="8" w:space="0" w:color="auto"/>
            </w:tcBorders>
            <w:shd w:val="clear" w:color="auto" w:fill="auto"/>
            <w:noWrap/>
            <w:vAlign w:val="center"/>
            <w:hideMark/>
          </w:tcPr>
          <w:p w14:paraId="46F7AF3C" w14:textId="690F1755" w:rsidR="0003234F" w:rsidRPr="00D40D66" w:rsidRDefault="0003234F" w:rsidP="0003234F">
            <w:pPr>
              <w:spacing w:before="0"/>
              <w:rPr>
                <w:b/>
                <w:bCs/>
                <w:sz w:val="16"/>
                <w:szCs w:val="16"/>
                <w:lang w:eastAsia="en-GB"/>
              </w:rPr>
            </w:pPr>
            <w:r w:rsidRPr="00D40D66">
              <w:rPr>
                <w:b/>
                <w:bCs/>
                <w:sz w:val="16"/>
                <w:szCs w:val="16"/>
                <w:lang w:eastAsia="en-GB"/>
              </w:rPr>
              <w:t>2 208 394,72</w:t>
            </w:r>
          </w:p>
        </w:tc>
      </w:tr>
      <w:tr w:rsidR="0003234F" w:rsidRPr="00D40D66" w14:paraId="47D4B3FD" w14:textId="77777777" w:rsidTr="00501A8D">
        <w:trPr>
          <w:trHeight w:val="300"/>
          <w:jc w:val="center"/>
        </w:trPr>
        <w:tc>
          <w:tcPr>
            <w:tcW w:w="6206" w:type="dxa"/>
            <w:gridSpan w:val="3"/>
            <w:tcBorders>
              <w:top w:val="nil"/>
              <w:left w:val="single" w:sz="8" w:space="0" w:color="auto"/>
              <w:bottom w:val="single" w:sz="8" w:space="0" w:color="auto"/>
              <w:right w:val="single" w:sz="4" w:space="0" w:color="auto"/>
            </w:tcBorders>
            <w:shd w:val="clear" w:color="auto" w:fill="auto"/>
            <w:noWrap/>
            <w:vAlign w:val="center"/>
            <w:hideMark/>
          </w:tcPr>
          <w:p w14:paraId="53035F68" w14:textId="612E3A28" w:rsidR="0003234F" w:rsidRPr="00D40D66" w:rsidRDefault="0003234F" w:rsidP="0003234F">
            <w:pPr>
              <w:spacing w:before="0"/>
              <w:rPr>
                <w:b/>
                <w:bCs/>
                <w:color w:val="000000"/>
                <w:sz w:val="16"/>
                <w:szCs w:val="16"/>
                <w:lang w:eastAsia="en-GB"/>
              </w:rPr>
            </w:pPr>
            <w:r w:rsidRPr="00D40D66">
              <w:rPr>
                <w:rFonts w:hint="cs"/>
                <w:b/>
                <w:bCs/>
                <w:color w:val="000000"/>
                <w:sz w:val="16"/>
                <w:szCs w:val="16"/>
                <w:rtl/>
                <w:lang w:eastAsia="en-GB"/>
              </w:rPr>
              <w:t>المجموع الكلي</w:t>
            </w: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436FFFA8" w14:textId="0AD02BC9" w:rsidR="0003234F" w:rsidRPr="00D40D66" w:rsidRDefault="0003234F" w:rsidP="0003234F">
            <w:pPr>
              <w:spacing w:before="0"/>
              <w:rPr>
                <w:b/>
                <w:bCs/>
                <w:sz w:val="16"/>
                <w:szCs w:val="16"/>
                <w:lang w:eastAsia="en-GB"/>
              </w:rPr>
            </w:pPr>
            <w:r w:rsidRPr="00D40D66">
              <w:rPr>
                <w:b/>
                <w:bCs/>
                <w:sz w:val="16"/>
                <w:szCs w:val="16"/>
                <w:lang w:eastAsia="en-GB"/>
              </w:rPr>
              <w:t>776 600</w:t>
            </w:r>
            <w:r w:rsidR="00D40D66">
              <w:rPr>
                <w:b/>
                <w:bCs/>
                <w:sz w:val="16"/>
                <w:szCs w:val="16"/>
                <w:lang w:eastAsia="en-GB"/>
              </w:rPr>
              <w:t>,</w:t>
            </w:r>
            <w:r w:rsidRPr="00D40D66">
              <w:rPr>
                <w:b/>
                <w:bCs/>
                <w:sz w:val="16"/>
                <w:szCs w:val="16"/>
                <w:lang w:eastAsia="en-GB"/>
              </w:rPr>
              <w:t>82</w:t>
            </w:r>
          </w:p>
        </w:tc>
        <w:tc>
          <w:tcPr>
            <w:tcW w:w="1118" w:type="dxa"/>
            <w:tcBorders>
              <w:top w:val="nil"/>
              <w:left w:val="nil"/>
              <w:bottom w:val="single" w:sz="8" w:space="0" w:color="auto"/>
              <w:right w:val="single" w:sz="8" w:space="0" w:color="auto"/>
            </w:tcBorders>
            <w:shd w:val="clear" w:color="auto" w:fill="auto"/>
            <w:noWrap/>
            <w:vAlign w:val="center"/>
            <w:hideMark/>
          </w:tcPr>
          <w:p w14:paraId="3AAFB8EE" w14:textId="17344FE0" w:rsidR="0003234F" w:rsidRPr="00D40D66" w:rsidRDefault="0003234F" w:rsidP="0003234F">
            <w:pPr>
              <w:spacing w:before="0"/>
              <w:rPr>
                <w:b/>
                <w:bCs/>
                <w:sz w:val="16"/>
                <w:szCs w:val="16"/>
                <w:lang w:eastAsia="en-GB"/>
              </w:rPr>
            </w:pPr>
            <w:r w:rsidRPr="00D40D66">
              <w:rPr>
                <w:b/>
                <w:bCs/>
                <w:sz w:val="16"/>
                <w:szCs w:val="16"/>
                <w:lang w:eastAsia="en-GB"/>
              </w:rPr>
              <w:t>2 192 538</w:t>
            </w:r>
            <w:r w:rsidR="00D40D66">
              <w:rPr>
                <w:b/>
                <w:bCs/>
                <w:sz w:val="16"/>
                <w:szCs w:val="16"/>
                <w:lang w:eastAsia="en-GB"/>
              </w:rPr>
              <w:t>,</w:t>
            </w:r>
            <w:r w:rsidRPr="00D40D66">
              <w:rPr>
                <w:b/>
                <w:bCs/>
                <w:sz w:val="16"/>
                <w:szCs w:val="16"/>
                <w:lang w:eastAsia="en-GB"/>
              </w:rPr>
              <w:t>20</w:t>
            </w:r>
          </w:p>
        </w:tc>
        <w:tc>
          <w:tcPr>
            <w:tcW w:w="1196" w:type="dxa"/>
            <w:tcBorders>
              <w:top w:val="nil"/>
              <w:left w:val="nil"/>
              <w:bottom w:val="single" w:sz="8" w:space="0" w:color="auto"/>
              <w:right w:val="single" w:sz="8" w:space="0" w:color="auto"/>
            </w:tcBorders>
            <w:shd w:val="clear" w:color="auto" w:fill="auto"/>
            <w:noWrap/>
            <w:vAlign w:val="center"/>
            <w:hideMark/>
          </w:tcPr>
          <w:p w14:paraId="025667B1" w14:textId="0A860645" w:rsidR="0003234F" w:rsidRPr="00D40D66" w:rsidRDefault="0003234F" w:rsidP="0003234F">
            <w:pPr>
              <w:spacing w:before="0"/>
              <w:rPr>
                <w:b/>
                <w:bCs/>
                <w:sz w:val="16"/>
                <w:szCs w:val="16"/>
                <w:lang w:eastAsia="en-GB"/>
              </w:rPr>
            </w:pPr>
            <w:r w:rsidRPr="00D40D66">
              <w:rPr>
                <w:b/>
                <w:bCs/>
                <w:sz w:val="16"/>
                <w:szCs w:val="16"/>
                <w:lang w:eastAsia="en-GB"/>
              </w:rPr>
              <w:t>2 969 139,02</w:t>
            </w:r>
          </w:p>
        </w:tc>
      </w:tr>
    </w:tbl>
    <w:p w14:paraId="0501FB26" w14:textId="77777777" w:rsidR="004F66DB" w:rsidRDefault="004F66DB" w:rsidP="004E7024">
      <w:pPr>
        <w:spacing w:before="84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4F66DB" w:rsidSect="006C3242">
      <w:footerReference w:type="default" r:id="rId24"/>
      <w:headerReference w:type="firs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97BF" w14:textId="77777777" w:rsidR="0003234F" w:rsidRDefault="0003234F" w:rsidP="006C3242">
      <w:pPr>
        <w:spacing w:before="0" w:line="240" w:lineRule="auto"/>
      </w:pPr>
      <w:r>
        <w:separator/>
      </w:r>
    </w:p>
  </w:endnote>
  <w:endnote w:type="continuationSeparator" w:id="0">
    <w:p w14:paraId="4019884B" w14:textId="77777777" w:rsidR="0003234F" w:rsidRDefault="0003234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7E4E802" w14:textId="77777777" w:rsidTr="00357086">
      <w:trPr>
        <w:jc w:val="center"/>
      </w:trPr>
      <w:tc>
        <w:tcPr>
          <w:tcW w:w="868" w:type="pct"/>
          <w:vAlign w:val="center"/>
        </w:tcPr>
        <w:p w14:paraId="16FB4BBA" w14:textId="653AD4B7"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03234F">
            <w:rPr>
              <w:rFonts w:ascii="Calibri" w:hAnsi="Calibri" w:cs="Arial"/>
              <w:sz w:val="18"/>
              <w:szCs w:val="14"/>
            </w:rPr>
            <w:t>520397</w:t>
          </w:r>
        </w:p>
      </w:tc>
      <w:tc>
        <w:tcPr>
          <w:tcW w:w="3912" w:type="pct"/>
        </w:tcPr>
        <w:p w14:paraId="4194E6CD" w14:textId="0D16658D"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3234F">
            <w:rPr>
              <w:rFonts w:ascii="Calibri" w:hAnsi="Calibri" w:cs="Arial"/>
              <w:bCs/>
              <w:color w:val="7F7F7F"/>
              <w:sz w:val="18"/>
            </w:rPr>
            <w:t>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8672436"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3A57E01" w14:textId="36C56358" w:rsidR="006C3242" w:rsidRPr="00C30CAC" w:rsidRDefault="0055227F" w:rsidP="0055227F">
    <w:pPr>
      <w:pStyle w:val="Footer"/>
      <w:tabs>
        <w:tab w:val="clear" w:pos="4153"/>
        <w:tab w:val="clear" w:pos="8306"/>
        <w:tab w:val="center" w:pos="5103"/>
        <w:tab w:val="right" w:pos="9639"/>
      </w:tabs>
      <w:spacing w:before="120"/>
      <w:rPr>
        <w:sz w:val="16"/>
        <w:szCs w:val="16"/>
        <w:lang w:val="fr-CH"/>
      </w:rPr>
    </w:pPr>
    <w:r w:rsidRPr="004E7024">
      <w:rPr>
        <w:color w:val="F2F2F2" w:themeColor="background1" w:themeShade="F2"/>
        <w:sz w:val="16"/>
        <w:szCs w:val="16"/>
        <w:lang w:val="fr-FR"/>
      </w:rPr>
      <w:fldChar w:fldCharType="begin"/>
    </w:r>
    <w:r w:rsidRPr="004E7024">
      <w:rPr>
        <w:color w:val="F2F2F2" w:themeColor="background1" w:themeShade="F2"/>
        <w:sz w:val="16"/>
        <w:szCs w:val="16"/>
        <w:lang w:val="fr-CH"/>
      </w:rPr>
      <w:instrText xml:space="preserve"> FILENAME \p \* MERGEFORMAT </w:instrText>
    </w:r>
    <w:r w:rsidRPr="004E7024">
      <w:rPr>
        <w:color w:val="F2F2F2" w:themeColor="background1" w:themeShade="F2"/>
        <w:sz w:val="16"/>
        <w:szCs w:val="16"/>
        <w:lang w:val="fr-FR"/>
      </w:rPr>
      <w:fldChar w:fldCharType="separate"/>
    </w:r>
    <w:r w:rsidR="00C30CAC" w:rsidRPr="004E7024">
      <w:rPr>
        <w:noProof/>
        <w:color w:val="F2F2F2" w:themeColor="background1" w:themeShade="F2"/>
        <w:sz w:val="16"/>
        <w:szCs w:val="16"/>
        <w:lang w:val="fr-CH"/>
      </w:rPr>
      <w:t>P:\ARA\SG\CONSEIL\C23\000\011A.docx</w:t>
    </w:r>
    <w:r w:rsidRPr="004E7024">
      <w:rPr>
        <w:color w:val="F2F2F2" w:themeColor="background1" w:themeShade="F2"/>
        <w:sz w:val="16"/>
        <w:szCs w:val="16"/>
      </w:rPr>
      <w:fldChar w:fldCharType="end"/>
    </w:r>
    <w:proofErr w:type="gramStart"/>
    <w:r w:rsidRPr="004E7024">
      <w:rPr>
        <w:color w:val="F2F2F2" w:themeColor="background1" w:themeShade="F2"/>
        <w:sz w:val="16"/>
        <w:szCs w:val="16"/>
        <w:lang w:val="fr-CH"/>
      </w:rPr>
      <w:t xml:space="preserve">   (</w:t>
    </w:r>
    <w:proofErr w:type="gramEnd"/>
    <w:r w:rsidRPr="004E7024">
      <w:rPr>
        <w:color w:val="F2F2F2" w:themeColor="background1" w:themeShade="F2"/>
        <w:sz w:val="16"/>
        <w:szCs w:val="16"/>
        <w:lang w:val="fr-CH"/>
      </w:rPr>
      <w:t>520397)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6D2E49D" w14:textId="77777777" w:rsidTr="00F50E3F">
      <w:trPr>
        <w:jc w:val="center"/>
      </w:trPr>
      <w:tc>
        <w:tcPr>
          <w:tcW w:w="868" w:type="pct"/>
          <w:vAlign w:val="center"/>
        </w:tcPr>
        <w:p w14:paraId="5539884B" w14:textId="77777777" w:rsidR="007B0AA0" w:rsidRPr="007B0AA0" w:rsidRDefault="004E7024"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B2E7B57" w14:textId="5BD46EC1"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4F66DB">
            <w:rPr>
              <w:rFonts w:ascii="Calibri" w:hAnsi="Calibri" w:cs="Arial"/>
              <w:bCs/>
              <w:color w:val="7F7F7F"/>
              <w:sz w:val="18"/>
            </w:rPr>
            <w:t>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13E8721"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3993CE4" w14:textId="6C667E4D" w:rsidR="0006468A" w:rsidRPr="00C30CAC" w:rsidRDefault="0006468A" w:rsidP="0006468A">
    <w:pPr>
      <w:pStyle w:val="Footer"/>
      <w:tabs>
        <w:tab w:val="clear" w:pos="4153"/>
        <w:tab w:val="clear" w:pos="8306"/>
        <w:tab w:val="center" w:pos="5103"/>
        <w:tab w:val="right" w:pos="9639"/>
      </w:tabs>
      <w:spacing w:before="120"/>
      <w:rPr>
        <w:sz w:val="16"/>
        <w:szCs w:val="16"/>
        <w:lang w:val="fr-CH"/>
      </w:rPr>
    </w:pPr>
    <w:r w:rsidRPr="004E7024">
      <w:rPr>
        <w:color w:val="F2F2F2" w:themeColor="background1" w:themeShade="F2"/>
        <w:sz w:val="16"/>
        <w:szCs w:val="16"/>
        <w:lang w:val="fr-FR"/>
      </w:rPr>
      <w:fldChar w:fldCharType="begin"/>
    </w:r>
    <w:r w:rsidRPr="004E7024">
      <w:rPr>
        <w:color w:val="F2F2F2" w:themeColor="background1" w:themeShade="F2"/>
        <w:sz w:val="16"/>
        <w:szCs w:val="16"/>
        <w:lang w:val="fr-CH"/>
      </w:rPr>
      <w:instrText xml:space="preserve"> FILENAME \p \* MERGEFORMAT </w:instrText>
    </w:r>
    <w:r w:rsidRPr="004E7024">
      <w:rPr>
        <w:color w:val="F2F2F2" w:themeColor="background1" w:themeShade="F2"/>
        <w:sz w:val="16"/>
        <w:szCs w:val="16"/>
        <w:lang w:val="fr-FR"/>
      </w:rPr>
      <w:fldChar w:fldCharType="separate"/>
    </w:r>
    <w:r w:rsidR="00C30CAC" w:rsidRPr="004E7024">
      <w:rPr>
        <w:noProof/>
        <w:color w:val="F2F2F2" w:themeColor="background1" w:themeShade="F2"/>
        <w:sz w:val="16"/>
        <w:szCs w:val="16"/>
        <w:lang w:val="fr-CH"/>
      </w:rPr>
      <w:t>P:\ARA\SG\CONSEIL\C23\000\011A.docx</w:t>
    </w:r>
    <w:r w:rsidRPr="004E7024">
      <w:rPr>
        <w:color w:val="F2F2F2" w:themeColor="background1" w:themeShade="F2"/>
        <w:sz w:val="16"/>
        <w:szCs w:val="16"/>
      </w:rPr>
      <w:fldChar w:fldCharType="end"/>
    </w:r>
    <w:proofErr w:type="gramStart"/>
    <w:r w:rsidRPr="004E7024">
      <w:rPr>
        <w:color w:val="F2F2F2" w:themeColor="background1" w:themeShade="F2"/>
        <w:sz w:val="16"/>
        <w:szCs w:val="16"/>
        <w:lang w:val="fr-CH"/>
      </w:rPr>
      <w:t xml:space="preserve">   (</w:t>
    </w:r>
    <w:proofErr w:type="gramEnd"/>
    <w:r w:rsidR="0055227F" w:rsidRPr="004E7024">
      <w:rPr>
        <w:color w:val="F2F2F2" w:themeColor="background1" w:themeShade="F2"/>
        <w:sz w:val="16"/>
        <w:szCs w:val="16"/>
        <w:lang w:val="fr-CH"/>
      </w:rPr>
      <w:t>520397</w:t>
    </w:r>
    <w:r w:rsidRPr="004E7024">
      <w:rPr>
        <w:color w:val="F2F2F2" w:themeColor="background1" w:themeShade="F2"/>
        <w:sz w:val="16"/>
        <w:szCs w:val="16"/>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663B" w14:textId="77777777" w:rsidR="0003234F" w:rsidRDefault="0003234F" w:rsidP="006C3242">
      <w:pPr>
        <w:spacing w:before="0" w:line="240" w:lineRule="auto"/>
      </w:pPr>
      <w:r>
        <w:separator/>
      </w:r>
    </w:p>
  </w:footnote>
  <w:footnote w:type="continuationSeparator" w:id="0">
    <w:p w14:paraId="58E6BC72" w14:textId="77777777" w:rsidR="0003234F" w:rsidRDefault="0003234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7F13" w14:textId="77777777" w:rsidR="007B0AA0" w:rsidRDefault="00D13941" w:rsidP="007B0AA0">
    <w:pPr>
      <w:pStyle w:val="Header"/>
      <w:spacing w:before="120" w:after="240"/>
    </w:pPr>
    <w:r>
      <w:rPr>
        <w:noProof/>
      </w:rPr>
      <w:drawing>
        <wp:inline distT="0" distB="0" distL="0" distR="0" wp14:anchorId="1EFFC9AC" wp14:editId="55E89E21">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4F"/>
    <w:rsid w:val="0003234F"/>
    <w:rsid w:val="00032B3D"/>
    <w:rsid w:val="0006298D"/>
    <w:rsid w:val="0006468A"/>
    <w:rsid w:val="00066791"/>
    <w:rsid w:val="000868A4"/>
    <w:rsid w:val="00090574"/>
    <w:rsid w:val="000C1C0E"/>
    <w:rsid w:val="000C548A"/>
    <w:rsid w:val="00147748"/>
    <w:rsid w:val="00155D0A"/>
    <w:rsid w:val="001C0169"/>
    <w:rsid w:val="001D1D50"/>
    <w:rsid w:val="001D6745"/>
    <w:rsid w:val="001E446E"/>
    <w:rsid w:val="002154EE"/>
    <w:rsid w:val="002276D2"/>
    <w:rsid w:val="0023283D"/>
    <w:rsid w:val="0026373E"/>
    <w:rsid w:val="00271C43"/>
    <w:rsid w:val="00280B2F"/>
    <w:rsid w:val="00290728"/>
    <w:rsid w:val="002978F4"/>
    <w:rsid w:val="002B028D"/>
    <w:rsid w:val="002B7170"/>
    <w:rsid w:val="002E6541"/>
    <w:rsid w:val="00334924"/>
    <w:rsid w:val="003409BC"/>
    <w:rsid w:val="00357185"/>
    <w:rsid w:val="00383829"/>
    <w:rsid w:val="003D26AB"/>
    <w:rsid w:val="003E08AA"/>
    <w:rsid w:val="003E5047"/>
    <w:rsid w:val="003F4B29"/>
    <w:rsid w:val="00425C2E"/>
    <w:rsid w:val="0042686F"/>
    <w:rsid w:val="004317D8"/>
    <w:rsid w:val="00434183"/>
    <w:rsid w:val="00443869"/>
    <w:rsid w:val="00447F32"/>
    <w:rsid w:val="004A5572"/>
    <w:rsid w:val="004A65E8"/>
    <w:rsid w:val="004B421D"/>
    <w:rsid w:val="004B7334"/>
    <w:rsid w:val="004E11DC"/>
    <w:rsid w:val="004E7024"/>
    <w:rsid w:val="004F66DB"/>
    <w:rsid w:val="00500780"/>
    <w:rsid w:val="00501A8D"/>
    <w:rsid w:val="00525DDD"/>
    <w:rsid w:val="005409AC"/>
    <w:rsid w:val="0055227F"/>
    <w:rsid w:val="0055516A"/>
    <w:rsid w:val="00567037"/>
    <w:rsid w:val="0058491B"/>
    <w:rsid w:val="00592EA5"/>
    <w:rsid w:val="005A3170"/>
    <w:rsid w:val="00624673"/>
    <w:rsid w:val="00677396"/>
    <w:rsid w:val="0069200F"/>
    <w:rsid w:val="006A65CB"/>
    <w:rsid w:val="006C3242"/>
    <w:rsid w:val="006C7CC0"/>
    <w:rsid w:val="006F63F7"/>
    <w:rsid w:val="007025C7"/>
    <w:rsid w:val="00706D7A"/>
    <w:rsid w:val="00722F0D"/>
    <w:rsid w:val="0074420E"/>
    <w:rsid w:val="00783E26"/>
    <w:rsid w:val="007B0AA0"/>
    <w:rsid w:val="007B5BD3"/>
    <w:rsid w:val="007C3BC7"/>
    <w:rsid w:val="007C3BCD"/>
    <w:rsid w:val="007D4ACF"/>
    <w:rsid w:val="007F0787"/>
    <w:rsid w:val="00810B7B"/>
    <w:rsid w:val="0082358A"/>
    <w:rsid w:val="008235CD"/>
    <w:rsid w:val="008247DE"/>
    <w:rsid w:val="008248F0"/>
    <w:rsid w:val="008339C0"/>
    <w:rsid w:val="00833E51"/>
    <w:rsid w:val="00837E81"/>
    <w:rsid w:val="00840B10"/>
    <w:rsid w:val="008513CB"/>
    <w:rsid w:val="008A7F84"/>
    <w:rsid w:val="008F3B46"/>
    <w:rsid w:val="0091367F"/>
    <w:rsid w:val="0091702E"/>
    <w:rsid w:val="00923B0C"/>
    <w:rsid w:val="0094021C"/>
    <w:rsid w:val="00952F86"/>
    <w:rsid w:val="00982B28"/>
    <w:rsid w:val="009A31FD"/>
    <w:rsid w:val="009C291D"/>
    <w:rsid w:val="009D313F"/>
    <w:rsid w:val="00A21E47"/>
    <w:rsid w:val="00A47A5A"/>
    <w:rsid w:val="00A6683B"/>
    <w:rsid w:val="00A97F94"/>
    <w:rsid w:val="00AA7EA2"/>
    <w:rsid w:val="00B03099"/>
    <w:rsid w:val="00B05BC8"/>
    <w:rsid w:val="00B16BF8"/>
    <w:rsid w:val="00B31EB7"/>
    <w:rsid w:val="00B37C62"/>
    <w:rsid w:val="00B64B47"/>
    <w:rsid w:val="00B95654"/>
    <w:rsid w:val="00BD5B4F"/>
    <w:rsid w:val="00C002DE"/>
    <w:rsid w:val="00C1413A"/>
    <w:rsid w:val="00C30CAC"/>
    <w:rsid w:val="00C53BF8"/>
    <w:rsid w:val="00C66157"/>
    <w:rsid w:val="00C674FE"/>
    <w:rsid w:val="00C67501"/>
    <w:rsid w:val="00C75633"/>
    <w:rsid w:val="00C97FDD"/>
    <w:rsid w:val="00CB00BE"/>
    <w:rsid w:val="00CC68EE"/>
    <w:rsid w:val="00CE14EE"/>
    <w:rsid w:val="00CE2EE1"/>
    <w:rsid w:val="00CE3349"/>
    <w:rsid w:val="00CE36E5"/>
    <w:rsid w:val="00CF27F5"/>
    <w:rsid w:val="00CF3FFD"/>
    <w:rsid w:val="00D10CCF"/>
    <w:rsid w:val="00D13941"/>
    <w:rsid w:val="00D40D66"/>
    <w:rsid w:val="00D7086A"/>
    <w:rsid w:val="00D77D0F"/>
    <w:rsid w:val="00DA1CF0"/>
    <w:rsid w:val="00DC1E02"/>
    <w:rsid w:val="00DC24B4"/>
    <w:rsid w:val="00DC5FB0"/>
    <w:rsid w:val="00DF16DC"/>
    <w:rsid w:val="00DF4A9E"/>
    <w:rsid w:val="00E45211"/>
    <w:rsid w:val="00E473C5"/>
    <w:rsid w:val="00E61BE8"/>
    <w:rsid w:val="00E71B22"/>
    <w:rsid w:val="00E92863"/>
    <w:rsid w:val="00EB796D"/>
    <w:rsid w:val="00ED7685"/>
    <w:rsid w:val="00F058DC"/>
    <w:rsid w:val="00F24FC4"/>
    <w:rsid w:val="00F2676C"/>
    <w:rsid w:val="00F363FE"/>
    <w:rsid w:val="00F50E3F"/>
    <w:rsid w:val="00F84366"/>
    <w:rsid w:val="00F85089"/>
    <w:rsid w:val="00F974C5"/>
    <w:rsid w:val="00FA6F4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EC8A"/>
  <w15:chartTrackingRefBased/>
  <w15:docId w15:val="{3208E115-0F98-42A3-9745-EB1C9694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234F"/>
    <w:rPr>
      <w:color w:val="954F72" w:themeColor="followedHyperlink"/>
      <w:u w:val="single"/>
    </w:rPr>
  </w:style>
  <w:style w:type="paragraph" w:styleId="HTMLPreformatted">
    <w:name w:val="HTML Preformatted"/>
    <w:basedOn w:val="Normal"/>
    <w:link w:val="HTMLPreformattedChar"/>
    <w:uiPriority w:val="99"/>
    <w:semiHidden/>
    <w:unhideWhenUsed/>
    <w:rsid w:val="0003234F"/>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234F"/>
    <w:rPr>
      <w:rFonts w:ascii="Consolas" w:hAnsi="Consolas" w:cs="Dubai"/>
      <w:sz w:val="20"/>
      <w:szCs w:val="20"/>
    </w:rPr>
  </w:style>
  <w:style w:type="paragraph" w:customStyle="1" w:styleId="msonormal0">
    <w:name w:val="msonormal"/>
    <w:basedOn w:val="Normal"/>
    <w:rsid w:val="0003234F"/>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03234F"/>
    <w:pPr>
      <w:spacing w:line="240" w:lineRule="auto"/>
    </w:pPr>
    <w:rPr>
      <w:sz w:val="20"/>
      <w:szCs w:val="20"/>
    </w:rPr>
  </w:style>
  <w:style w:type="character" w:customStyle="1" w:styleId="CommentTextChar">
    <w:name w:val="Comment Text Char"/>
    <w:basedOn w:val="DefaultParagraphFont"/>
    <w:link w:val="CommentText"/>
    <w:uiPriority w:val="99"/>
    <w:semiHidden/>
    <w:rsid w:val="0003234F"/>
    <w:rPr>
      <w:rFonts w:ascii="Dubai" w:hAnsi="Dubai" w:cs="Dubai"/>
      <w:sz w:val="20"/>
      <w:szCs w:val="20"/>
    </w:rPr>
  </w:style>
  <w:style w:type="character" w:customStyle="1" w:styleId="TitleChar1">
    <w:name w:val="Title Char1"/>
    <w:aliases w:val="Title right Char1"/>
    <w:basedOn w:val="DefaultParagraphFont"/>
    <w:uiPriority w:val="10"/>
    <w:rsid w:val="0003234F"/>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03234F"/>
    <w:rPr>
      <w:b/>
      <w:bCs/>
    </w:rPr>
  </w:style>
  <w:style w:type="character" w:customStyle="1" w:styleId="CommentSubjectChar">
    <w:name w:val="Comment Subject Char"/>
    <w:basedOn w:val="CommentTextChar"/>
    <w:link w:val="CommentSubject"/>
    <w:uiPriority w:val="99"/>
    <w:semiHidden/>
    <w:rsid w:val="0003234F"/>
    <w:rPr>
      <w:rFonts w:ascii="Dubai" w:hAnsi="Dubai" w:cs="Dubai"/>
      <w:b/>
      <w:bCs/>
      <w:sz w:val="20"/>
      <w:szCs w:val="20"/>
    </w:rPr>
  </w:style>
  <w:style w:type="paragraph" w:styleId="BalloonText">
    <w:name w:val="Balloon Text"/>
    <w:basedOn w:val="Normal"/>
    <w:link w:val="BalloonTextChar"/>
    <w:uiPriority w:val="99"/>
    <w:semiHidden/>
    <w:unhideWhenUsed/>
    <w:rsid w:val="0003234F"/>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03234F"/>
    <w:rPr>
      <w:rFonts w:ascii="Segoe UI" w:eastAsia="Times New Roman" w:hAnsi="Segoe UI" w:cs="Segoe UI"/>
      <w:sz w:val="18"/>
      <w:szCs w:val="18"/>
      <w:lang w:eastAsia="en-US"/>
    </w:rPr>
  </w:style>
  <w:style w:type="paragraph" w:styleId="Revision">
    <w:name w:val="Revision"/>
    <w:uiPriority w:val="99"/>
    <w:semiHidden/>
    <w:rsid w:val="0003234F"/>
    <w:pPr>
      <w:spacing w:after="0" w:line="240" w:lineRule="auto"/>
    </w:pPr>
    <w:rPr>
      <w:rFonts w:ascii="Dubai" w:hAnsi="Dubai" w:cs="Dubai"/>
    </w:rPr>
  </w:style>
  <w:style w:type="character" w:customStyle="1" w:styleId="CallChar">
    <w:name w:val="Call Char"/>
    <w:basedOn w:val="DefaultParagraphFont"/>
    <w:link w:val="Call"/>
    <w:locked/>
    <w:rsid w:val="0003234F"/>
    <w:rPr>
      <w:rFonts w:ascii="Dubai" w:hAnsi="Dubai" w:cs="Dubai"/>
      <w:i/>
      <w:iCs/>
    </w:rPr>
  </w:style>
  <w:style w:type="character" w:customStyle="1" w:styleId="NormalaftertitleChar">
    <w:name w:val="Normal after title Char"/>
    <w:basedOn w:val="DefaultParagraphFont"/>
    <w:link w:val="Normalaftertitle"/>
    <w:locked/>
    <w:rsid w:val="0003234F"/>
    <w:rPr>
      <w:rFonts w:ascii="Dubai" w:hAnsi="Dubai" w:cs="Dubai"/>
      <w:lang w:bidi="ar-SY"/>
    </w:rPr>
  </w:style>
  <w:style w:type="character" w:customStyle="1" w:styleId="ReasonsChar">
    <w:name w:val="Reasons Char"/>
    <w:basedOn w:val="DefaultParagraphFont"/>
    <w:link w:val="Reasons"/>
    <w:locked/>
    <w:rsid w:val="0003234F"/>
    <w:rPr>
      <w:rFonts w:ascii="Dubai" w:hAnsi="Dubai" w:cs="Dubai"/>
      <w:b/>
      <w:bCs/>
    </w:rPr>
  </w:style>
  <w:style w:type="character" w:customStyle="1" w:styleId="ResNoChar">
    <w:name w:val="Res_No Char"/>
    <w:basedOn w:val="DefaultParagraphFont"/>
    <w:link w:val="ResNo"/>
    <w:locked/>
    <w:rsid w:val="0003234F"/>
    <w:rPr>
      <w:rFonts w:ascii="Dubai" w:hAnsi="Dubai" w:cs="Dubai"/>
      <w:sz w:val="26"/>
      <w:szCs w:val="26"/>
    </w:rPr>
  </w:style>
  <w:style w:type="character" w:customStyle="1" w:styleId="RestitleChar">
    <w:name w:val="Res_title Char"/>
    <w:basedOn w:val="AnnextitleChar"/>
    <w:link w:val="Restitle"/>
    <w:locked/>
    <w:rsid w:val="0003234F"/>
    <w:rPr>
      <w:rFonts w:ascii="Dubai" w:eastAsia="Times New Roman" w:hAnsi="Dubai" w:cs="Dubai"/>
      <w:b/>
      <w:bCs/>
      <w:sz w:val="28"/>
      <w:szCs w:val="28"/>
      <w:lang w:eastAsia="en-US" w:bidi="ar-SY"/>
    </w:rPr>
  </w:style>
  <w:style w:type="character" w:customStyle="1" w:styleId="TableheadChar">
    <w:name w:val="Table_head Char"/>
    <w:basedOn w:val="DefaultParagraphFont"/>
    <w:link w:val="Tablehead0"/>
    <w:locked/>
    <w:rsid w:val="0003234F"/>
    <w:rPr>
      <w:rFonts w:ascii="Dubai" w:eastAsia="Times New Roman" w:hAnsi="Dubai" w:cs="Dubai"/>
      <w:b/>
      <w:bCs/>
      <w:lang w:val="en-GB" w:eastAsia="en-US"/>
    </w:rPr>
  </w:style>
  <w:style w:type="paragraph" w:customStyle="1" w:styleId="Tablehead0">
    <w:name w:val="Table_head"/>
    <w:basedOn w:val="Normal"/>
    <w:link w:val="TableheadChar"/>
    <w:qFormat/>
    <w:rsid w:val="0003234F"/>
    <w:pPr>
      <w:tabs>
        <w:tab w:val="clear" w:pos="794"/>
      </w:tabs>
      <w:overflowPunct w:val="0"/>
      <w:autoSpaceDE w:val="0"/>
      <w:autoSpaceDN w:val="0"/>
      <w:bidi w:val="0"/>
      <w:adjustRightInd w:val="0"/>
      <w:spacing w:after="120" w:line="240" w:lineRule="auto"/>
      <w:jc w:val="center"/>
    </w:pPr>
    <w:rPr>
      <w:rFonts w:eastAsia="Times New Roman"/>
      <w:b/>
      <w:bCs/>
      <w:lang w:val="en-GB" w:eastAsia="en-US"/>
    </w:rPr>
  </w:style>
  <w:style w:type="character" w:customStyle="1" w:styleId="AnnextitleChar">
    <w:name w:val="Annex_title Char"/>
    <w:basedOn w:val="DefaultParagraphFont"/>
    <w:link w:val="Annextitle0"/>
    <w:locked/>
    <w:rsid w:val="0003234F"/>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03234F"/>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Appendixtitle0">
    <w:name w:val="Appendix_title"/>
    <w:basedOn w:val="Annextitle0"/>
    <w:next w:val="Normal"/>
    <w:rsid w:val="0003234F"/>
  </w:style>
  <w:style w:type="character" w:customStyle="1" w:styleId="TableNoChar">
    <w:name w:val="Table_No Char"/>
    <w:basedOn w:val="DefaultParagraphFont"/>
    <w:link w:val="TableNo0"/>
    <w:locked/>
    <w:rsid w:val="0003234F"/>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03234F"/>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03234F"/>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03234F"/>
    <w:pPr>
      <w:tabs>
        <w:tab w:val="clear" w:pos="794"/>
        <w:tab w:val="left" w:pos="113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Section1Char">
    <w:name w:val="Section_1 Char"/>
    <w:link w:val="Section10"/>
    <w:locked/>
    <w:rsid w:val="0003234F"/>
    <w:rPr>
      <w:rFonts w:ascii="Calibri" w:eastAsia="Times New Roman" w:hAnsi="Calibri" w:cs="Traditional Arabic"/>
      <w:b/>
      <w:bCs/>
      <w:sz w:val="24"/>
      <w:szCs w:val="32"/>
      <w:lang w:eastAsia="en-US" w:bidi="ar-EG"/>
    </w:rPr>
  </w:style>
  <w:style w:type="paragraph" w:customStyle="1" w:styleId="Section10">
    <w:name w:val="Section_1"/>
    <w:basedOn w:val="Normal"/>
    <w:link w:val="Section1Char"/>
    <w:qFormat/>
    <w:rsid w:val="0003234F"/>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paragraph" w:customStyle="1" w:styleId="Section20">
    <w:name w:val="Section_2"/>
    <w:basedOn w:val="Section10"/>
    <w:rsid w:val="0003234F"/>
    <w:pPr>
      <w:tabs>
        <w:tab w:val="clear" w:pos="1134"/>
        <w:tab w:val="center" w:pos="4820"/>
      </w:tabs>
      <w:bidi w:val="0"/>
      <w:spacing w:before="360"/>
    </w:pPr>
    <w:rPr>
      <w:b w:val="0"/>
      <w:bCs w:val="0"/>
      <w:i/>
      <w:iCs/>
      <w:lang w:val="en-GB" w:bidi="ar-SA"/>
    </w:rPr>
  </w:style>
  <w:style w:type="character" w:customStyle="1" w:styleId="TablelegendChar">
    <w:name w:val="Table_legend Char"/>
    <w:link w:val="Tablelegend0"/>
    <w:locked/>
    <w:rsid w:val="0003234F"/>
    <w:rPr>
      <w:rFonts w:ascii="Calibri" w:eastAsia="Times New Roman" w:hAnsi="Calibri" w:cs="Traditional Arabic"/>
      <w:i/>
      <w:iCs/>
      <w:szCs w:val="30"/>
      <w:lang w:bidi="ar-EG"/>
    </w:rPr>
  </w:style>
  <w:style w:type="paragraph" w:customStyle="1" w:styleId="Tablelegend0">
    <w:name w:val="Table_legend"/>
    <w:basedOn w:val="Normal"/>
    <w:link w:val="TablelegendChar"/>
    <w:rsid w:val="0003234F"/>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Sectiontitle0">
    <w:name w:val="Section_title"/>
    <w:basedOn w:val="Annextitle0"/>
    <w:next w:val="Normalaftertitle"/>
    <w:rsid w:val="0003234F"/>
    <w:pPr>
      <w:tabs>
        <w:tab w:val="clear" w:pos="567"/>
        <w:tab w:val="clear" w:pos="1701"/>
        <w:tab w:val="clear" w:pos="2835"/>
        <w:tab w:val="left" w:pos="1871"/>
      </w:tabs>
      <w:bidi w:val="0"/>
    </w:pPr>
    <w:rPr>
      <w:lang w:val="en-GB"/>
    </w:rPr>
  </w:style>
  <w:style w:type="character" w:styleId="CommentReference">
    <w:name w:val="annotation reference"/>
    <w:basedOn w:val="DefaultParagraphFont"/>
    <w:uiPriority w:val="99"/>
    <w:semiHidden/>
    <w:unhideWhenUsed/>
    <w:rsid w:val="0003234F"/>
    <w:rPr>
      <w:sz w:val="16"/>
      <w:szCs w:val="16"/>
    </w:rPr>
  </w:style>
  <w:style w:type="character" w:customStyle="1" w:styleId="UnresolvedMention1">
    <w:name w:val="Unresolved Mention1"/>
    <w:basedOn w:val="DefaultParagraphFont"/>
    <w:uiPriority w:val="99"/>
    <w:semiHidden/>
    <w:rsid w:val="0003234F"/>
    <w:rPr>
      <w:color w:val="605E5C"/>
      <w:shd w:val="clear" w:color="auto" w:fill="E1DFDD"/>
    </w:rPr>
  </w:style>
  <w:style w:type="character" w:customStyle="1" w:styleId="BalloonTextChar1">
    <w:name w:val="Balloon Text Char1"/>
    <w:basedOn w:val="DefaultParagraphFont"/>
    <w:uiPriority w:val="99"/>
    <w:semiHidden/>
    <w:rsid w:val="0003234F"/>
    <w:rPr>
      <w:rFonts w:ascii="Segoe UI" w:hAnsi="Segoe UI" w:cs="Segoe UI" w:hint="default"/>
      <w:sz w:val="18"/>
      <w:szCs w:val="18"/>
    </w:rPr>
  </w:style>
  <w:style w:type="character" w:customStyle="1" w:styleId="HTMLPreformattedChar1">
    <w:name w:val="HTML Preformatted Char1"/>
    <w:basedOn w:val="DefaultParagraphFont"/>
    <w:uiPriority w:val="99"/>
    <w:semiHidden/>
    <w:rsid w:val="0003234F"/>
    <w:rPr>
      <w:rFonts w:ascii="Consolas" w:hAnsi="Consolas" w:cs="Dubai" w:hint="default"/>
      <w:sz w:val="20"/>
      <w:szCs w:val="20"/>
    </w:rPr>
  </w:style>
  <w:style w:type="character" w:styleId="UnresolvedMention">
    <w:name w:val="Unresolved Mention"/>
    <w:basedOn w:val="DefaultParagraphFont"/>
    <w:uiPriority w:val="99"/>
    <w:semiHidden/>
    <w:unhideWhenUsed/>
    <w:rsid w:val="00032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4264">
      <w:bodyDiv w:val="1"/>
      <w:marLeft w:val="0"/>
      <w:marRight w:val="0"/>
      <w:marTop w:val="0"/>
      <w:marBottom w:val="0"/>
      <w:divBdr>
        <w:top w:val="none" w:sz="0" w:space="0" w:color="auto"/>
        <w:left w:val="none" w:sz="0" w:space="0" w:color="auto"/>
        <w:bottom w:val="none" w:sz="0" w:space="0" w:color="auto"/>
        <w:right w:val="none" w:sz="0" w:space="0" w:color="auto"/>
      </w:divBdr>
    </w:div>
    <w:div w:id="1202982775">
      <w:bodyDiv w:val="1"/>
      <w:marLeft w:val="0"/>
      <w:marRight w:val="0"/>
      <w:marTop w:val="0"/>
      <w:marBottom w:val="0"/>
      <w:divBdr>
        <w:top w:val="none" w:sz="0" w:space="0" w:color="auto"/>
        <w:left w:val="none" w:sz="0" w:space="0" w:color="auto"/>
        <w:bottom w:val="none" w:sz="0" w:space="0" w:color="auto"/>
        <w:right w:val="none" w:sz="0" w:space="0" w:color="auto"/>
      </w:divBdr>
    </w:div>
    <w:div w:id="1435856490">
      <w:bodyDiv w:val="1"/>
      <w:marLeft w:val="0"/>
      <w:marRight w:val="0"/>
      <w:marTop w:val="0"/>
      <w:marBottom w:val="0"/>
      <w:divBdr>
        <w:top w:val="none" w:sz="0" w:space="0" w:color="auto"/>
        <w:left w:val="none" w:sz="0" w:space="0" w:color="auto"/>
        <w:bottom w:val="none" w:sz="0" w:space="0" w:color="auto"/>
        <w:right w:val="none" w:sz="0" w:space="0" w:color="auto"/>
      </w:divBdr>
    </w:div>
    <w:div w:id="2033148752">
      <w:bodyDiv w:val="1"/>
      <w:marLeft w:val="0"/>
      <w:marRight w:val="0"/>
      <w:marTop w:val="0"/>
      <w:marBottom w:val="0"/>
      <w:divBdr>
        <w:top w:val="none" w:sz="0" w:space="0" w:color="auto"/>
        <w:left w:val="none" w:sz="0" w:space="0" w:color="auto"/>
        <w:bottom w:val="none" w:sz="0" w:space="0" w:color="auto"/>
        <w:right w:val="none" w:sz="0" w:space="0" w:color="auto"/>
      </w:divBdr>
    </w:div>
    <w:div w:id="20991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A.pdf" TargetMode="External"/><Relationship Id="rId13" Type="http://schemas.openxmlformats.org/officeDocument/2006/relationships/hyperlink" Target="http://www.itu.int/md/S14-CL-C-0026/en" TargetMode="External"/><Relationship Id="rId18" Type="http://schemas.openxmlformats.org/officeDocument/2006/relationships/hyperlink" Target="http://www.itu.int/md/S19-CL-C-004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2-CL-C-0043/en" TargetMode="External"/><Relationship Id="rId7" Type="http://schemas.openxmlformats.org/officeDocument/2006/relationships/endnotes" Target="endnotes.xml"/><Relationship Id="rId12" Type="http://schemas.openxmlformats.org/officeDocument/2006/relationships/hyperlink" Target="http://www.itu.int/itudoc/gs/council/c99/docs/docs1/027.html" TargetMode="External"/><Relationship Id="rId17" Type="http://schemas.openxmlformats.org/officeDocument/2006/relationships/hyperlink" Target="https://www.itu.int/md/S18-CL-C-0042/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C-0042/en" TargetMode="External"/><Relationship Id="rId20" Type="http://schemas.openxmlformats.org/officeDocument/2006/relationships/hyperlink" Target="https://www.itu.int/md/S21-CL-C-004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52-A.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16-CL-C-0042/en" TargetMode="External"/><Relationship Id="rId23" Type="http://schemas.openxmlformats.org/officeDocument/2006/relationships/hyperlink" Target="https://www.itu.int/md/S23-CL-C-0011/en" TargetMode="External"/><Relationship Id="rId28" Type="http://schemas.openxmlformats.org/officeDocument/2006/relationships/theme" Target="theme/theme1.xml"/><Relationship Id="rId10" Type="http://schemas.openxmlformats.org/officeDocument/2006/relationships/hyperlink" Target="https://www.itu.int/en/council/Documents/basic-texts/RES-041-A.pdf" TargetMode="External"/><Relationship Id="rId19" Type="http://schemas.openxmlformats.org/officeDocument/2006/relationships/hyperlink" Target="http://www.itu.int/md/S20-CL-C-0042/en" TargetMode="External"/><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4" Type="http://schemas.openxmlformats.org/officeDocument/2006/relationships/hyperlink" Target="http://www.itu.int/md/S15-CL-C-0050/en" TargetMode="External"/><Relationship Id="rId22" Type="http://schemas.openxmlformats.org/officeDocument/2006/relationships/hyperlink" Target="https://www.itu.int/en/council/Documents/basic-texts/RES-041-A.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2231</Words>
  <Characters>12719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2023</dc:subject>
  <dc:creator>Arabic_GE</dc:creator>
  <cp:keywords>C-23, Council-23, C23</cp:keywords>
  <dc:description/>
  <cp:lastModifiedBy>Xue, Kun</cp:lastModifiedBy>
  <cp:revision>2</cp:revision>
  <cp:lastPrinted>2023-06-13T15:30:00Z</cp:lastPrinted>
  <dcterms:created xsi:type="dcterms:W3CDTF">2023-06-20T11:54:00Z</dcterms:created>
  <dcterms:modified xsi:type="dcterms:W3CDTF">2023-06-20T11:54:00Z</dcterms:modified>
</cp:coreProperties>
</file>