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B8251A" w14:paraId="5B67D1AA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0DDA867" w14:textId="4C157327" w:rsidR="00FE57F6" w:rsidRPr="00B8251A" w:rsidRDefault="004D343D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B8251A">
              <w:rPr>
                <w:b/>
              </w:rPr>
              <w:t>Punto del orden del día: PL 2</w:t>
            </w:r>
          </w:p>
        </w:tc>
        <w:tc>
          <w:tcPr>
            <w:tcW w:w="5245" w:type="dxa"/>
          </w:tcPr>
          <w:p w14:paraId="2292237A" w14:textId="42A18068" w:rsidR="00FE57F6" w:rsidRPr="00B8251A" w:rsidRDefault="004D343D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B8251A">
              <w:rPr>
                <w:b/>
              </w:rPr>
              <w:t>Addéndum 1 al</w:t>
            </w:r>
            <w:r w:rsidRPr="00B8251A">
              <w:rPr>
                <w:b/>
              </w:rPr>
              <w:br/>
            </w:r>
            <w:r w:rsidR="00FE57F6" w:rsidRPr="00B8251A">
              <w:rPr>
                <w:b/>
              </w:rPr>
              <w:t>Document</w:t>
            </w:r>
            <w:r w:rsidR="00F24B71" w:rsidRPr="00B8251A">
              <w:rPr>
                <w:b/>
              </w:rPr>
              <w:t>o</w:t>
            </w:r>
            <w:r w:rsidR="00FE57F6" w:rsidRPr="00B8251A">
              <w:rPr>
                <w:b/>
              </w:rPr>
              <w:t xml:space="preserve"> C23/</w:t>
            </w:r>
            <w:r w:rsidRPr="00B8251A">
              <w:rPr>
                <w:b/>
              </w:rPr>
              <w:t>8</w:t>
            </w:r>
            <w:r w:rsidR="00FE57F6" w:rsidRPr="00B8251A">
              <w:rPr>
                <w:b/>
              </w:rPr>
              <w:t>-</w:t>
            </w:r>
            <w:r w:rsidR="00F24B71" w:rsidRPr="00B8251A">
              <w:rPr>
                <w:b/>
              </w:rPr>
              <w:t>S</w:t>
            </w:r>
          </w:p>
        </w:tc>
      </w:tr>
      <w:tr w:rsidR="00FE57F6" w:rsidRPr="00B8251A" w14:paraId="5FD82D1F" w14:textId="77777777" w:rsidTr="00C538FC">
        <w:trPr>
          <w:cantSplit/>
        </w:trPr>
        <w:tc>
          <w:tcPr>
            <w:tcW w:w="3969" w:type="dxa"/>
            <w:vMerge/>
          </w:tcPr>
          <w:p w14:paraId="38E35880" w14:textId="77777777" w:rsidR="00FE57F6" w:rsidRPr="00B8251A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C6F601" w14:textId="4F4C9BD3" w:rsidR="00FE57F6" w:rsidRPr="00B8251A" w:rsidRDefault="004D343D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B8251A">
              <w:rPr>
                <w:b/>
              </w:rPr>
              <w:t>3 de julio de</w:t>
            </w:r>
            <w:r w:rsidR="00FE57F6" w:rsidRPr="00B8251A">
              <w:rPr>
                <w:b/>
              </w:rPr>
              <w:t xml:space="preserve"> 2023</w:t>
            </w:r>
          </w:p>
        </w:tc>
      </w:tr>
      <w:tr w:rsidR="00FE57F6" w:rsidRPr="00B8251A" w14:paraId="639A7DCE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0347F746" w14:textId="77777777" w:rsidR="00FE57F6" w:rsidRPr="00B8251A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AE5F950" w14:textId="77777777" w:rsidR="00FE57F6" w:rsidRPr="00B8251A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B8251A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B8251A" w14:paraId="09DBD297" w14:textId="77777777" w:rsidTr="00C538FC">
        <w:trPr>
          <w:cantSplit/>
          <w:trHeight w:val="23"/>
        </w:trPr>
        <w:tc>
          <w:tcPr>
            <w:tcW w:w="3969" w:type="dxa"/>
          </w:tcPr>
          <w:p w14:paraId="38D92F76" w14:textId="77777777" w:rsidR="00FE57F6" w:rsidRPr="00B8251A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EFEA3B8" w14:textId="77777777" w:rsidR="00FE57F6" w:rsidRPr="00B8251A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B8251A" w14:paraId="6DE313B3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12AB15D" w14:textId="77777777" w:rsidR="00FE57F6" w:rsidRPr="00B8251A" w:rsidRDefault="00F24B71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B8251A">
              <w:rPr>
                <w:rFonts w:cstheme="minorHAnsi"/>
                <w:sz w:val="34"/>
                <w:szCs w:val="34"/>
              </w:rPr>
              <w:t>Informe de</w:t>
            </w:r>
            <w:r w:rsidR="004B5D49" w:rsidRPr="00B8251A">
              <w:rPr>
                <w:rFonts w:cstheme="minorHAnsi"/>
                <w:sz w:val="34"/>
                <w:szCs w:val="34"/>
              </w:rPr>
              <w:t xml:space="preserve"> </w:t>
            </w:r>
            <w:r w:rsidRPr="00B8251A">
              <w:rPr>
                <w:rFonts w:cstheme="minorHAnsi"/>
                <w:sz w:val="34"/>
                <w:szCs w:val="34"/>
              </w:rPr>
              <w:t>l</w:t>
            </w:r>
            <w:r w:rsidR="004B5D49" w:rsidRPr="00B8251A">
              <w:rPr>
                <w:rFonts w:cstheme="minorHAnsi"/>
                <w:sz w:val="34"/>
                <w:szCs w:val="34"/>
              </w:rPr>
              <w:t>a</w:t>
            </w:r>
            <w:r w:rsidRPr="00B8251A">
              <w:rPr>
                <w:rFonts w:cstheme="minorHAnsi"/>
                <w:sz w:val="34"/>
                <w:szCs w:val="34"/>
              </w:rPr>
              <w:t xml:space="preserve"> Secretari</w:t>
            </w:r>
            <w:r w:rsidR="004B5D49" w:rsidRPr="00B8251A">
              <w:rPr>
                <w:rFonts w:cstheme="minorHAnsi"/>
                <w:sz w:val="34"/>
                <w:szCs w:val="34"/>
              </w:rPr>
              <w:t>a</w:t>
            </w:r>
            <w:r w:rsidRPr="00B8251A">
              <w:rPr>
                <w:rFonts w:cstheme="minorHAnsi"/>
                <w:sz w:val="34"/>
                <w:szCs w:val="34"/>
              </w:rPr>
              <w:t xml:space="preserve"> General</w:t>
            </w:r>
          </w:p>
        </w:tc>
      </w:tr>
      <w:tr w:rsidR="00FE57F6" w:rsidRPr="00B8251A" w14:paraId="797B4ED6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B77AED7" w14:textId="4EA78B44" w:rsidR="00FE57F6" w:rsidRPr="00B8251A" w:rsidRDefault="004D343D" w:rsidP="00C538FC">
            <w:pPr>
              <w:pStyle w:val="Subtitle"/>
              <w:framePr w:hSpace="0" w:wrap="auto" w:hAnchor="text" w:xAlign="left" w:yAlign="inline"/>
              <w:rPr>
                <w:lang w:val="es-ES_tradnl"/>
              </w:rPr>
            </w:pPr>
            <w:r w:rsidRPr="00B8251A">
              <w:rPr>
                <w:rFonts w:cstheme="minorHAnsi"/>
                <w:lang w:val="es-ES_tradnl"/>
              </w:rPr>
              <w:t>MEDICIÓN DE LAS TECNOLOGÍAS DE LA INFORMACIÓN Y LA COMUNICACIÓN PARA LA CONSTRUCCIÓN DE UNA SOCIEDAD DE LA INFORMACIÓN INTEGRADORA E INCLUSIVA</w:t>
            </w:r>
          </w:p>
        </w:tc>
      </w:tr>
      <w:tr w:rsidR="00FE57F6" w:rsidRPr="00B8251A" w14:paraId="19BFE178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A8C54B1" w14:textId="6D5D99FA" w:rsidR="00FE57F6" w:rsidRPr="00B8251A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8251A">
              <w:rPr>
                <w:b/>
                <w:bCs/>
                <w:sz w:val="26"/>
                <w:szCs w:val="26"/>
              </w:rPr>
              <w:t>Finalidad</w:t>
            </w:r>
          </w:p>
          <w:p w14:paraId="4499C1F9" w14:textId="6997344E" w:rsidR="00FE57F6" w:rsidRPr="00B8251A" w:rsidRDefault="004D343D" w:rsidP="00C538FC">
            <w:r w:rsidRPr="00B8251A">
              <w:t>El objetivo de este addéndum es presentar información actualizada sobre la aplicación de la Resolución 131 (Rev. Bucarest, 2022) de la PP, posterior a la publicación del Documento C23/8 el 30 de marzo de 2023.</w:t>
            </w:r>
          </w:p>
          <w:p w14:paraId="59B345B9" w14:textId="77777777" w:rsidR="00FE57F6" w:rsidRPr="00B8251A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8251A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B8251A">
              <w:rPr>
                <w:b/>
                <w:bCs/>
                <w:sz w:val="26"/>
                <w:szCs w:val="26"/>
              </w:rPr>
              <w:t>al</w:t>
            </w:r>
            <w:r w:rsidRPr="00B8251A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4D86A2FF" w14:textId="35692752" w:rsidR="00FE57F6" w:rsidRPr="00B8251A" w:rsidRDefault="004D343D" w:rsidP="004D343D">
            <w:pPr>
              <w:tabs>
                <w:tab w:val="clear" w:pos="567"/>
                <w:tab w:val="clear" w:pos="1701"/>
                <w:tab w:val="clear" w:pos="2268"/>
                <w:tab w:val="clear" w:pos="2835"/>
              </w:tabs>
            </w:pPr>
            <w:r w:rsidRPr="00B8251A">
              <w:t xml:space="preserve">Se invita al Consejo a </w:t>
            </w:r>
            <w:r w:rsidRPr="00B8251A">
              <w:rPr>
                <w:b/>
                <w:bCs/>
              </w:rPr>
              <w:t>tomar nota</w:t>
            </w:r>
            <w:r w:rsidRPr="00B8251A">
              <w:t xml:space="preserve"> del presente documento.</w:t>
            </w:r>
          </w:p>
          <w:p w14:paraId="4127F3D8" w14:textId="77777777" w:rsidR="00FE57F6" w:rsidRPr="00B8251A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8251A">
              <w:rPr>
                <w:b/>
                <w:bCs/>
                <w:sz w:val="26"/>
                <w:szCs w:val="26"/>
              </w:rPr>
              <w:t>Vínculos pertinentes con el Plan Estratégico</w:t>
            </w:r>
          </w:p>
          <w:p w14:paraId="34C26BD4" w14:textId="03098917" w:rsidR="00FE57F6" w:rsidRPr="00B8251A" w:rsidRDefault="004D343D" w:rsidP="00C538FC">
            <w:r w:rsidRPr="00B8251A">
              <w:t>Suministro de datos y estadísticas</w:t>
            </w:r>
          </w:p>
          <w:p w14:paraId="21AF6CFF" w14:textId="7A323327" w:rsidR="00FE57F6" w:rsidRPr="00B8251A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8251A">
              <w:rPr>
                <w:b/>
                <w:bCs/>
                <w:sz w:val="26"/>
                <w:szCs w:val="26"/>
              </w:rPr>
              <w:t>Repercusiones financieras:</w:t>
            </w:r>
          </w:p>
          <w:p w14:paraId="496284B6" w14:textId="1B92FBBA" w:rsidR="004D343D" w:rsidRPr="00B8251A" w:rsidRDefault="004D343D" w:rsidP="004D343D">
            <w:r w:rsidRPr="00B8251A">
              <w:t>Ninguna</w:t>
            </w:r>
          </w:p>
          <w:p w14:paraId="61F54954" w14:textId="77777777" w:rsidR="00FE57F6" w:rsidRPr="00B8251A" w:rsidRDefault="00FE57F6" w:rsidP="00C538FC">
            <w:pPr>
              <w:spacing w:before="160"/>
              <w:rPr>
                <w:caps/>
                <w:sz w:val="22"/>
              </w:rPr>
            </w:pPr>
            <w:r w:rsidRPr="00B8251A">
              <w:rPr>
                <w:sz w:val="22"/>
              </w:rPr>
              <w:t>__________________</w:t>
            </w:r>
          </w:p>
          <w:p w14:paraId="1A0AFB6D" w14:textId="77777777" w:rsidR="00FE57F6" w:rsidRPr="00B8251A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B8251A">
              <w:rPr>
                <w:b/>
                <w:bCs/>
                <w:sz w:val="26"/>
                <w:szCs w:val="26"/>
              </w:rPr>
              <w:t>Referencia</w:t>
            </w:r>
          </w:p>
          <w:p w14:paraId="325C4B42" w14:textId="1A117498" w:rsidR="00FE57F6" w:rsidRPr="00B8251A" w:rsidRDefault="004D343D" w:rsidP="00C538FC">
            <w:pPr>
              <w:spacing w:after="160"/>
            </w:pPr>
            <w:r w:rsidRPr="00B8251A">
              <w:rPr>
                <w:szCs w:val="24"/>
              </w:rPr>
              <w:t xml:space="preserve">Documento </w:t>
            </w:r>
            <w:hyperlink r:id="rId7" w:history="1">
              <w:r w:rsidRPr="00B8251A">
                <w:rPr>
                  <w:rStyle w:val="Hyperlink"/>
                  <w:szCs w:val="24"/>
                </w:rPr>
                <w:t>C23/8</w:t>
              </w:r>
            </w:hyperlink>
            <w:r w:rsidRPr="00B8251A">
              <w:rPr>
                <w:szCs w:val="24"/>
              </w:rPr>
              <w:t xml:space="preserve">, </w:t>
            </w:r>
            <w:hyperlink r:id="rId8" w:history="1">
              <w:r w:rsidRPr="00B8251A">
                <w:rPr>
                  <w:rStyle w:val="Hyperlink"/>
                  <w:szCs w:val="24"/>
                </w:rPr>
                <w:t>Resolución 131</w:t>
              </w:r>
            </w:hyperlink>
            <w:r w:rsidRPr="00B8251A">
              <w:rPr>
                <w:color w:val="000000"/>
                <w:szCs w:val="24"/>
              </w:rPr>
              <w:t xml:space="preserve"> (Rev. Bucarest, 2022) de la Conferencia de Plenipotenciarios.</w:t>
            </w:r>
          </w:p>
        </w:tc>
      </w:tr>
      <w:bookmarkEnd w:id="0"/>
    </w:tbl>
    <w:p w14:paraId="71397ECD" w14:textId="77777777" w:rsidR="00093EEB" w:rsidRPr="00B8251A" w:rsidRDefault="00093EEB"/>
    <w:p w14:paraId="45C25FE1" w14:textId="77777777" w:rsidR="001559F5" w:rsidRPr="00B8251A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B8251A">
        <w:br w:type="page"/>
      </w:r>
    </w:p>
    <w:p w14:paraId="763AAFC7" w14:textId="636B42C7" w:rsidR="004D343D" w:rsidRPr="00B8251A" w:rsidRDefault="004D343D" w:rsidP="004D343D">
      <w:r w:rsidRPr="00B8251A">
        <w:lastRenderedPageBreak/>
        <w:t>En marzo-abril de 2023, tras la consulta con los miembros del Grupo de Expertos en Indicadores de las Telecomunicaciones/TIC (GEIT) y el Grupo de Expertos en Indicadores de las TIC en el Hogar (GEH) sobre el "</w:t>
      </w:r>
      <w:hyperlink r:id="rId9" w:history="1">
        <w:r w:rsidRPr="00B8251A">
          <w:rPr>
            <w:rStyle w:val="Hyperlink"/>
            <w:szCs w:val="24"/>
          </w:rPr>
          <w:t>primer borrador</w:t>
        </w:r>
      </w:hyperlink>
      <w:r w:rsidRPr="00B8251A">
        <w:t xml:space="preserve">" de la metodología, que concluyó el 21 de marzo de 2023, la Secretaría recopiló todas las observaciones, les dio respuesta y actualizó la metodología, generando la </w:t>
      </w:r>
      <w:hyperlink r:id="rId10" w:history="1">
        <w:r w:rsidRPr="00B8251A">
          <w:rPr>
            <w:rStyle w:val="Hyperlink"/>
            <w:szCs w:val="24"/>
          </w:rPr>
          <w:t>Versión 1</w:t>
        </w:r>
      </w:hyperlink>
      <w:r w:rsidRPr="00B8251A">
        <w:t xml:space="preserve"> de la metodología del IDT.</w:t>
      </w:r>
      <w:r w:rsidR="00B8251A">
        <w:t xml:space="preserve"> </w:t>
      </w:r>
    </w:p>
    <w:p w14:paraId="4476644C" w14:textId="0226795B" w:rsidR="004D343D" w:rsidRPr="00B8251A" w:rsidRDefault="004D343D" w:rsidP="004D343D">
      <w:r w:rsidRPr="00B8251A">
        <w:t xml:space="preserve">A través de la </w:t>
      </w:r>
      <w:hyperlink r:id="rId11" w:history="1">
        <w:r w:rsidRPr="00B8251A">
          <w:rPr>
            <w:rStyle w:val="Hyperlink"/>
            <w:szCs w:val="24"/>
          </w:rPr>
          <w:t>Circular BDT/DKH/IDA/009</w:t>
        </w:r>
      </w:hyperlink>
      <w:r w:rsidRPr="00B8251A">
        <w:t xml:space="preserve"> de 21 de abril de 2023 se invitó a todos los Estados Miembros a formular observaciones sobre la Versión 1 de la metodología del IDT durante un periodo de consulta de cuatro semanas a través del mismo foro de discusión. Catorce Estados Miembros enviaron sus comentarios. </w:t>
      </w:r>
    </w:p>
    <w:p w14:paraId="0CF28CF5" w14:textId="415D8DBD" w:rsidR="004D343D" w:rsidRPr="00B8251A" w:rsidRDefault="004D343D" w:rsidP="004D343D">
      <w:r w:rsidRPr="00B8251A">
        <w:t xml:space="preserve">Tras esa consulta con los Estados Miembros, la Secretaría recopiló las observaciones recibidas, les dio respuesta y elaboró la </w:t>
      </w:r>
      <w:hyperlink r:id="rId12" w:history="1">
        <w:r w:rsidRPr="00B8251A">
          <w:rPr>
            <w:rStyle w:val="Hyperlink"/>
            <w:szCs w:val="24"/>
          </w:rPr>
          <w:t>Versión 2</w:t>
        </w:r>
      </w:hyperlink>
      <w:r w:rsidRPr="00B8251A">
        <w:t xml:space="preserve"> de la metodología del IDT. En esa Versión 2 se identifican además los temas pendientes para cuya resolución, y para alcanzar un consenso, se organizó del 13 al 15 de junio de 2023 una </w:t>
      </w:r>
      <w:hyperlink r:id="rId13" w:history="1">
        <w:r w:rsidRPr="00B8251A">
          <w:rPr>
            <w:rStyle w:val="Hyperlink"/>
            <w:szCs w:val="24"/>
          </w:rPr>
          <w:t>reunión virtual conjunta del GEIT/GEH</w:t>
        </w:r>
      </w:hyperlink>
      <w:r w:rsidRPr="00B8251A">
        <w:t xml:space="preserve"> sobre la metodología del IDT, de conformidad con la </w:t>
      </w:r>
      <w:hyperlink r:id="rId14" w:history="1">
        <w:r w:rsidRPr="00B8251A">
          <w:rPr>
            <w:rStyle w:val="Hyperlink"/>
            <w:szCs w:val="24"/>
          </w:rPr>
          <w:t>Resolución 131</w:t>
        </w:r>
      </w:hyperlink>
      <w:r w:rsidRPr="00B8251A">
        <w:t xml:space="preserve"> (</w:t>
      </w:r>
      <w:r w:rsidRPr="00B8251A">
        <w:rPr>
          <w:i/>
          <w:iCs/>
        </w:rPr>
        <w:t xml:space="preserve">encarga al Director de la BDT </w:t>
      </w:r>
      <w:r w:rsidRPr="00E13DA4">
        <w:t>9</w:t>
      </w:r>
      <w:r w:rsidRPr="00B8251A">
        <w:t xml:space="preserve">). La invitación a la reunión se envió mediante la </w:t>
      </w:r>
      <w:hyperlink r:id="rId15" w:history="1">
        <w:r w:rsidRPr="00B8251A">
          <w:rPr>
            <w:rStyle w:val="Hyperlink"/>
            <w:szCs w:val="24"/>
          </w:rPr>
          <w:t>Circular BDT/DKH/IDA/007</w:t>
        </w:r>
      </w:hyperlink>
      <w:r w:rsidRPr="00B8251A">
        <w:t xml:space="preserve"> de 21 de marzo de 2023.</w:t>
      </w:r>
    </w:p>
    <w:p w14:paraId="50164235" w14:textId="1EE7580E" w:rsidR="004D343D" w:rsidRPr="00B8251A" w:rsidRDefault="004D343D" w:rsidP="004D343D">
      <w:r w:rsidRPr="00B8251A">
        <w:t xml:space="preserve">Antes de la reunión se distribuyó la </w:t>
      </w:r>
      <w:r w:rsidR="00B8251A">
        <w:t>"</w:t>
      </w:r>
      <w:r w:rsidRPr="00B8251A">
        <w:t>Versión 2</w:t>
      </w:r>
      <w:r w:rsidR="00B8251A">
        <w:t>"</w:t>
      </w:r>
      <w:r w:rsidRPr="00B8251A">
        <w:t xml:space="preserve"> a todos los interesados mediante la </w:t>
      </w:r>
      <w:hyperlink r:id="rId16" w:history="1">
        <w:r w:rsidRPr="00B8251A">
          <w:rPr>
            <w:rStyle w:val="Hyperlink"/>
            <w:szCs w:val="24"/>
          </w:rPr>
          <w:t>Circular BDT/DKH/IDA/010</w:t>
        </w:r>
      </w:hyperlink>
      <w:r w:rsidRPr="00B8251A">
        <w:t xml:space="preserve"> de 2 de junio de 2023.</w:t>
      </w:r>
    </w:p>
    <w:p w14:paraId="00F6D5BB" w14:textId="6869648B" w:rsidR="004D343D" w:rsidRPr="00B8251A" w:rsidRDefault="004D343D" w:rsidP="004D343D">
      <w:r w:rsidRPr="00B8251A">
        <w:t xml:space="preserve">Tras la reunión se publicó en la correspondiente página web el </w:t>
      </w:r>
      <w:hyperlink r:id="rId17" w:history="1">
        <w:r w:rsidRPr="00B8251A">
          <w:rPr>
            <w:rStyle w:val="Hyperlink"/>
            <w:szCs w:val="24"/>
          </w:rPr>
          <w:t>Informe resumido</w:t>
        </w:r>
      </w:hyperlink>
      <w:r w:rsidRPr="00B8251A">
        <w:t xml:space="preserve"> de la reunión. El 23 de junio de 2023 la Secretaría de la UIT presentó las últimas novedades al respecto a la reunión del </w:t>
      </w:r>
      <w:hyperlink r:id="rId18" w:history="1">
        <w:r w:rsidRPr="00B8251A">
          <w:rPr>
            <w:rStyle w:val="Hyperlink"/>
            <w:szCs w:val="24"/>
          </w:rPr>
          <w:t>Grupo Asesor de Desarrollo de las Telecomunicaciones de 2023</w:t>
        </w:r>
      </w:hyperlink>
      <w:r w:rsidRPr="00B8251A">
        <w:t xml:space="preserve"> (punto 8.9 del orden del día).</w:t>
      </w:r>
    </w:p>
    <w:p w14:paraId="18721EAF" w14:textId="00A73798" w:rsidR="004D343D" w:rsidRPr="00B8251A" w:rsidRDefault="004D343D" w:rsidP="004D343D">
      <w:r w:rsidRPr="00B8251A">
        <w:t>A partir de los resultados de la reunión, la Secretaría revisará y ultimará la metodología del</w:t>
      </w:r>
      <w:r w:rsidR="00E13DA4">
        <w:t> </w:t>
      </w:r>
      <w:r w:rsidRPr="00B8251A">
        <w:t>IDT, cuya versión definitiva se someterá a la aprobación de los Estados Miembros en agosto. Se preguntará a los Estados Miembros:</w:t>
      </w:r>
    </w:p>
    <w:p w14:paraId="6D0FD872" w14:textId="0C657F7C" w:rsidR="004D343D" w:rsidRPr="00B8251A" w:rsidRDefault="004D343D" w:rsidP="004D343D">
      <w:pPr>
        <w:pStyle w:val="enumlev1"/>
      </w:pPr>
      <w:r w:rsidRPr="00B8251A">
        <w:t>1</w:t>
      </w:r>
      <w:r w:rsidRPr="00B8251A">
        <w:tab/>
        <w:t xml:space="preserve">Si aprueban la metodología del Índice, y </w:t>
      </w:r>
    </w:p>
    <w:p w14:paraId="13EF6D96" w14:textId="06231F89" w:rsidR="004D343D" w:rsidRPr="00B8251A" w:rsidRDefault="004D343D" w:rsidP="004D343D">
      <w:pPr>
        <w:pStyle w:val="enumlev1"/>
      </w:pPr>
      <w:r w:rsidRPr="00B8251A">
        <w:t>2</w:t>
      </w:r>
      <w:r w:rsidRPr="00B8251A">
        <w:tab/>
        <w:t xml:space="preserve">Si desean retirarse de la edición de 2023 del Índice (pudiendo, si lo desean, volver a colaborar en ediciones posteriores). </w:t>
      </w:r>
    </w:p>
    <w:p w14:paraId="634BDF65" w14:textId="77777777" w:rsidR="004D343D" w:rsidRPr="00B8251A" w:rsidRDefault="004D343D" w:rsidP="004D343D">
      <w:r w:rsidRPr="00B8251A">
        <w:t xml:space="preserve">La metodología se adoptará si se obtiene la aprobación del 70% de los Estados Miembros que respondan, de conformidad con la Resolución 131. De ser así, el IDT 2023 se publicará a finales de noviembre o principios de diciembre de este año. </w:t>
      </w:r>
    </w:p>
    <w:p w14:paraId="04470A8E" w14:textId="500AA255" w:rsidR="004D343D" w:rsidRPr="00B8251A" w:rsidRDefault="004D343D" w:rsidP="004D343D">
      <w:pPr>
        <w:pStyle w:val="Reasons"/>
      </w:pPr>
    </w:p>
    <w:p w14:paraId="4CE519AC" w14:textId="1F14CD14" w:rsidR="00927F93" w:rsidRPr="00B8251A" w:rsidRDefault="004D343D" w:rsidP="004D343D">
      <w:pPr>
        <w:jc w:val="center"/>
      </w:pPr>
      <w:r w:rsidRPr="00B8251A">
        <w:t>______________</w:t>
      </w:r>
    </w:p>
    <w:sectPr w:rsidR="00927F93" w:rsidRPr="00B8251A" w:rsidSect="00C538FC">
      <w:footerReference w:type="default" r:id="rId19"/>
      <w:headerReference w:type="first" r:id="rId20"/>
      <w:footerReference w:type="first" r:id="rId2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DAAB" w14:textId="77777777" w:rsidR="00091F87" w:rsidRDefault="00091F87">
      <w:r>
        <w:separator/>
      </w:r>
    </w:p>
  </w:endnote>
  <w:endnote w:type="continuationSeparator" w:id="0">
    <w:p w14:paraId="70EDA9B6" w14:textId="77777777" w:rsidR="00091F87" w:rsidRDefault="0009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3D972251" w14:textId="77777777" w:rsidTr="00E31DCE">
      <w:trPr>
        <w:jc w:val="center"/>
      </w:trPr>
      <w:tc>
        <w:tcPr>
          <w:tcW w:w="1803" w:type="dxa"/>
          <w:vAlign w:val="center"/>
        </w:tcPr>
        <w:p w14:paraId="09EF9146" w14:textId="017D234C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4D343D">
            <w:rPr>
              <w:noProof/>
            </w:rPr>
            <w:t>525668</w:t>
          </w:r>
        </w:p>
      </w:tc>
      <w:tc>
        <w:tcPr>
          <w:tcW w:w="8261" w:type="dxa"/>
        </w:tcPr>
        <w:p w14:paraId="46A4DBF5" w14:textId="00D764FA" w:rsidR="003273A4" w:rsidRPr="00E06FD5" w:rsidRDefault="003273A4" w:rsidP="004D343D">
          <w:pPr>
            <w:pStyle w:val="Header"/>
            <w:tabs>
              <w:tab w:val="left" w:pos="665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4D343D">
            <w:rPr>
              <w:bCs/>
            </w:rPr>
            <w:t>8(Add.1)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A0C4EDF" w14:textId="2624F39B" w:rsidR="00760F1C" w:rsidRPr="004D343D" w:rsidRDefault="004D343D" w:rsidP="003273A4">
    <w:pPr>
      <w:pStyle w:val="Footer"/>
      <w:rPr>
        <w:szCs w:val="22"/>
        <w:lang w:val="fr-FR"/>
      </w:rPr>
    </w:pPr>
    <w:r w:rsidRPr="00DF52A6">
      <w:rPr>
        <w:color w:val="F2F2F2" w:themeColor="background1" w:themeShade="F2"/>
        <w:szCs w:val="22"/>
      </w:rPr>
      <w:fldChar w:fldCharType="begin"/>
    </w:r>
    <w:r w:rsidRPr="00DF52A6">
      <w:rPr>
        <w:color w:val="F2F2F2" w:themeColor="background1" w:themeShade="F2"/>
        <w:szCs w:val="22"/>
        <w:lang w:val="fr-FR"/>
      </w:rPr>
      <w:instrText xml:space="preserve"> FILENAME  \p  \* MERGEFORMAT </w:instrText>
    </w:r>
    <w:r w:rsidRPr="00DF52A6">
      <w:rPr>
        <w:color w:val="F2F2F2" w:themeColor="background1" w:themeShade="F2"/>
        <w:szCs w:val="22"/>
      </w:rPr>
      <w:fldChar w:fldCharType="separate"/>
    </w:r>
    <w:r w:rsidR="00B8251A" w:rsidRPr="00DF52A6">
      <w:rPr>
        <w:color w:val="F2F2F2" w:themeColor="background1" w:themeShade="F2"/>
        <w:szCs w:val="22"/>
        <w:lang w:val="fr-FR"/>
      </w:rPr>
      <w:t>P:\ESP\SG\CONSEIL\C23\000\008ADD1S.docx</w:t>
    </w:r>
    <w:r w:rsidRPr="00DF52A6">
      <w:rPr>
        <w:color w:val="F2F2F2" w:themeColor="background1" w:themeShade="F2"/>
        <w:szCs w:val="22"/>
      </w:rPr>
      <w:fldChar w:fldCharType="end"/>
    </w:r>
    <w:r w:rsidRPr="00DF52A6">
      <w:rPr>
        <w:color w:val="F2F2F2" w:themeColor="background1" w:themeShade="F2"/>
        <w:szCs w:val="22"/>
        <w:lang w:val="fr-FR"/>
      </w:rPr>
      <w:t xml:space="preserve"> (525668)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DF52A6" w:rsidRPr="00DF52A6" w14:paraId="42403D2E" w14:textId="77777777" w:rsidTr="00E31DCE">
      <w:trPr>
        <w:jc w:val="center"/>
      </w:trPr>
      <w:tc>
        <w:tcPr>
          <w:tcW w:w="1803" w:type="dxa"/>
          <w:vAlign w:val="center"/>
        </w:tcPr>
        <w:p w14:paraId="48596F92" w14:textId="77777777" w:rsidR="00F24B71" w:rsidRPr="00DF52A6" w:rsidRDefault="00000000" w:rsidP="00F24B71">
          <w:pPr>
            <w:pStyle w:val="Header"/>
            <w:jc w:val="left"/>
            <w:rPr>
              <w:noProof/>
              <w:color w:val="F2F2F2" w:themeColor="background1" w:themeShade="F2"/>
            </w:rPr>
          </w:pPr>
          <w:hyperlink r:id="rId1" w:history="1">
            <w:r w:rsidR="00F24B71" w:rsidRPr="00DF52A6">
              <w:rPr>
                <w:rStyle w:val="Hyperlink"/>
                <w:color w:val="F2F2F2" w:themeColor="background1" w:themeShade="F2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2A19FE5F" w14:textId="2D2DAE70" w:rsidR="00F24B71" w:rsidRPr="00DF52A6" w:rsidRDefault="00F24B71" w:rsidP="00F24B71">
          <w:pPr>
            <w:pStyle w:val="Header"/>
            <w:tabs>
              <w:tab w:val="left" w:pos="665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color w:val="F2F2F2" w:themeColor="background1" w:themeShade="F2"/>
              <w:szCs w:val="18"/>
            </w:rPr>
          </w:pPr>
          <w:r w:rsidRPr="00DF52A6">
            <w:rPr>
              <w:bCs/>
              <w:color w:val="F2F2F2" w:themeColor="background1" w:themeShade="F2"/>
            </w:rPr>
            <w:tab/>
            <w:t>C23/</w:t>
          </w:r>
          <w:r w:rsidR="004D343D" w:rsidRPr="00DF52A6">
            <w:rPr>
              <w:bCs/>
              <w:color w:val="F2F2F2" w:themeColor="background1" w:themeShade="F2"/>
            </w:rPr>
            <w:t>8(Add.1)</w:t>
          </w:r>
          <w:r w:rsidRPr="00DF52A6">
            <w:rPr>
              <w:bCs/>
              <w:color w:val="F2F2F2" w:themeColor="background1" w:themeShade="F2"/>
            </w:rPr>
            <w:t>-</w:t>
          </w:r>
          <w:r w:rsidR="003273A4" w:rsidRPr="00DF52A6">
            <w:rPr>
              <w:bCs/>
              <w:color w:val="F2F2F2" w:themeColor="background1" w:themeShade="F2"/>
            </w:rPr>
            <w:t>S</w:t>
          </w:r>
          <w:r w:rsidRPr="00DF52A6">
            <w:rPr>
              <w:bCs/>
              <w:color w:val="F2F2F2" w:themeColor="background1" w:themeShade="F2"/>
            </w:rPr>
            <w:tab/>
          </w:r>
          <w:r w:rsidRPr="00DF52A6">
            <w:rPr>
              <w:color w:val="F2F2F2" w:themeColor="background1" w:themeShade="F2"/>
            </w:rPr>
            <w:fldChar w:fldCharType="begin"/>
          </w:r>
          <w:r w:rsidRPr="00DF52A6">
            <w:rPr>
              <w:color w:val="F2F2F2" w:themeColor="background1" w:themeShade="F2"/>
            </w:rPr>
            <w:instrText>PAGE</w:instrText>
          </w:r>
          <w:r w:rsidRPr="00DF52A6">
            <w:rPr>
              <w:color w:val="F2F2F2" w:themeColor="background1" w:themeShade="F2"/>
            </w:rPr>
            <w:fldChar w:fldCharType="separate"/>
          </w:r>
          <w:r w:rsidRPr="00DF52A6">
            <w:rPr>
              <w:color w:val="F2F2F2" w:themeColor="background1" w:themeShade="F2"/>
            </w:rPr>
            <w:t>1</w:t>
          </w:r>
          <w:r w:rsidRPr="00DF52A6">
            <w:rPr>
              <w:noProof/>
              <w:color w:val="F2F2F2" w:themeColor="background1" w:themeShade="F2"/>
            </w:rPr>
            <w:fldChar w:fldCharType="end"/>
          </w:r>
        </w:p>
      </w:tc>
    </w:tr>
  </w:tbl>
  <w:p w14:paraId="3577F02B" w14:textId="5944D5D6" w:rsidR="00760F1C" w:rsidRPr="004D343D" w:rsidRDefault="004D343D" w:rsidP="00F24B71">
    <w:pPr>
      <w:pStyle w:val="Footer"/>
      <w:rPr>
        <w:szCs w:val="22"/>
        <w:lang w:val="fr-FR"/>
      </w:rPr>
    </w:pPr>
    <w:r w:rsidRPr="00DF52A6">
      <w:rPr>
        <w:color w:val="F2F2F2" w:themeColor="background1" w:themeShade="F2"/>
        <w:szCs w:val="22"/>
      </w:rPr>
      <w:fldChar w:fldCharType="begin"/>
    </w:r>
    <w:r w:rsidRPr="00DF52A6">
      <w:rPr>
        <w:color w:val="F2F2F2" w:themeColor="background1" w:themeShade="F2"/>
        <w:szCs w:val="22"/>
        <w:lang w:val="fr-FR"/>
      </w:rPr>
      <w:instrText xml:space="preserve"> FILENAME  \p  \* MERGEFORMAT </w:instrText>
    </w:r>
    <w:r w:rsidRPr="00DF52A6">
      <w:rPr>
        <w:color w:val="F2F2F2" w:themeColor="background1" w:themeShade="F2"/>
        <w:szCs w:val="22"/>
      </w:rPr>
      <w:fldChar w:fldCharType="separate"/>
    </w:r>
    <w:r w:rsidR="00B8251A" w:rsidRPr="00DF52A6">
      <w:rPr>
        <w:color w:val="F2F2F2" w:themeColor="background1" w:themeShade="F2"/>
        <w:szCs w:val="22"/>
        <w:lang w:val="fr-FR"/>
      </w:rPr>
      <w:t>P:\ESP\SG\CONSEIL\C23\000\008ADD1S.docx</w:t>
    </w:r>
    <w:r w:rsidRPr="00DF52A6">
      <w:rPr>
        <w:color w:val="F2F2F2" w:themeColor="background1" w:themeShade="F2"/>
        <w:szCs w:val="22"/>
      </w:rPr>
      <w:fldChar w:fldCharType="end"/>
    </w:r>
    <w:r w:rsidRPr="00DF52A6">
      <w:rPr>
        <w:color w:val="F2F2F2" w:themeColor="background1" w:themeShade="F2"/>
        <w:szCs w:val="22"/>
        <w:lang w:val="fr-FR"/>
      </w:rPr>
      <w:t xml:space="preserve"> (525668)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04E8" w14:textId="77777777" w:rsidR="00091F87" w:rsidRDefault="00091F87">
      <w:r>
        <w:t>____________________</w:t>
      </w:r>
    </w:p>
  </w:footnote>
  <w:footnote w:type="continuationSeparator" w:id="0">
    <w:p w14:paraId="5B0A4EB3" w14:textId="77777777" w:rsidR="00091F87" w:rsidRDefault="00091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3E7B0CCA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6DFF182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7EE9F0AB" wp14:editId="6FC2D33E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3840F94B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FA88FC2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09FD353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11A6821E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EECEF" wp14:editId="4344469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ADAA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321B0"/>
    <w:multiLevelType w:val="hybridMultilevel"/>
    <w:tmpl w:val="2942412A"/>
    <w:lvl w:ilvl="0" w:tplc="45844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06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64"/>
    <w:rsid w:val="000007D1"/>
    <w:rsid w:val="00091F87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801AA"/>
    <w:rsid w:val="002C4676"/>
    <w:rsid w:val="002C70B0"/>
    <w:rsid w:val="002F3CC4"/>
    <w:rsid w:val="002F73F5"/>
    <w:rsid w:val="003273A4"/>
    <w:rsid w:val="00473962"/>
    <w:rsid w:val="004B5D49"/>
    <w:rsid w:val="004D0764"/>
    <w:rsid w:val="004D343D"/>
    <w:rsid w:val="00513630"/>
    <w:rsid w:val="0055792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27F93"/>
    <w:rsid w:val="00956E77"/>
    <w:rsid w:val="009F4811"/>
    <w:rsid w:val="00AA390C"/>
    <w:rsid w:val="00B0200A"/>
    <w:rsid w:val="00B574DB"/>
    <w:rsid w:val="00B8251A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DF52A6"/>
    <w:rsid w:val="00E06947"/>
    <w:rsid w:val="00E13DA4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71A126"/>
  <w15:docId w15:val="{0ACBD1DC-C8B5-4614-9F92-AE933EBF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"/>
    <w:basedOn w:val="Normal"/>
    <w:link w:val="ListParagraphChar"/>
    <w:uiPriority w:val="34"/>
    <w:qFormat/>
    <w:rsid w:val="004D343D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"/>
    <w:link w:val="ListParagraph"/>
    <w:uiPriority w:val="34"/>
    <w:locked/>
    <w:rsid w:val="004D343D"/>
    <w:rPr>
      <w:rFonts w:ascii="Calibri" w:hAnsi="Calibri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D343D"/>
    <w:rPr>
      <w:rFonts w:ascii="Calibri" w:hAnsi="Calibri"/>
      <w:caps/>
      <w:noProof/>
      <w:sz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31-S.pdf" TargetMode="External"/><Relationship Id="rId13" Type="http://schemas.openxmlformats.org/officeDocument/2006/relationships/hyperlink" Target="https://www.itu.int/itu-d/meetings/statistics/joint-egti-egh-meeting-on-idi-2023/" TargetMode="External"/><Relationship Id="rId18" Type="http://schemas.openxmlformats.org/officeDocument/2006/relationships/hyperlink" Target="https://www.itu.int/es/ITU-D/Conferences/TDAG/Pages/2023/default.aspx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itu.int/md/S23-CL-C-0008/es" TargetMode="External"/><Relationship Id="rId12" Type="http://schemas.openxmlformats.org/officeDocument/2006/relationships/hyperlink" Target="https://www.itu.int/en/ITU-D/Statistics/Documents/IDI/IDI_2023_Version2_DraftDocument_June2023.pdf" TargetMode="External"/><Relationship Id="rId17" Type="http://schemas.openxmlformats.org/officeDocument/2006/relationships/hyperlink" Target="https://www.itu.int/itu-d/meetings/statistics/wp-content/uploads/sites/8/2023/06/IDI_2023_meeting_summary_report_for-posting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dms_pub/itu-d/md/22/bdt/cir/D22-BDT-CIR-0010%21%21PDF-E.pd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dms_pub/itu-d/md/22/bdt/cir/D22-BDT-CIR-0009%21%21PDF-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en/ITU-D/Statistics/Documents/IDI/D22-BDT-CIR-0007PDF-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en/ITU-D/Statistics/Documents/IDI/IDI_2023_Version1_DraftDocument_April2023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aging.itu.int/en/ITU-D/Statistics/Documents/IDI/IDI2023ZeroDraftDocument_February2023.pdf" TargetMode="External"/><Relationship Id="rId14" Type="http://schemas.openxmlformats.org/officeDocument/2006/relationships/hyperlink" Target="https://www.itu.int/en/council/Documents/basic-texts-2023/RES-131-S.pd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4385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Spanish</dc:creator>
  <cp:keywords>C2023, C23, Council-23</cp:keywords>
  <dc:description/>
  <cp:lastModifiedBy>Xue, Kun</cp:lastModifiedBy>
  <cp:revision>3</cp:revision>
  <cp:lastPrinted>2023-07-05T12:40:00Z</cp:lastPrinted>
  <dcterms:created xsi:type="dcterms:W3CDTF">2023-07-05T14:41:00Z</dcterms:created>
  <dcterms:modified xsi:type="dcterms:W3CDTF">2023-07-05T14:41:00Z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