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52942F34" w14:textId="77777777" w:rsidTr="00C538FC">
        <w:trPr>
          <w:cantSplit/>
          <w:trHeight w:val="23"/>
        </w:trPr>
        <w:tc>
          <w:tcPr>
            <w:tcW w:w="3969" w:type="dxa"/>
            <w:vMerge w:val="restart"/>
            <w:tcMar>
              <w:left w:w="0" w:type="dxa"/>
            </w:tcMar>
          </w:tcPr>
          <w:p w14:paraId="2F31AB61" w14:textId="1BF9229B" w:rsidR="00FE57F6" w:rsidRPr="00E85629" w:rsidRDefault="008A549B" w:rsidP="00C538FC">
            <w:pPr>
              <w:tabs>
                <w:tab w:val="left" w:pos="851"/>
              </w:tabs>
              <w:spacing w:before="0" w:line="240" w:lineRule="atLeast"/>
              <w:rPr>
                <w:b/>
              </w:rPr>
            </w:pPr>
            <w:bookmarkStart w:id="0" w:name="_Hlk133421839"/>
            <w:r w:rsidRPr="008A549B">
              <w:rPr>
                <w:b/>
              </w:rPr>
              <w:t>Punto del orden del día: PL 2</w:t>
            </w:r>
          </w:p>
        </w:tc>
        <w:tc>
          <w:tcPr>
            <w:tcW w:w="5245" w:type="dxa"/>
          </w:tcPr>
          <w:p w14:paraId="1F887F9B" w14:textId="52051F2B" w:rsidR="00FE57F6" w:rsidRPr="00E85629" w:rsidRDefault="00FE57F6" w:rsidP="00C538FC">
            <w:pPr>
              <w:tabs>
                <w:tab w:val="left" w:pos="851"/>
              </w:tabs>
              <w:spacing w:before="0" w:line="240" w:lineRule="atLeast"/>
              <w:jc w:val="right"/>
              <w:rPr>
                <w:b/>
              </w:rPr>
            </w:pPr>
            <w:r>
              <w:rPr>
                <w:b/>
              </w:rPr>
              <w:t>Document</w:t>
            </w:r>
            <w:r w:rsidR="00F24B71">
              <w:rPr>
                <w:b/>
              </w:rPr>
              <w:t>o</w:t>
            </w:r>
            <w:r>
              <w:rPr>
                <w:b/>
              </w:rPr>
              <w:t xml:space="preserve"> C23/</w:t>
            </w:r>
            <w:r w:rsidR="008A549B">
              <w:rPr>
                <w:b/>
              </w:rPr>
              <w:t>8</w:t>
            </w:r>
            <w:r>
              <w:rPr>
                <w:b/>
              </w:rPr>
              <w:t>-</w:t>
            </w:r>
            <w:r w:rsidR="00F24B71">
              <w:rPr>
                <w:b/>
              </w:rPr>
              <w:t>S</w:t>
            </w:r>
          </w:p>
        </w:tc>
      </w:tr>
      <w:tr w:rsidR="00FE57F6" w:rsidRPr="00813E5E" w14:paraId="1CE0C9DA" w14:textId="77777777" w:rsidTr="00C538FC">
        <w:trPr>
          <w:cantSplit/>
        </w:trPr>
        <w:tc>
          <w:tcPr>
            <w:tcW w:w="3969" w:type="dxa"/>
            <w:vMerge/>
          </w:tcPr>
          <w:p w14:paraId="19E3CC30" w14:textId="77777777" w:rsidR="00FE57F6" w:rsidRPr="00813E5E" w:rsidRDefault="00FE57F6" w:rsidP="00C538FC">
            <w:pPr>
              <w:tabs>
                <w:tab w:val="left" w:pos="851"/>
              </w:tabs>
              <w:spacing w:line="240" w:lineRule="atLeast"/>
              <w:rPr>
                <w:b/>
              </w:rPr>
            </w:pPr>
          </w:p>
        </w:tc>
        <w:tc>
          <w:tcPr>
            <w:tcW w:w="5245" w:type="dxa"/>
          </w:tcPr>
          <w:p w14:paraId="531D0F4C" w14:textId="2D28D79F" w:rsidR="00FE57F6" w:rsidRPr="00E85629" w:rsidRDefault="008A549B" w:rsidP="00C538FC">
            <w:pPr>
              <w:tabs>
                <w:tab w:val="left" w:pos="851"/>
              </w:tabs>
              <w:spacing w:before="0"/>
              <w:jc w:val="right"/>
              <w:rPr>
                <w:b/>
              </w:rPr>
            </w:pPr>
            <w:r w:rsidRPr="008A549B">
              <w:rPr>
                <w:b/>
              </w:rPr>
              <w:t xml:space="preserve">19 de mayo de </w:t>
            </w:r>
            <w:r w:rsidR="00FE57F6">
              <w:rPr>
                <w:b/>
              </w:rPr>
              <w:t>2023</w:t>
            </w:r>
          </w:p>
        </w:tc>
      </w:tr>
      <w:tr w:rsidR="00FE57F6" w:rsidRPr="00F24B71" w14:paraId="2141BA96" w14:textId="77777777" w:rsidTr="00C538FC">
        <w:trPr>
          <w:cantSplit/>
          <w:trHeight w:val="23"/>
        </w:trPr>
        <w:tc>
          <w:tcPr>
            <w:tcW w:w="3969" w:type="dxa"/>
            <w:vMerge/>
          </w:tcPr>
          <w:p w14:paraId="76AC719B" w14:textId="77777777" w:rsidR="00FE57F6" w:rsidRPr="00813E5E" w:rsidRDefault="00FE57F6" w:rsidP="00C538FC">
            <w:pPr>
              <w:tabs>
                <w:tab w:val="left" w:pos="851"/>
              </w:tabs>
              <w:spacing w:line="240" w:lineRule="atLeast"/>
              <w:rPr>
                <w:b/>
              </w:rPr>
            </w:pPr>
          </w:p>
        </w:tc>
        <w:tc>
          <w:tcPr>
            <w:tcW w:w="5245" w:type="dxa"/>
          </w:tcPr>
          <w:p w14:paraId="508F371A" w14:textId="77777777" w:rsidR="00FE57F6" w:rsidRPr="00F24B71" w:rsidRDefault="00F24B71" w:rsidP="00C538FC">
            <w:pPr>
              <w:tabs>
                <w:tab w:val="left" w:pos="851"/>
              </w:tabs>
              <w:spacing w:before="0" w:line="240" w:lineRule="atLeast"/>
              <w:jc w:val="right"/>
              <w:rPr>
                <w:b/>
                <w:bCs/>
              </w:rPr>
            </w:pPr>
            <w:r w:rsidRPr="00F24B71">
              <w:rPr>
                <w:rFonts w:cstheme="minorHAnsi"/>
                <w:b/>
                <w:bCs/>
                <w:lang w:val="fr-CH"/>
              </w:rPr>
              <w:t>Original: inglés</w:t>
            </w:r>
          </w:p>
        </w:tc>
      </w:tr>
      <w:tr w:rsidR="00FE57F6" w:rsidRPr="00813E5E" w14:paraId="595B27E9" w14:textId="77777777" w:rsidTr="00C538FC">
        <w:trPr>
          <w:cantSplit/>
          <w:trHeight w:val="23"/>
        </w:trPr>
        <w:tc>
          <w:tcPr>
            <w:tcW w:w="3969" w:type="dxa"/>
          </w:tcPr>
          <w:p w14:paraId="719FD3AC" w14:textId="77777777" w:rsidR="00FE57F6" w:rsidRPr="00813E5E" w:rsidRDefault="00FE57F6" w:rsidP="00C538FC">
            <w:pPr>
              <w:tabs>
                <w:tab w:val="left" w:pos="851"/>
              </w:tabs>
              <w:spacing w:line="240" w:lineRule="atLeast"/>
              <w:rPr>
                <w:b/>
              </w:rPr>
            </w:pPr>
          </w:p>
        </w:tc>
        <w:tc>
          <w:tcPr>
            <w:tcW w:w="5245" w:type="dxa"/>
          </w:tcPr>
          <w:p w14:paraId="1B885CC1" w14:textId="77777777" w:rsidR="00FE57F6" w:rsidRDefault="00FE57F6" w:rsidP="00C538FC">
            <w:pPr>
              <w:tabs>
                <w:tab w:val="left" w:pos="851"/>
              </w:tabs>
              <w:spacing w:before="0" w:line="240" w:lineRule="atLeast"/>
              <w:jc w:val="right"/>
              <w:rPr>
                <w:b/>
              </w:rPr>
            </w:pPr>
          </w:p>
        </w:tc>
      </w:tr>
      <w:tr w:rsidR="00FE57F6" w:rsidRPr="00FE57F6" w14:paraId="22807C1B" w14:textId="77777777" w:rsidTr="00C538FC">
        <w:trPr>
          <w:cantSplit/>
        </w:trPr>
        <w:tc>
          <w:tcPr>
            <w:tcW w:w="9214" w:type="dxa"/>
            <w:gridSpan w:val="2"/>
            <w:tcMar>
              <w:left w:w="0" w:type="dxa"/>
            </w:tcMar>
          </w:tcPr>
          <w:p w14:paraId="191700A5" w14:textId="77777777" w:rsidR="00FE57F6" w:rsidRPr="004B5D49" w:rsidRDefault="00F24B71" w:rsidP="00C538FC">
            <w:pPr>
              <w:pStyle w:val="Source"/>
              <w:jc w:val="left"/>
              <w:rPr>
                <w:sz w:val="34"/>
                <w:szCs w:val="34"/>
                <w:lang w:val="es-ES"/>
              </w:rPr>
            </w:pPr>
            <w:r w:rsidRPr="00C538FC">
              <w:rPr>
                <w:rFonts w:cstheme="minorHAnsi"/>
                <w:sz w:val="34"/>
                <w:szCs w:val="34"/>
              </w:rPr>
              <w:t>Informe de</w:t>
            </w:r>
            <w:r w:rsidR="004B5D49">
              <w:rPr>
                <w:rFonts w:cstheme="minorHAnsi"/>
                <w:sz w:val="34"/>
                <w:szCs w:val="34"/>
              </w:rPr>
              <w:t xml:space="preserve"> </w:t>
            </w:r>
            <w:r w:rsidRPr="00C538FC">
              <w:rPr>
                <w:rFonts w:cstheme="minorHAnsi"/>
                <w:sz w:val="34"/>
                <w:szCs w:val="34"/>
              </w:rPr>
              <w:t>l</w:t>
            </w:r>
            <w:r w:rsidR="004B5D49">
              <w:rPr>
                <w:rFonts w:cstheme="minorHAnsi"/>
                <w:sz w:val="34"/>
                <w:szCs w:val="34"/>
              </w:rPr>
              <w:t>a</w:t>
            </w:r>
            <w:r w:rsidRPr="00C538FC">
              <w:rPr>
                <w:rFonts w:cstheme="minorHAnsi"/>
                <w:sz w:val="34"/>
                <w:szCs w:val="34"/>
              </w:rPr>
              <w:t xml:space="preserve"> Secretari</w:t>
            </w:r>
            <w:r w:rsidR="004B5D49">
              <w:rPr>
                <w:rFonts w:cstheme="minorHAnsi"/>
                <w:sz w:val="34"/>
                <w:szCs w:val="34"/>
              </w:rPr>
              <w:t>a</w:t>
            </w:r>
            <w:r w:rsidRPr="00C538FC">
              <w:rPr>
                <w:rFonts w:cstheme="minorHAnsi"/>
                <w:sz w:val="34"/>
                <w:szCs w:val="34"/>
              </w:rPr>
              <w:t xml:space="preserve"> General</w:t>
            </w:r>
          </w:p>
        </w:tc>
      </w:tr>
      <w:tr w:rsidR="00FE57F6" w:rsidRPr="00813E5E" w14:paraId="65308774" w14:textId="77777777" w:rsidTr="00C538FC">
        <w:trPr>
          <w:cantSplit/>
        </w:trPr>
        <w:tc>
          <w:tcPr>
            <w:tcW w:w="9214" w:type="dxa"/>
            <w:gridSpan w:val="2"/>
            <w:tcMar>
              <w:left w:w="0" w:type="dxa"/>
            </w:tcMar>
          </w:tcPr>
          <w:p w14:paraId="3625DA32" w14:textId="2176D317" w:rsidR="00FE57F6" w:rsidRPr="008A549B" w:rsidRDefault="008A549B" w:rsidP="008A549B">
            <w:pPr>
              <w:pStyle w:val="Subtitle"/>
              <w:framePr w:hSpace="0" w:wrap="auto" w:hAnchor="text" w:xAlign="left" w:yAlign="inline"/>
              <w:rPr>
                <w:lang w:val="es-ES"/>
              </w:rPr>
            </w:pPr>
            <w:bookmarkStart w:id="1" w:name="_Hlk137627602"/>
            <w:r w:rsidRPr="008A549B">
              <w:rPr>
                <w:lang w:val="es-ES"/>
              </w:rPr>
              <w:t>MEDICIÓN DE LAS TECNOLOGÍAS DE LA INFORMACIÓN Y LA COMUNICACIÓN PARA LA CONSTRUCCIÓN DE UNA SOCIEDAD DE LA INFORMACIÓN INTEGRADORA E INCLUSIVA</w:t>
            </w:r>
            <w:bookmarkEnd w:id="1"/>
          </w:p>
        </w:tc>
      </w:tr>
      <w:tr w:rsidR="00FE57F6" w:rsidRPr="00813E5E" w14:paraId="7D663B32" w14:textId="77777777" w:rsidTr="00C538FC">
        <w:trPr>
          <w:cantSplit/>
        </w:trPr>
        <w:tc>
          <w:tcPr>
            <w:tcW w:w="9214" w:type="dxa"/>
            <w:gridSpan w:val="2"/>
            <w:tcBorders>
              <w:top w:val="single" w:sz="4" w:space="0" w:color="auto"/>
              <w:bottom w:val="single" w:sz="4" w:space="0" w:color="auto"/>
            </w:tcBorders>
            <w:tcMar>
              <w:left w:w="0" w:type="dxa"/>
            </w:tcMar>
          </w:tcPr>
          <w:p w14:paraId="11C95E6F" w14:textId="62349B41" w:rsidR="00FE57F6" w:rsidRPr="00F24B71" w:rsidRDefault="00F24B71" w:rsidP="00C538FC">
            <w:pPr>
              <w:spacing w:before="160"/>
              <w:rPr>
                <w:b/>
                <w:bCs/>
                <w:sz w:val="26"/>
                <w:szCs w:val="26"/>
                <w:lang w:val="es-ES"/>
              </w:rPr>
            </w:pPr>
            <w:r w:rsidRPr="00F24B71">
              <w:rPr>
                <w:b/>
                <w:bCs/>
                <w:sz w:val="26"/>
                <w:szCs w:val="26"/>
                <w:lang w:val="es-ES"/>
              </w:rPr>
              <w:t>Finalidad</w:t>
            </w:r>
          </w:p>
          <w:p w14:paraId="75389460" w14:textId="1B947731" w:rsidR="00FE57F6" w:rsidRPr="00F24B71" w:rsidRDefault="008A549B" w:rsidP="00C538FC">
            <w:pPr>
              <w:rPr>
                <w:lang w:val="es-ES"/>
              </w:rPr>
            </w:pPr>
            <w:r w:rsidRPr="008A549B">
              <w:rPr>
                <w:lang w:val="es-ES"/>
              </w:rPr>
              <w:t>El presente informe tiene por objeto informar al Consejo de la UIT sobre el estado de aplicación de la Resolución 131 (Rev. Bucarest, 2022) de la Conferencia de Plenipotenciarios, relativa a la medición de las tecnologías de la información y la comunicación para construir una sociedad de la información integradora e inclusiva.</w:t>
            </w:r>
          </w:p>
          <w:p w14:paraId="16A10EBA" w14:textId="77777777" w:rsidR="00FE57F6" w:rsidRPr="00F24B71" w:rsidRDefault="00F24B71" w:rsidP="00C538FC">
            <w:pPr>
              <w:spacing w:before="160"/>
              <w:rPr>
                <w:b/>
                <w:bCs/>
                <w:sz w:val="26"/>
                <w:szCs w:val="26"/>
                <w:lang w:val="es-ES"/>
              </w:rPr>
            </w:pPr>
            <w:r w:rsidRPr="00F24B71">
              <w:rPr>
                <w:b/>
                <w:bCs/>
                <w:sz w:val="26"/>
                <w:szCs w:val="26"/>
                <w:lang w:val="es-ES"/>
              </w:rPr>
              <w:t xml:space="preserve">Acción solicitada </w:t>
            </w:r>
            <w:r w:rsidR="00677A97">
              <w:rPr>
                <w:b/>
                <w:bCs/>
                <w:sz w:val="26"/>
                <w:szCs w:val="26"/>
                <w:lang w:val="es-ES"/>
              </w:rPr>
              <w:t>al</w:t>
            </w:r>
            <w:r w:rsidRPr="00F24B71">
              <w:rPr>
                <w:b/>
                <w:bCs/>
                <w:sz w:val="26"/>
                <w:szCs w:val="26"/>
                <w:lang w:val="es-ES"/>
              </w:rPr>
              <w:t xml:space="preserve"> Consejo</w:t>
            </w:r>
          </w:p>
          <w:p w14:paraId="3BBEC61E" w14:textId="61302AE8" w:rsidR="00FE57F6" w:rsidRPr="00F24B71" w:rsidRDefault="008A549B" w:rsidP="008A549B">
            <w:pPr>
              <w:rPr>
                <w:lang w:val="es-ES"/>
              </w:rPr>
            </w:pPr>
            <w:r w:rsidRPr="008A549B">
              <w:rPr>
                <w:lang w:val="es-ES"/>
              </w:rPr>
              <w:t xml:space="preserve">Se invita al Consejo a </w:t>
            </w:r>
            <w:r w:rsidRPr="008A549B">
              <w:rPr>
                <w:b/>
                <w:bCs/>
                <w:lang w:val="es-ES"/>
              </w:rPr>
              <w:t>tomar nota</w:t>
            </w:r>
            <w:r w:rsidRPr="008A549B">
              <w:rPr>
                <w:lang w:val="es-ES"/>
              </w:rPr>
              <w:t xml:space="preserve"> del presente documento.</w:t>
            </w:r>
          </w:p>
          <w:p w14:paraId="20C350DB" w14:textId="77777777" w:rsidR="00FE57F6" w:rsidRPr="00F24B71" w:rsidRDefault="00F24B71" w:rsidP="00C538FC">
            <w:pPr>
              <w:spacing w:before="160"/>
              <w:rPr>
                <w:b/>
                <w:bCs/>
                <w:sz w:val="26"/>
                <w:szCs w:val="26"/>
                <w:lang w:val="es-ES"/>
              </w:rPr>
            </w:pPr>
            <w:r w:rsidRPr="00F24B71">
              <w:rPr>
                <w:b/>
                <w:bCs/>
                <w:sz w:val="26"/>
                <w:szCs w:val="26"/>
                <w:lang w:val="es-ES"/>
              </w:rPr>
              <w:t>Vínculos pertinentes con el Plan Estratégico</w:t>
            </w:r>
          </w:p>
          <w:p w14:paraId="0001A0E1" w14:textId="6941EE0F" w:rsidR="00FE57F6" w:rsidRPr="00F24B71" w:rsidRDefault="008A549B" w:rsidP="00C538FC">
            <w:pPr>
              <w:rPr>
                <w:lang w:val="es-ES"/>
              </w:rPr>
            </w:pPr>
            <w:r w:rsidRPr="008A549B">
              <w:rPr>
                <w:lang w:val="es-ES"/>
              </w:rPr>
              <w:t>Suministro de datos y estadísticas.</w:t>
            </w:r>
          </w:p>
          <w:p w14:paraId="59857782" w14:textId="73A89946" w:rsidR="00FE57F6" w:rsidRDefault="00F24B71" w:rsidP="00C538FC">
            <w:pPr>
              <w:spacing w:before="160"/>
              <w:rPr>
                <w:b/>
                <w:bCs/>
                <w:sz w:val="26"/>
                <w:szCs w:val="26"/>
              </w:rPr>
            </w:pPr>
            <w:r w:rsidRPr="00F24B71">
              <w:rPr>
                <w:b/>
                <w:bCs/>
                <w:sz w:val="26"/>
                <w:szCs w:val="26"/>
              </w:rPr>
              <w:t>Repercusiones financieras</w:t>
            </w:r>
          </w:p>
          <w:p w14:paraId="6B2E2AA5" w14:textId="567C0DBE" w:rsidR="008A549B" w:rsidRDefault="008A549B" w:rsidP="008A549B">
            <w:r w:rsidRPr="008A549B">
              <w:t>Ninguna.</w:t>
            </w:r>
          </w:p>
          <w:p w14:paraId="704690AA" w14:textId="77777777" w:rsidR="00FE57F6" w:rsidRPr="00813E5E" w:rsidRDefault="00FE57F6" w:rsidP="00126C3A">
            <w:pPr>
              <w:rPr>
                <w:caps/>
              </w:rPr>
            </w:pPr>
            <w:r w:rsidRPr="00813E5E">
              <w:t>____________</w:t>
            </w:r>
            <w:r>
              <w:t>______</w:t>
            </w:r>
          </w:p>
          <w:p w14:paraId="5E28BAAC" w14:textId="77777777" w:rsidR="00FE57F6" w:rsidRDefault="00F24B71" w:rsidP="00C538FC">
            <w:pPr>
              <w:spacing w:before="160"/>
              <w:rPr>
                <w:b/>
                <w:bCs/>
                <w:sz w:val="26"/>
                <w:szCs w:val="26"/>
              </w:rPr>
            </w:pPr>
            <w:r w:rsidRPr="00F24B71">
              <w:rPr>
                <w:b/>
                <w:bCs/>
                <w:sz w:val="26"/>
                <w:szCs w:val="26"/>
              </w:rPr>
              <w:t>Referencia</w:t>
            </w:r>
          </w:p>
          <w:bookmarkStart w:id="2" w:name="lt_pId021"/>
          <w:p w14:paraId="5B8E4E7F" w14:textId="510D0CCE" w:rsidR="00FE57F6" w:rsidRDefault="008A549B" w:rsidP="008A549B">
            <w:pPr>
              <w:spacing w:after="160"/>
            </w:pPr>
            <w:r w:rsidRPr="008A549B">
              <w:fldChar w:fldCharType="begin"/>
            </w:r>
            <w:r w:rsidR="00126C3A">
              <w:instrText>HYPERLINK "https://www.itu.int/en/council/Documents/basic-texts-2023/RES-131-S.pdf"</w:instrText>
            </w:r>
            <w:r w:rsidRPr="008A549B">
              <w:fldChar w:fldCharType="separate"/>
            </w:r>
            <w:r w:rsidRPr="008A549B">
              <w:rPr>
                <w:rStyle w:val="Hyperlink"/>
                <w:i/>
                <w:iCs/>
              </w:rPr>
              <w:t>Resolución 131</w:t>
            </w:r>
            <w:r w:rsidRPr="008A549B">
              <w:fldChar w:fldCharType="end"/>
            </w:r>
            <w:r w:rsidRPr="008A549B">
              <w:rPr>
                <w:i/>
                <w:iCs/>
              </w:rPr>
              <w:t xml:space="preserve"> (Rev. Bucarest, 2022) </w:t>
            </w:r>
            <w:bookmarkEnd w:id="2"/>
            <w:r w:rsidRPr="008A549B">
              <w:rPr>
                <w:i/>
                <w:iCs/>
              </w:rPr>
              <w:t>de la Conferencia de Plenipotenciarios</w:t>
            </w:r>
          </w:p>
        </w:tc>
      </w:tr>
      <w:bookmarkEnd w:id="0"/>
    </w:tbl>
    <w:p w14:paraId="6DC3DB89" w14:textId="77777777" w:rsidR="001559F5" w:rsidRDefault="001559F5">
      <w:pPr>
        <w:tabs>
          <w:tab w:val="clear" w:pos="567"/>
          <w:tab w:val="clear" w:pos="1134"/>
          <w:tab w:val="clear" w:pos="1701"/>
          <w:tab w:val="clear" w:pos="2268"/>
          <w:tab w:val="clear" w:pos="2835"/>
        </w:tabs>
        <w:overflowPunct/>
        <w:autoSpaceDE/>
        <w:autoSpaceDN/>
        <w:adjustRightInd/>
        <w:spacing w:before="0"/>
        <w:textAlignment w:val="auto"/>
      </w:pPr>
      <w:r>
        <w:br w:type="page"/>
      </w:r>
    </w:p>
    <w:p w14:paraId="33D0876F" w14:textId="7CB12023" w:rsidR="00126C3A" w:rsidRPr="00126C3A" w:rsidRDefault="00126C3A" w:rsidP="00126C3A">
      <w:r w:rsidRPr="00126C3A">
        <w:rPr>
          <w:lang w:val="es-ES"/>
        </w:rPr>
        <w:lastRenderedPageBreak/>
        <w:t>1</w:t>
      </w:r>
      <w:r w:rsidRPr="00126C3A">
        <w:rPr>
          <w:lang w:val="es-ES"/>
        </w:rPr>
        <w:tab/>
        <w:t xml:space="preserve">La Resolución 131 (Rev. Bucarest, 2022) de la Conferencia de Plenipotenciarios establece, entre otras cosas, las principales etapas del proceso de elaboración del nuevo Índice de Desarrollo de las TIC (IDT) </w:t>
      </w:r>
      <w:r w:rsidRPr="00126C3A">
        <w:t>(</w:t>
      </w:r>
      <w:hyperlink w:anchor="Annex1" w:history="1">
        <w:r w:rsidRPr="00126C3A">
          <w:rPr>
            <w:rStyle w:val="Hyperlink"/>
          </w:rPr>
          <w:t>Anexo 1</w:t>
        </w:r>
      </w:hyperlink>
      <w:r w:rsidRPr="00126C3A">
        <w:t xml:space="preserve">) </w:t>
      </w:r>
      <w:r w:rsidRPr="00126C3A">
        <w:rPr>
          <w:lang w:val="es-ES"/>
        </w:rPr>
        <w:t>y las principales características del futuro índice (</w:t>
      </w:r>
      <w:hyperlink w:anchor="Annex2" w:history="1">
        <w:r w:rsidRPr="00126C3A">
          <w:rPr>
            <w:rStyle w:val="Hyperlink"/>
          </w:rPr>
          <w:t>Anexo 2</w:t>
        </w:r>
      </w:hyperlink>
      <w:r w:rsidRPr="00126C3A">
        <w:rPr>
          <w:lang w:val="es-ES"/>
        </w:rPr>
        <w:t>).</w:t>
      </w:r>
    </w:p>
    <w:p w14:paraId="61E86CDD" w14:textId="201873CD" w:rsidR="00126C3A" w:rsidRPr="00126C3A" w:rsidRDefault="00126C3A" w:rsidP="00126C3A">
      <w:r w:rsidRPr="00126C3A">
        <w:rPr>
          <w:lang w:val="es-ES"/>
        </w:rPr>
        <w:t>2</w:t>
      </w:r>
      <w:r w:rsidRPr="00126C3A">
        <w:rPr>
          <w:lang w:val="es-ES"/>
        </w:rPr>
        <w:tab/>
        <w:t xml:space="preserve">Se informó a los Estados Miembros de este proceso y de su calendario mediante la </w:t>
      </w:r>
      <w:hyperlink r:id="rId8" w:history="1">
        <w:r w:rsidRPr="00126C3A">
          <w:rPr>
            <w:rStyle w:val="Hyperlink"/>
            <w:lang w:val="es-ES"/>
          </w:rPr>
          <w:t>Carta Circular BDT/DKH/IDA/005</w:t>
        </w:r>
      </w:hyperlink>
      <w:r w:rsidRPr="00126C3A">
        <w:rPr>
          <w:lang w:val="es-ES"/>
        </w:rPr>
        <w:t xml:space="preserve"> de 9 de marzo de 2023.</w:t>
      </w:r>
    </w:p>
    <w:p w14:paraId="2CA53553" w14:textId="77777777" w:rsidR="00126C3A" w:rsidRPr="00126C3A" w:rsidRDefault="00126C3A" w:rsidP="00126C3A">
      <w:r w:rsidRPr="00126C3A">
        <w:rPr>
          <w:lang w:val="es-ES"/>
        </w:rPr>
        <w:t>3</w:t>
      </w:r>
      <w:r w:rsidRPr="00126C3A">
        <w:rPr>
          <w:lang w:val="es-ES"/>
        </w:rPr>
        <w:tab/>
        <w:t xml:space="preserve">El proceso está concebido para ser transparente e inclusivo, y brindar oportunidades a los expertos y a los Estados Miembros para que participen en el desarrollo del IDT y garanticen un instrumento sólido en términos estadísticos y conceptualmente pertinente. El proceso se inició el 21 de febrero de 2023 con una comunicación a todos los Miembros del Grupo de Expertos en Indicadores de las Telecomunicaciones/TIC (GEIT) y del Grupo de Expertos en Indicadores de las TIC en el Hogar (GEIH), en la que se les invitaba a formular comentarios sobre un </w:t>
      </w:r>
      <w:hyperlink r:id="rId9" w:history="1">
        <w:r w:rsidRPr="00126C3A">
          <w:rPr>
            <w:rStyle w:val="Hyperlink"/>
            <w:lang w:val="es-ES"/>
          </w:rPr>
          <w:t>primer borrador</w:t>
        </w:r>
      </w:hyperlink>
      <w:r w:rsidRPr="00126C3A">
        <w:rPr>
          <w:lang w:val="es-ES"/>
        </w:rPr>
        <w:t xml:space="preserve"> preparado por la Secretaría para facilitar el proceso, de conformidad con el </w:t>
      </w:r>
      <w:r w:rsidRPr="00126C3A">
        <w:rPr>
          <w:i/>
          <w:iCs/>
          <w:lang w:val="es-ES"/>
        </w:rPr>
        <w:t xml:space="preserve">encarga al Director de la Oficina de Desarrollo de las Telecomunicaciones </w:t>
      </w:r>
      <w:r w:rsidRPr="00126C3A">
        <w:rPr>
          <w:lang w:val="es-ES"/>
        </w:rPr>
        <w:t>8 de la Resolución 131 (Rev. Bucarest, 2022).</w:t>
      </w:r>
    </w:p>
    <w:p w14:paraId="58FB7F3A" w14:textId="7C95BC0B" w:rsidR="00126C3A" w:rsidRPr="00126C3A" w:rsidRDefault="00126C3A" w:rsidP="00126C3A">
      <w:r w:rsidRPr="00126C3A">
        <w:rPr>
          <w:lang w:val="es-ES"/>
        </w:rPr>
        <w:t>4</w:t>
      </w:r>
      <w:r w:rsidRPr="00126C3A">
        <w:rPr>
          <w:lang w:val="es-ES"/>
        </w:rPr>
        <w:tab/>
        <w:t xml:space="preserve">Las consultas se están realizando en un </w:t>
      </w:r>
      <w:hyperlink r:id="rId10" w:history="1">
        <w:r w:rsidRPr="00126C3A">
          <w:rPr>
            <w:rStyle w:val="Hyperlink"/>
            <w:lang w:val="es-ES"/>
          </w:rPr>
          <w:t>foro de debate</w:t>
        </w:r>
      </w:hyperlink>
      <w:r w:rsidRPr="00126C3A">
        <w:rPr>
          <w:lang w:val="es-ES"/>
        </w:rPr>
        <w:t xml:space="preserve"> dedicado sobre el IDT, de conformidad con los métodos de trabajo del GEIT y el GEIH. Tras esta consulta inicial, se revisará la metodología. Entre abril y mayo de 2023 se invitará a los Estados Miembros a formular comentarios. En consonancia con la urgencia impuesta por la Resolución 131 (Rev.</w:t>
      </w:r>
      <w:r w:rsidR="00F8094E">
        <w:rPr>
          <w:lang w:val="es-ES"/>
        </w:rPr>
        <w:t> </w:t>
      </w:r>
      <w:r w:rsidRPr="00126C3A">
        <w:rPr>
          <w:lang w:val="es-ES"/>
        </w:rPr>
        <w:t>Bucarest, 2022), el objetivo es lanzar el IDT en 2023, lo que exige un calendario muy apretado. La Secretaría se ha asegurado de que cada consulta dure al menos cuatro semanas. Al finalizar cada consulta, la Secretaría recopilará y publicará todos los comentarios recibidos y las respuestas correspondientes.</w:t>
      </w:r>
    </w:p>
    <w:p w14:paraId="434CB840" w14:textId="175BF93F" w:rsidR="00126C3A" w:rsidRPr="00126C3A" w:rsidRDefault="00126C3A" w:rsidP="00126C3A">
      <w:r w:rsidRPr="00126C3A">
        <w:rPr>
          <w:lang w:val="es-ES"/>
        </w:rPr>
        <w:t>5</w:t>
      </w:r>
      <w:r w:rsidRPr="00126C3A">
        <w:rPr>
          <w:lang w:val="es-ES"/>
        </w:rPr>
        <w:tab/>
        <w:t xml:space="preserve">El Director de la BDT convocará una </w:t>
      </w:r>
      <w:hyperlink r:id="rId11" w:history="1">
        <w:r w:rsidRPr="00126C3A">
          <w:rPr>
            <w:rStyle w:val="Hyperlink"/>
            <w:lang w:val="es-ES"/>
          </w:rPr>
          <w:t>reunión virtual conjunta</w:t>
        </w:r>
      </w:hyperlink>
      <w:r w:rsidRPr="00126C3A">
        <w:rPr>
          <w:lang w:val="es-ES"/>
        </w:rPr>
        <w:t xml:space="preserve"> del GEIT y el GEIH, del 13 al 15 de junio de 2023, con el fin de resolver cualquier cuestión controvertida y tratar de llegar a un consenso, de conformidad con el </w:t>
      </w:r>
      <w:r w:rsidRPr="00126C3A">
        <w:rPr>
          <w:i/>
          <w:iCs/>
          <w:lang w:val="es-ES"/>
        </w:rPr>
        <w:t xml:space="preserve">encarga al Director de la Oficina de Desarrollo de las Telecomunicaciones </w:t>
      </w:r>
      <w:r w:rsidRPr="00126C3A">
        <w:rPr>
          <w:lang w:val="es-ES"/>
        </w:rPr>
        <w:t>9 de la Resolución 131 (Rev. Bucarest, 2022). Tras esta reunión, la Secretaría revisará y ultimará la metodología.</w:t>
      </w:r>
    </w:p>
    <w:p w14:paraId="71454377" w14:textId="73B093BC" w:rsidR="00126C3A" w:rsidRPr="00126C3A" w:rsidRDefault="00126C3A" w:rsidP="00126C3A">
      <w:r w:rsidRPr="00126C3A">
        <w:rPr>
          <w:lang w:val="es-ES"/>
        </w:rPr>
        <w:t>6</w:t>
      </w:r>
      <w:r w:rsidRPr="00126C3A">
        <w:rPr>
          <w:lang w:val="es-ES"/>
        </w:rPr>
        <w:tab/>
        <w:t>El proceso concluirá en agosto con una última consulta a los Estados Miembros en la que se les preguntará: 1) si aprueban la metodología del Índice; y 2) si desean retirarse de la edición de 2023 del ID</w:t>
      </w:r>
      <w:r w:rsidR="00F31AD7">
        <w:rPr>
          <w:lang w:val="es-ES"/>
        </w:rPr>
        <w:t>T</w:t>
      </w:r>
      <w:r w:rsidRPr="00126C3A">
        <w:rPr>
          <w:lang w:val="es-ES"/>
        </w:rPr>
        <w:t>, en cuyo caso podrán volver a colaborar en ediciones posteriores. La metodología se adoptará si se obtiene la aprobación del 70 por ciento de los Estados Miembros que respondan, de conformidad con la Resolución 131</w:t>
      </w:r>
      <w:r w:rsidR="00F31AD7">
        <w:rPr>
          <w:lang w:val="es-ES"/>
        </w:rPr>
        <w:t xml:space="preserve"> (Rev. Bucarest, 2022)</w:t>
      </w:r>
      <w:r w:rsidRPr="00126C3A">
        <w:rPr>
          <w:lang w:val="es-ES"/>
        </w:rPr>
        <w:t>.</w:t>
      </w:r>
    </w:p>
    <w:p w14:paraId="093A32BB" w14:textId="58209BAA" w:rsidR="00126C3A" w:rsidRPr="00126C3A" w:rsidRDefault="00126C3A" w:rsidP="00126C3A">
      <w:r w:rsidRPr="00126C3A">
        <w:rPr>
          <w:lang w:val="es-ES"/>
        </w:rPr>
        <w:t>7</w:t>
      </w:r>
      <w:r w:rsidRPr="00126C3A">
        <w:rPr>
          <w:lang w:val="es-ES"/>
        </w:rPr>
        <w:tab/>
        <w:t xml:space="preserve">Se ha lanzado una </w:t>
      </w:r>
      <w:hyperlink r:id="rId12" w:history="1">
        <w:r w:rsidRPr="00126C3A">
          <w:rPr>
            <w:rStyle w:val="Hyperlink"/>
            <w:lang w:val="es-ES"/>
          </w:rPr>
          <w:t>página web pública</w:t>
        </w:r>
      </w:hyperlink>
      <w:r w:rsidRPr="00126C3A">
        <w:rPr>
          <w:lang w:val="es-ES"/>
        </w:rPr>
        <w:t xml:space="preserve"> para proporcionar información básica sobre este proceso.</w:t>
      </w:r>
    </w:p>
    <w:p w14:paraId="18B8E536" w14:textId="77777777" w:rsidR="00126C3A" w:rsidRPr="00126C3A" w:rsidRDefault="00126C3A" w:rsidP="00F31AD7">
      <w:pPr>
        <w:spacing w:before="1080"/>
      </w:pPr>
      <w:r w:rsidRPr="00F31AD7">
        <w:rPr>
          <w:b/>
          <w:bCs/>
          <w:lang w:val="es-ES"/>
        </w:rPr>
        <w:t>Anexos</w:t>
      </w:r>
      <w:r w:rsidRPr="00126C3A">
        <w:rPr>
          <w:lang w:val="es-ES"/>
        </w:rPr>
        <w:t>: 2</w:t>
      </w:r>
    </w:p>
    <w:p w14:paraId="083E01B7" w14:textId="77777777" w:rsidR="00126C3A" w:rsidRPr="00126C3A" w:rsidRDefault="00126C3A" w:rsidP="00126C3A">
      <w:r w:rsidRPr="00126C3A">
        <w:br w:type="page"/>
      </w:r>
    </w:p>
    <w:p w14:paraId="4DD48CB1" w14:textId="77777777" w:rsidR="00126C3A" w:rsidRPr="00126C3A" w:rsidRDefault="00126C3A" w:rsidP="00126C3A">
      <w:pPr>
        <w:pStyle w:val="AnnexNo"/>
      </w:pPr>
      <w:bookmarkStart w:id="3" w:name="Annex1"/>
      <w:bookmarkStart w:id="4" w:name="_Hlk134188020"/>
      <w:r w:rsidRPr="00126C3A">
        <w:rPr>
          <w:lang w:val="es-ES"/>
        </w:rPr>
        <w:lastRenderedPageBreak/>
        <w:t>Anexo 1</w:t>
      </w:r>
      <w:bookmarkEnd w:id="3"/>
    </w:p>
    <w:p w14:paraId="6E263984" w14:textId="4ECDA0BA" w:rsidR="00126C3A" w:rsidRPr="00126C3A" w:rsidRDefault="00126C3A" w:rsidP="00126C3A">
      <w:pPr>
        <w:pStyle w:val="Annextitle"/>
      </w:pPr>
      <w:r w:rsidRPr="00126C3A">
        <w:rPr>
          <w:lang w:val="es-ES"/>
        </w:rPr>
        <w:t xml:space="preserve">Principales consecuencias de la Resolución 131 (Rev. Bucarest, 2022) </w:t>
      </w:r>
      <w:r w:rsidR="00F31AD7">
        <w:rPr>
          <w:lang w:val="es-ES"/>
        </w:rPr>
        <w:br/>
      </w:r>
      <w:r w:rsidRPr="00126C3A">
        <w:rPr>
          <w:lang w:val="es-ES"/>
        </w:rPr>
        <w:t xml:space="preserve">de la Conferencia de Plenipotenciarios para la elaboración del Índice </w:t>
      </w:r>
      <w:r w:rsidR="00F31AD7">
        <w:rPr>
          <w:lang w:val="es-ES"/>
        </w:rPr>
        <w:br/>
      </w:r>
      <w:r w:rsidRPr="00126C3A">
        <w:rPr>
          <w:lang w:val="es-ES"/>
        </w:rPr>
        <w:t>de Desarrollo de las TIC y determinar sus características</w:t>
      </w:r>
      <w:bookmarkEnd w:id="4"/>
    </w:p>
    <w:p w14:paraId="4B796747" w14:textId="77777777" w:rsidR="00126C3A" w:rsidRPr="00126C3A" w:rsidRDefault="00126C3A" w:rsidP="00126C3A">
      <w:pPr>
        <w:pStyle w:val="Normalaftertitle"/>
      </w:pPr>
      <w:r w:rsidRPr="00126C3A">
        <w:rPr>
          <w:lang w:val="es-ES"/>
        </w:rPr>
        <w:t xml:space="preserve">En la Resolución 131 (Rev. Bucarest, 2022) de la Conferencia de Plenipotenciarios se describen las principales etapas del proceso de elaboración de la metodología del Índice de Desarrollo de las TIC y algunas de las características más importantes del futuro Índice, con los párrafos pertinentes de la Resolución entre paréntesis: </w:t>
      </w:r>
    </w:p>
    <w:p w14:paraId="0B7BDF0B" w14:textId="156E861C" w:rsidR="00126C3A" w:rsidRPr="00126C3A" w:rsidRDefault="00126C3A" w:rsidP="00126C3A">
      <w:pPr>
        <w:pStyle w:val="enumlev1"/>
        <w:rPr>
          <w:lang w:val="es-ES"/>
        </w:rPr>
      </w:pPr>
      <w:r w:rsidRPr="00126C3A">
        <w:rPr>
          <w:lang w:val="es-ES"/>
        </w:rPr>
        <w:t>•</w:t>
      </w:r>
      <w:r>
        <w:rPr>
          <w:lang w:val="es-ES"/>
        </w:rPr>
        <w:tab/>
      </w:r>
      <w:r w:rsidR="00F31AD7">
        <w:rPr>
          <w:lang w:val="es-ES"/>
        </w:rPr>
        <w:t>l</w:t>
      </w:r>
      <w:r w:rsidRPr="00126C3A">
        <w:rPr>
          <w:lang w:val="es-ES"/>
        </w:rPr>
        <w:t>a UIT publicará un nuevo IDT "urgentemente" (</w:t>
      </w:r>
      <w:r w:rsidRPr="00126C3A">
        <w:rPr>
          <w:i/>
          <w:iCs/>
          <w:lang w:val="es-ES"/>
        </w:rPr>
        <w:t>encarga al Director de la Oficina de Desarrollo de las Telecomunicaciones</w:t>
      </w:r>
      <w:r w:rsidRPr="00126C3A">
        <w:rPr>
          <w:lang w:val="es-ES"/>
        </w:rPr>
        <w:t xml:space="preserve"> 1);</w:t>
      </w:r>
    </w:p>
    <w:p w14:paraId="2A287114" w14:textId="59CB0FAA" w:rsidR="00126C3A" w:rsidRPr="00126C3A" w:rsidRDefault="00126C3A" w:rsidP="00126C3A">
      <w:pPr>
        <w:pStyle w:val="enumlev1"/>
        <w:rPr>
          <w:lang w:val="es-ES"/>
        </w:rPr>
      </w:pPr>
      <w:r w:rsidRPr="00126C3A">
        <w:rPr>
          <w:lang w:val="es-ES"/>
        </w:rPr>
        <w:t>•</w:t>
      </w:r>
      <w:r>
        <w:rPr>
          <w:lang w:val="es-ES"/>
        </w:rPr>
        <w:tab/>
      </w:r>
      <w:r w:rsidR="00F31AD7">
        <w:rPr>
          <w:lang w:val="es-ES"/>
        </w:rPr>
        <w:t>e</w:t>
      </w:r>
      <w:r w:rsidRPr="00126C3A">
        <w:rPr>
          <w:lang w:val="es-ES"/>
        </w:rPr>
        <w:t>l nuevo IDT se publicará sin clasificaciones (</w:t>
      </w:r>
      <w:r w:rsidRPr="00126C3A">
        <w:rPr>
          <w:i/>
          <w:iCs/>
          <w:lang w:val="es-ES"/>
        </w:rPr>
        <w:t xml:space="preserve">resuelve </w:t>
      </w:r>
      <w:r w:rsidRPr="00F8094E">
        <w:rPr>
          <w:lang w:val="es-ES"/>
        </w:rPr>
        <w:t>3</w:t>
      </w:r>
      <w:r w:rsidRPr="00126C3A">
        <w:rPr>
          <w:lang w:val="es-ES"/>
        </w:rPr>
        <w:t>);</w:t>
      </w:r>
    </w:p>
    <w:p w14:paraId="6C86DC10" w14:textId="45595C71" w:rsidR="00126C3A" w:rsidRPr="00126C3A" w:rsidRDefault="00126C3A" w:rsidP="00126C3A">
      <w:pPr>
        <w:pStyle w:val="enumlev1"/>
        <w:rPr>
          <w:lang w:val="es-ES"/>
        </w:rPr>
      </w:pPr>
      <w:r w:rsidRPr="00126C3A">
        <w:rPr>
          <w:lang w:val="es-ES"/>
        </w:rPr>
        <w:t>•</w:t>
      </w:r>
      <w:r>
        <w:rPr>
          <w:lang w:val="es-ES"/>
        </w:rPr>
        <w:tab/>
      </w:r>
      <w:r w:rsidR="00F31AD7">
        <w:rPr>
          <w:lang w:val="es-ES"/>
        </w:rPr>
        <w:t>l</w:t>
      </w:r>
      <w:r w:rsidRPr="00126C3A">
        <w:rPr>
          <w:lang w:val="es-ES"/>
        </w:rPr>
        <w:t>a UIT debería establecer una estructura y metodología válidas para el IDT, por medio del Grupo de Expertos en Indicadores de Telecomunicaciones/TIC (GEIT)/el Grupo de Expertos en Indicadores de las TIC en el Hogar (GEIH) y mediante consultas oficiales con los Estados Miembros (</w:t>
      </w:r>
      <w:r w:rsidRPr="00126C3A">
        <w:rPr>
          <w:i/>
          <w:iCs/>
          <w:lang w:val="es-ES"/>
        </w:rPr>
        <w:t xml:space="preserve">resuelve </w:t>
      </w:r>
      <w:r w:rsidRPr="00F8094E">
        <w:rPr>
          <w:lang w:val="es-ES"/>
        </w:rPr>
        <w:t>3</w:t>
      </w:r>
      <w:r w:rsidRPr="00126C3A">
        <w:rPr>
          <w:lang w:val="es-ES"/>
        </w:rPr>
        <w:t>);</w:t>
      </w:r>
    </w:p>
    <w:p w14:paraId="0CB53CD0" w14:textId="70E85EF2" w:rsidR="00126C3A" w:rsidRPr="00126C3A" w:rsidRDefault="00126C3A" w:rsidP="00126C3A">
      <w:pPr>
        <w:pStyle w:val="enumlev1"/>
        <w:rPr>
          <w:lang w:val="es-ES"/>
        </w:rPr>
      </w:pPr>
      <w:r w:rsidRPr="00126C3A">
        <w:rPr>
          <w:lang w:val="es-ES"/>
        </w:rPr>
        <w:t>•</w:t>
      </w:r>
      <w:r>
        <w:rPr>
          <w:lang w:val="es-ES"/>
        </w:rPr>
        <w:tab/>
      </w:r>
      <w:r w:rsidR="00F31AD7">
        <w:rPr>
          <w:lang w:val="es-ES"/>
        </w:rPr>
        <w:t>e</w:t>
      </w:r>
      <w:r w:rsidRPr="00126C3A">
        <w:rPr>
          <w:lang w:val="es-ES"/>
        </w:rPr>
        <w:t>l Director de la BDT facilitará los trabajos del GEIT/GEIH (</w:t>
      </w:r>
      <w:r w:rsidRPr="00126C3A">
        <w:rPr>
          <w:i/>
          <w:iCs/>
          <w:lang w:val="es-ES"/>
        </w:rPr>
        <w:t>encarga al Director de la Oficina de Desarrollo de las Telecomunicaciones</w:t>
      </w:r>
      <w:r w:rsidRPr="00126C3A">
        <w:rPr>
          <w:lang w:val="es-ES"/>
        </w:rPr>
        <w:t xml:space="preserve"> 8);</w:t>
      </w:r>
    </w:p>
    <w:p w14:paraId="1FEAB9BA" w14:textId="202C2690" w:rsidR="00126C3A" w:rsidRPr="00126C3A" w:rsidRDefault="00126C3A" w:rsidP="00126C3A">
      <w:pPr>
        <w:pStyle w:val="enumlev1"/>
        <w:rPr>
          <w:lang w:val="es-ES"/>
        </w:rPr>
      </w:pPr>
      <w:r w:rsidRPr="00126C3A">
        <w:rPr>
          <w:lang w:val="es-ES"/>
        </w:rPr>
        <w:t>•</w:t>
      </w:r>
      <w:r>
        <w:rPr>
          <w:lang w:val="es-ES"/>
        </w:rPr>
        <w:tab/>
      </w:r>
      <w:r w:rsidR="00F31AD7">
        <w:rPr>
          <w:lang w:val="es-ES"/>
        </w:rPr>
        <w:t>l</w:t>
      </w:r>
      <w:r w:rsidRPr="00126C3A">
        <w:rPr>
          <w:lang w:val="es-ES"/>
        </w:rPr>
        <w:t>a estructura y metodología propuestas se someterán a la aprobación de los Estados Miembros y se considerará adoptada si se obtiene el 70 por ciento o más de respuestas positivas (</w:t>
      </w:r>
      <w:r w:rsidRPr="00126C3A">
        <w:rPr>
          <w:i/>
          <w:iCs/>
          <w:lang w:val="es-ES"/>
        </w:rPr>
        <w:t xml:space="preserve">resuelve </w:t>
      </w:r>
      <w:r w:rsidRPr="00F8094E">
        <w:rPr>
          <w:lang w:val="es-ES"/>
        </w:rPr>
        <w:t>3</w:t>
      </w:r>
      <w:r w:rsidRPr="00126C3A">
        <w:rPr>
          <w:lang w:val="es-ES"/>
        </w:rPr>
        <w:t>);</w:t>
      </w:r>
    </w:p>
    <w:p w14:paraId="0AE3D6F6" w14:textId="45F9E8DA" w:rsidR="00126C3A" w:rsidRPr="00126C3A" w:rsidRDefault="00126C3A" w:rsidP="00126C3A">
      <w:pPr>
        <w:pStyle w:val="enumlev1"/>
        <w:rPr>
          <w:lang w:val="es-ES"/>
        </w:rPr>
      </w:pPr>
      <w:r w:rsidRPr="00126C3A">
        <w:rPr>
          <w:lang w:val="es-ES"/>
        </w:rPr>
        <w:t>•</w:t>
      </w:r>
      <w:r>
        <w:rPr>
          <w:lang w:val="es-ES"/>
        </w:rPr>
        <w:tab/>
      </w:r>
      <w:r w:rsidR="00F31AD7">
        <w:rPr>
          <w:lang w:val="es-ES"/>
        </w:rPr>
        <w:t>d</w:t>
      </w:r>
      <w:r w:rsidRPr="00126C3A">
        <w:rPr>
          <w:lang w:val="es-ES"/>
        </w:rPr>
        <w:t>e adoptarse, la estructura y la metodología del IDT se considerarán válidas para cuatro ediciones, a saber, 2023-2026 (</w:t>
      </w:r>
      <w:r w:rsidRPr="00126C3A">
        <w:rPr>
          <w:i/>
          <w:iCs/>
          <w:lang w:val="es-ES"/>
        </w:rPr>
        <w:t xml:space="preserve">resuelve </w:t>
      </w:r>
      <w:r w:rsidRPr="00126C3A">
        <w:rPr>
          <w:lang w:val="es-ES"/>
        </w:rPr>
        <w:t>4);</w:t>
      </w:r>
    </w:p>
    <w:p w14:paraId="61BA4C4B" w14:textId="5C8D704B" w:rsidR="00126C3A" w:rsidRPr="00126C3A" w:rsidRDefault="00126C3A" w:rsidP="00126C3A">
      <w:pPr>
        <w:pStyle w:val="enumlev1"/>
        <w:rPr>
          <w:lang w:val="es-ES"/>
        </w:rPr>
      </w:pPr>
      <w:r w:rsidRPr="00126C3A">
        <w:rPr>
          <w:lang w:val="es-ES"/>
        </w:rPr>
        <w:t>•</w:t>
      </w:r>
      <w:r>
        <w:rPr>
          <w:lang w:val="es-ES"/>
        </w:rPr>
        <w:tab/>
      </w:r>
      <w:r w:rsidR="00F31AD7">
        <w:rPr>
          <w:lang w:val="es-ES"/>
        </w:rPr>
        <w:t>e</w:t>
      </w:r>
      <w:r w:rsidRPr="00126C3A">
        <w:rPr>
          <w:lang w:val="es-ES"/>
        </w:rPr>
        <w:t>n cada edición, los Estados Miembros tendrán la posibilidad de renunciar a su participación (</w:t>
      </w:r>
      <w:r w:rsidRPr="00126C3A">
        <w:rPr>
          <w:i/>
          <w:iCs/>
          <w:lang w:val="es-ES"/>
        </w:rPr>
        <w:t xml:space="preserve">resuelve </w:t>
      </w:r>
      <w:r w:rsidRPr="00F8094E">
        <w:rPr>
          <w:lang w:val="es-ES"/>
        </w:rPr>
        <w:t>5</w:t>
      </w:r>
      <w:r w:rsidRPr="00126C3A">
        <w:rPr>
          <w:lang w:val="es-ES"/>
        </w:rPr>
        <w:t>);</w:t>
      </w:r>
    </w:p>
    <w:p w14:paraId="430DCA8A" w14:textId="1E14D9E9" w:rsidR="00126C3A" w:rsidRPr="00126C3A" w:rsidRDefault="00126C3A" w:rsidP="00126C3A">
      <w:pPr>
        <w:pStyle w:val="enumlev1"/>
        <w:rPr>
          <w:lang w:val="es-ES"/>
        </w:rPr>
      </w:pPr>
      <w:r w:rsidRPr="00126C3A">
        <w:rPr>
          <w:lang w:val="es-ES"/>
        </w:rPr>
        <w:t>•</w:t>
      </w:r>
      <w:r>
        <w:rPr>
          <w:lang w:val="es-ES"/>
        </w:rPr>
        <w:tab/>
      </w:r>
      <w:r w:rsidR="00F31AD7">
        <w:rPr>
          <w:lang w:val="es-ES"/>
        </w:rPr>
        <w:t>s</w:t>
      </w:r>
      <w:r w:rsidRPr="00126C3A">
        <w:rPr>
          <w:lang w:val="es-ES"/>
        </w:rPr>
        <w:t>e convocará una reunión del GEIT/GEIH tras consultar oficialmente a los Estados Miembros con el fin de resolver cualquier cuestión controvertida y tratar de llegar a un consenso (</w:t>
      </w:r>
      <w:r w:rsidRPr="00126C3A">
        <w:rPr>
          <w:i/>
          <w:iCs/>
          <w:lang w:val="es-ES"/>
        </w:rPr>
        <w:t xml:space="preserve">encarga al Director de la Oficina de Desarrollo de las Telecomunicaciones </w:t>
      </w:r>
      <w:r w:rsidRPr="00F8094E">
        <w:rPr>
          <w:lang w:val="es-ES"/>
        </w:rPr>
        <w:t>9</w:t>
      </w:r>
      <w:r w:rsidRPr="00126C3A">
        <w:rPr>
          <w:lang w:val="es-ES"/>
        </w:rPr>
        <w:t>);</w:t>
      </w:r>
    </w:p>
    <w:p w14:paraId="031FDC30" w14:textId="7A3971D5" w:rsidR="00126C3A" w:rsidRDefault="00126C3A" w:rsidP="00126C3A">
      <w:pPr>
        <w:pStyle w:val="enumlev1"/>
        <w:rPr>
          <w:lang w:val="es-ES"/>
        </w:rPr>
      </w:pPr>
      <w:r w:rsidRPr="00126C3A">
        <w:rPr>
          <w:lang w:val="es-ES"/>
        </w:rPr>
        <w:t>•</w:t>
      </w:r>
      <w:r>
        <w:rPr>
          <w:lang w:val="es-ES"/>
        </w:rPr>
        <w:tab/>
      </w:r>
      <w:r w:rsidR="00F31AD7">
        <w:rPr>
          <w:lang w:val="es-ES"/>
        </w:rPr>
        <w:t>s</w:t>
      </w:r>
      <w:r w:rsidRPr="00126C3A">
        <w:rPr>
          <w:lang w:val="es-ES"/>
        </w:rPr>
        <w:t>e velará por la integridad de todos los trabajos estadísticos de la UIT, en estricto cumplimiento de los principios de las Naciones Unidas en materia de estadísticas (</w:t>
      </w:r>
      <w:r w:rsidRPr="00126C3A">
        <w:rPr>
          <w:i/>
          <w:iCs/>
          <w:lang w:val="es-ES"/>
        </w:rPr>
        <w:t xml:space="preserve">encarga al Director de la Oficina de Desarrollo de las Telecomunicaciones </w:t>
      </w:r>
      <w:r w:rsidRPr="00F8094E">
        <w:rPr>
          <w:lang w:val="es-ES"/>
        </w:rPr>
        <w:t>12</w:t>
      </w:r>
      <w:r w:rsidRPr="00126C3A">
        <w:rPr>
          <w:lang w:val="es-ES"/>
        </w:rPr>
        <w:t>).</w:t>
      </w:r>
    </w:p>
    <w:p w14:paraId="143B1888" w14:textId="77777777" w:rsidR="00126C3A" w:rsidRPr="00126C3A" w:rsidRDefault="00126C3A" w:rsidP="00126C3A">
      <w:pPr>
        <w:rPr>
          <w:lang w:val="es-ES"/>
        </w:rPr>
      </w:pPr>
    </w:p>
    <w:p w14:paraId="08B5EA6B" w14:textId="77777777" w:rsidR="00126C3A" w:rsidRDefault="00126C3A">
      <w:pPr>
        <w:rPr>
          <w:lang w:val="es-ES"/>
        </w:rPr>
        <w:sectPr w:rsidR="00126C3A"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pPr>
    </w:p>
    <w:p w14:paraId="210DED6D" w14:textId="77777777" w:rsidR="00126C3A" w:rsidRPr="00126C3A" w:rsidRDefault="00126C3A" w:rsidP="00281252">
      <w:pPr>
        <w:pStyle w:val="AnnexNo"/>
        <w:spacing w:before="0"/>
      </w:pPr>
      <w:bookmarkStart w:id="6" w:name="Annex2"/>
      <w:bookmarkEnd w:id="6"/>
      <w:r w:rsidRPr="00126C3A">
        <w:lastRenderedPageBreak/>
        <w:t>Anexo 2</w:t>
      </w:r>
    </w:p>
    <w:p w14:paraId="2E5A443E" w14:textId="502B8880" w:rsidR="00126C3A" w:rsidRPr="00126C3A" w:rsidRDefault="00126C3A" w:rsidP="00126C3A">
      <w:pPr>
        <w:pStyle w:val="Annextitle"/>
      </w:pPr>
      <w:r w:rsidRPr="00126C3A">
        <w:t>Preparación y lanzamiento del Índice de Desarrollo de las TIC (IDT) 2023</w:t>
      </w:r>
      <w:r w:rsidR="00F31AD7">
        <w:br/>
      </w:r>
      <w:r w:rsidRPr="00126C3A">
        <w:t>Cronología prevista</w:t>
      </w:r>
    </w:p>
    <w:p w14:paraId="57F8C99A" w14:textId="4D6E915D" w:rsidR="00126C3A" w:rsidRPr="00126C3A" w:rsidRDefault="00281252" w:rsidP="00126C3A">
      <w:pPr>
        <w:pStyle w:val="Figure"/>
      </w:pPr>
      <w:r w:rsidRPr="00281252">
        <w:rPr>
          <w:noProof/>
        </w:rPr>
        <w:drawing>
          <wp:inline distT="0" distB="0" distL="0" distR="0" wp14:anchorId="25CB7640" wp14:editId="42141EC3">
            <wp:extent cx="7671600" cy="4255200"/>
            <wp:effectExtent l="0" t="0" r="5715" b="0"/>
            <wp:docPr id="1" name="Picture 1" descr="A screenshot of a compute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with medium confidence"/>
                    <pic:cNvPicPr/>
                  </pic:nvPicPr>
                  <pic:blipFill>
                    <a:blip r:embed="rId16"/>
                    <a:stretch>
                      <a:fillRect/>
                    </a:stretch>
                  </pic:blipFill>
                  <pic:spPr>
                    <a:xfrm>
                      <a:off x="0" y="0"/>
                      <a:ext cx="7671600" cy="4255200"/>
                    </a:xfrm>
                    <a:prstGeom prst="rect">
                      <a:avLst/>
                    </a:prstGeom>
                  </pic:spPr>
                </pic:pic>
              </a:graphicData>
            </a:graphic>
          </wp:inline>
        </w:drawing>
      </w:r>
    </w:p>
    <w:p w14:paraId="03302929" w14:textId="77777777" w:rsidR="00126C3A" w:rsidRDefault="00126C3A" w:rsidP="00411C49">
      <w:pPr>
        <w:pStyle w:val="Reasons"/>
      </w:pPr>
    </w:p>
    <w:p w14:paraId="69A7B20E" w14:textId="77777777" w:rsidR="00126C3A" w:rsidRDefault="00126C3A">
      <w:pPr>
        <w:jc w:val="center"/>
      </w:pPr>
      <w:r>
        <w:t>______________</w:t>
      </w:r>
    </w:p>
    <w:sectPr w:rsidR="00126C3A" w:rsidSect="00126C3A">
      <w:headerReference w:type="first" r:id="rId17"/>
      <w:footerReference w:type="first" r:id="rId18"/>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421C" w14:textId="77777777" w:rsidR="008A549B" w:rsidRDefault="008A549B">
      <w:r>
        <w:separator/>
      </w:r>
    </w:p>
  </w:endnote>
  <w:endnote w:type="continuationSeparator" w:id="0">
    <w:p w14:paraId="731F676F" w14:textId="77777777" w:rsidR="008A549B" w:rsidRDefault="008A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1F30189" w14:textId="77777777" w:rsidTr="00126C3A">
      <w:trPr>
        <w:jc w:val="center"/>
      </w:trPr>
      <w:tc>
        <w:tcPr>
          <w:tcW w:w="1803" w:type="dxa"/>
          <w:vAlign w:val="center"/>
        </w:tcPr>
        <w:p w14:paraId="46A98588" w14:textId="5187A15E" w:rsidR="003273A4" w:rsidRDefault="003273A4" w:rsidP="003273A4">
          <w:pPr>
            <w:pStyle w:val="Header"/>
            <w:jc w:val="left"/>
            <w:rPr>
              <w:noProof/>
            </w:rPr>
          </w:pPr>
          <w:r>
            <w:rPr>
              <w:noProof/>
            </w:rPr>
            <w:t xml:space="preserve">DPS </w:t>
          </w:r>
          <w:r w:rsidR="00126C3A">
            <w:rPr>
              <w:noProof/>
            </w:rPr>
            <w:t>520358</w:t>
          </w:r>
        </w:p>
      </w:tc>
      <w:tc>
        <w:tcPr>
          <w:tcW w:w="8261" w:type="dxa"/>
        </w:tcPr>
        <w:p w14:paraId="70748A85" w14:textId="3A81D88B"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126C3A">
            <w:rPr>
              <w:bCs/>
            </w:rPr>
            <w:t>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28EA9EE" w14:textId="27F2D77F" w:rsidR="00760F1C" w:rsidRPr="00126C3A" w:rsidRDefault="00126C3A" w:rsidP="00126C3A">
    <w:pPr>
      <w:pStyle w:val="Footer"/>
      <w:spacing w:before="120"/>
      <w:rPr>
        <w:lang w:val="fr-FR"/>
      </w:rPr>
    </w:pPr>
    <w:r w:rsidRPr="00CB5376">
      <w:rPr>
        <w:color w:val="F2F2F2" w:themeColor="background1" w:themeShade="F2"/>
      </w:rPr>
      <w:fldChar w:fldCharType="begin"/>
    </w:r>
    <w:r w:rsidRPr="00CB5376">
      <w:rPr>
        <w:color w:val="F2F2F2" w:themeColor="background1" w:themeShade="F2"/>
        <w:lang w:val="fr-FR"/>
      </w:rPr>
      <w:instrText xml:space="preserve"> FILENAME \p  \* MERGEFORMAT </w:instrText>
    </w:r>
    <w:r w:rsidRPr="00CB5376">
      <w:rPr>
        <w:color w:val="F2F2F2" w:themeColor="background1" w:themeShade="F2"/>
      </w:rPr>
      <w:fldChar w:fldCharType="separate"/>
    </w:r>
    <w:r w:rsidRPr="00CB5376">
      <w:rPr>
        <w:color w:val="F2F2F2" w:themeColor="background1" w:themeShade="F2"/>
        <w:lang w:val="fr-FR"/>
      </w:rPr>
      <w:t>P:\ESP\SG\CONSEIL\C23\000\008S.docx</w:t>
    </w:r>
    <w:r w:rsidRPr="00CB5376">
      <w:rPr>
        <w:color w:val="F2F2F2" w:themeColor="background1" w:themeShade="F2"/>
      </w:rPr>
      <w:fldChar w:fldCharType="end"/>
    </w:r>
    <w:r w:rsidRPr="00CB5376">
      <w:rPr>
        <w:color w:val="F2F2F2" w:themeColor="background1" w:themeShade="F2"/>
        <w:lang w:val="fr-FR"/>
      </w:rPr>
      <w:t xml:space="preserve"> (520358)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BF54813" w14:textId="77777777" w:rsidTr="00E31DCE">
      <w:trPr>
        <w:jc w:val="center"/>
      </w:trPr>
      <w:tc>
        <w:tcPr>
          <w:tcW w:w="1803" w:type="dxa"/>
          <w:vAlign w:val="center"/>
        </w:tcPr>
        <w:p w14:paraId="07B993A3" w14:textId="77777777" w:rsidR="00F24B71" w:rsidRDefault="00CB5376" w:rsidP="00F24B71">
          <w:pPr>
            <w:pStyle w:val="Header"/>
            <w:jc w:val="left"/>
            <w:rPr>
              <w:noProof/>
            </w:rPr>
          </w:pPr>
          <w:hyperlink r:id="rId1" w:history="1">
            <w:r w:rsidR="00F24B71" w:rsidRPr="00A514A4">
              <w:rPr>
                <w:rStyle w:val="Hyperlink"/>
                <w:szCs w:val="14"/>
              </w:rPr>
              <w:t>www.itu.int/council</w:t>
            </w:r>
          </w:hyperlink>
        </w:p>
      </w:tc>
      <w:tc>
        <w:tcPr>
          <w:tcW w:w="8261" w:type="dxa"/>
        </w:tcPr>
        <w:p w14:paraId="75619746" w14:textId="588E85F7"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126C3A">
            <w:rPr>
              <w:bCs/>
            </w:rPr>
            <w:t>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BDACD41" w14:textId="5C5DCCCC" w:rsidR="00760F1C" w:rsidRPr="00126C3A" w:rsidRDefault="00126C3A" w:rsidP="00126C3A">
    <w:pPr>
      <w:pStyle w:val="Footer"/>
      <w:spacing w:before="120"/>
      <w:rPr>
        <w:lang w:val="fr-FR"/>
      </w:rPr>
    </w:pPr>
    <w:r w:rsidRPr="00CB5376">
      <w:rPr>
        <w:color w:val="F2F2F2" w:themeColor="background1" w:themeShade="F2"/>
      </w:rPr>
      <w:fldChar w:fldCharType="begin"/>
    </w:r>
    <w:r w:rsidRPr="00CB5376">
      <w:rPr>
        <w:color w:val="F2F2F2" w:themeColor="background1" w:themeShade="F2"/>
        <w:lang w:val="fr-FR"/>
      </w:rPr>
      <w:instrText xml:space="preserve"> FILENAME \p  \* MERGEFORMAT </w:instrText>
    </w:r>
    <w:r w:rsidRPr="00CB5376">
      <w:rPr>
        <w:color w:val="F2F2F2" w:themeColor="background1" w:themeShade="F2"/>
      </w:rPr>
      <w:fldChar w:fldCharType="separate"/>
    </w:r>
    <w:r w:rsidRPr="00CB5376">
      <w:rPr>
        <w:color w:val="F2F2F2" w:themeColor="background1" w:themeShade="F2"/>
        <w:lang w:val="fr-FR"/>
      </w:rPr>
      <w:t>P:\ESP\SG\CONSEIL\C23\000\008S.docx</w:t>
    </w:r>
    <w:r w:rsidRPr="00CB5376">
      <w:rPr>
        <w:color w:val="F2F2F2" w:themeColor="background1" w:themeShade="F2"/>
      </w:rPr>
      <w:fldChar w:fldCharType="end"/>
    </w:r>
    <w:r w:rsidRPr="00CB5376">
      <w:rPr>
        <w:color w:val="F2F2F2" w:themeColor="background1" w:themeShade="F2"/>
        <w:lang w:val="fr-FR"/>
      </w:rPr>
      <w:t xml:space="preserve"> (520358)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580"/>
    </w:tblGrid>
    <w:tr w:rsidR="00126C3A" w:rsidRPr="00784011" w14:paraId="5B6BA88C" w14:textId="77777777" w:rsidTr="00126C3A">
      <w:trPr>
        <w:jc w:val="center"/>
      </w:trPr>
      <w:tc>
        <w:tcPr>
          <w:tcW w:w="1418" w:type="dxa"/>
          <w:vAlign w:val="center"/>
        </w:tcPr>
        <w:p w14:paraId="3AACEB14" w14:textId="77777777" w:rsidR="00126C3A" w:rsidRDefault="00126C3A" w:rsidP="00126C3A">
          <w:pPr>
            <w:pStyle w:val="Header"/>
            <w:jc w:val="left"/>
            <w:rPr>
              <w:noProof/>
            </w:rPr>
          </w:pPr>
          <w:r>
            <w:rPr>
              <w:noProof/>
            </w:rPr>
            <w:t>DPS 520358</w:t>
          </w:r>
        </w:p>
      </w:tc>
      <w:tc>
        <w:tcPr>
          <w:tcW w:w="12580" w:type="dxa"/>
        </w:tcPr>
        <w:p w14:paraId="16C33F9A" w14:textId="77777777" w:rsidR="00126C3A" w:rsidRPr="00E06FD5" w:rsidRDefault="00126C3A" w:rsidP="00F8094E">
          <w:pPr>
            <w:pStyle w:val="Header"/>
            <w:tabs>
              <w:tab w:val="left" w:pos="11372"/>
              <w:tab w:val="left" w:pos="11655"/>
              <w:tab w:val="right" w:pos="12360"/>
            </w:tabs>
            <w:jc w:val="left"/>
            <w:rPr>
              <w:rFonts w:ascii="Arial" w:hAnsi="Arial" w:cs="Arial"/>
              <w:b/>
              <w:bCs/>
              <w:szCs w:val="18"/>
            </w:rPr>
          </w:pPr>
          <w:r>
            <w:rPr>
              <w:bCs/>
            </w:rPr>
            <w:tab/>
          </w:r>
          <w:r w:rsidRPr="00623AE3">
            <w:rPr>
              <w:bCs/>
            </w:rPr>
            <w:t>C</w:t>
          </w:r>
          <w:r>
            <w:rPr>
              <w:bCs/>
            </w:rPr>
            <w:t>23</w:t>
          </w:r>
          <w:r w:rsidRPr="00623AE3">
            <w:rPr>
              <w:bCs/>
            </w:rPr>
            <w:t>/</w:t>
          </w:r>
          <w:r>
            <w:rPr>
              <w:bCs/>
            </w:rPr>
            <w:t>8</w:t>
          </w:r>
          <w:r w:rsidRPr="00623AE3">
            <w:rPr>
              <w:bCs/>
            </w:rPr>
            <w:t>-</w:t>
          </w:r>
          <w:r>
            <w:rPr>
              <w:bCs/>
            </w:rPr>
            <w:t>S</w:t>
          </w:r>
          <w:r>
            <w:rPr>
              <w:bCs/>
            </w:rPr>
            <w:tab/>
          </w:r>
          <w:r>
            <w:fldChar w:fldCharType="begin"/>
          </w:r>
          <w:r>
            <w:instrText>PAGE</w:instrText>
          </w:r>
          <w:r>
            <w:fldChar w:fldCharType="separate"/>
          </w:r>
          <w:r>
            <w:t>3</w:t>
          </w:r>
          <w:r>
            <w:rPr>
              <w:noProof/>
            </w:rPr>
            <w:fldChar w:fldCharType="end"/>
          </w:r>
        </w:p>
      </w:tc>
    </w:tr>
  </w:tbl>
  <w:p w14:paraId="6B923FEC" w14:textId="17E2C068" w:rsidR="00126C3A" w:rsidRPr="00126C3A" w:rsidRDefault="00126C3A" w:rsidP="00126C3A">
    <w:pPr>
      <w:pStyle w:val="Footer"/>
      <w:spacing w:before="120"/>
      <w:rPr>
        <w:lang w:val="fr-FR"/>
      </w:rPr>
    </w:pPr>
    <w:r w:rsidRPr="00CB5376">
      <w:rPr>
        <w:color w:val="F2F2F2" w:themeColor="background1" w:themeShade="F2"/>
      </w:rPr>
      <w:fldChar w:fldCharType="begin"/>
    </w:r>
    <w:r w:rsidRPr="00CB5376">
      <w:rPr>
        <w:color w:val="F2F2F2" w:themeColor="background1" w:themeShade="F2"/>
        <w:lang w:val="fr-FR"/>
      </w:rPr>
      <w:instrText xml:space="preserve"> FILENAME \p  \* MERGEFORMAT </w:instrText>
    </w:r>
    <w:r w:rsidRPr="00CB5376">
      <w:rPr>
        <w:color w:val="F2F2F2" w:themeColor="background1" w:themeShade="F2"/>
      </w:rPr>
      <w:fldChar w:fldCharType="separate"/>
    </w:r>
    <w:r w:rsidRPr="00CB5376">
      <w:rPr>
        <w:color w:val="F2F2F2" w:themeColor="background1" w:themeShade="F2"/>
        <w:lang w:val="fr-FR"/>
      </w:rPr>
      <w:t>P:\ESP\SG\CONSEIL\C23\000\008S.docx</w:t>
    </w:r>
    <w:r w:rsidRPr="00CB5376">
      <w:rPr>
        <w:color w:val="F2F2F2" w:themeColor="background1" w:themeShade="F2"/>
      </w:rPr>
      <w:fldChar w:fldCharType="end"/>
    </w:r>
    <w:r w:rsidRPr="00CB5376">
      <w:rPr>
        <w:color w:val="F2F2F2" w:themeColor="background1" w:themeShade="F2"/>
        <w:lang w:val="fr-FR"/>
      </w:rPr>
      <w:t xml:space="preserve"> (520358)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2E8F" w14:textId="77777777" w:rsidR="008A549B" w:rsidRDefault="008A549B">
      <w:r>
        <w:t>____________________</w:t>
      </w:r>
    </w:p>
  </w:footnote>
  <w:footnote w:type="continuationSeparator" w:id="0">
    <w:p w14:paraId="7848BDAB" w14:textId="77777777" w:rsidR="008A549B" w:rsidRDefault="008A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2B4F3ADA" w14:textId="77777777" w:rsidTr="00E31DCE">
      <w:trPr>
        <w:trHeight w:val="1104"/>
        <w:jc w:val="center"/>
      </w:trPr>
      <w:tc>
        <w:tcPr>
          <w:tcW w:w="4390" w:type="dxa"/>
          <w:vAlign w:val="center"/>
        </w:tcPr>
        <w:p w14:paraId="391B3789" w14:textId="77777777" w:rsidR="001559F5" w:rsidRPr="009621F8" w:rsidRDefault="001559F5" w:rsidP="001559F5">
          <w:pPr>
            <w:pStyle w:val="Header"/>
            <w:jc w:val="left"/>
            <w:rPr>
              <w:rFonts w:ascii="Arial" w:hAnsi="Arial" w:cs="Arial"/>
              <w:b/>
              <w:bCs/>
              <w:color w:val="009CD6"/>
              <w:sz w:val="36"/>
              <w:szCs w:val="36"/>
            </w:rPr>
          </w:pPr>
          <w:bookmarkStart w:id="5" w:name="_Hlk133422111"/>
          <w:r>
            <w:rPr>
              <w:noProof/>
            </w:rPr>
            <w:drawing>
              <wp:inline distT="0" distB="0" distL="0" distR="0" wp14:anchorId="2D498CD1" wp14:editId="79ABE765">
                <wp:extent cx="1887322" cy="53036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642E5CAE" w14:textId="77777777" w:rsidR="001559F5" w:rsidRDefault="001559F5" w:rsidP="001559F5">
          <w:pPr>
            <w:pStyle w:val="Header"/>
            <w:jc w:val="right"/>
            <w:rPr>
              <w:rFonts w:ascii="Arial" w:hAnsi="Arial" w:cs="Arial"/>
              <w:b/>
              <w:bCs/>
              <w:color w:val="009CD6"/>
              <w:szCs w:val="18"/>
            </w:rPr>
          </w:pPr>
        </w:p>
        <w:p w14:paraId="61A67E36" w14:textId="77777777" w:rsidR="001559F5" w:rsidRDefault="001559F5" w:rsidP="001559F5">
          <w:pPr>
            <w:pStyle w:val="Header"/>
            <w:jc w:val="right"/>
            <w:rPr>
              <w:rFonts w:ascii="Arial" w:hAnsi="Arial" w:cs="Arial"/>
              <w:b/>
              <w:bCs/>
              <w:color w:val="009CD6"/>
              <w:szCs w:val="18"/>
            </w:rPr>
          </w:pPr>
        </w:p>
        <w:p w14:paraId="4B44D940"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5"/>
  <w:p w14:paraId="1991856E"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2D8F3BE" wp14:editId="680BA925">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FE825"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A647" w14:textId="2520651D" w:rsidR="00126C3A" w:rsidRDefault="0012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D1C"/>
    <w:multiLevelType w:val="hybridMultilevel"/>
    <w:tmpl w:val="E41EF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83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9B"/>
    <w:rsid w:val="000007D1"/>
    <w:rsid w:val="00093EEB"/>
    <w:rsid w:val="000B0D00"/>
    <w:rsid w:val="000B7C15"/>
    <w:rsid w:val="000D1D0F"/>
    <w:rsid w:val="000F5290"/>
    <w:rsid w:val="0010165C"/>
    <w:rsid w:val="00126C3A"/>
    <w:rsid w:val="00146BFB"/>
    <w:rsid w:val="001559F5"/>
    <w:rsid w:val="001F14A2"/>
    <w:rsid w:val="002801AA"/>
    <w:rsid w:val="00281252"/>
    <w:rsid w:val="002C4676"/>
    <w:rsid w:val="002C70B0"/>
    <w:rsid w:val="002F3CC4"/>
    <w:rsid w:val="003273A4"/>
    <w:rsid w:val="004B5D49"/>
    <w:rsid w:val="00513630"/>
    <w:rsid w:val="00560125"/>
    <w:rsid w:val="00585553"/>
    <w:rsid w:val="005B34D9"/>
    <w:rsid w:val="005D0CCF"/>
    <w:rsid w:val="005F3BCB"/>
    <w:rsid w:val="005F410F"/>
    <w:rsid w:val="0060149A"/>
    <w:rsid w:val="00601924"/>
    <w:rsid w:val="006447EA"/>
    <w:rsid w:val="0064731F"/>
    <w:rsid w:val="00664572"/>
    <w:rsid w:val="006710F6"/>
    <w:rsid w:val="00677A97"/>
    <w:rsid w:val="006C1B56"/>
    <w:rsid w:val="006D4761"/>
    <w:rsid w:val="00726872"/>
    <w:rsid w:val="00760F1C"/>
    <w:rsid w:val="007657F0"/>
    <w:rsid w:val="0077252D"/>
    <w:rsid w:val="007955DA"/>
    <w:rsid w:val="007E5DD3"/>
    <w:rsid w:val="007F350B"/>
    <w:rsid w:val="00820BE4"/>
    <w:rsid w:val="008451E8"/>
    <w:rsid w:val="008A549B"/>
    <w:rsid w:val="00913B9C"/>
    <w:rsid w:val="00927F93"/>
    <w:rsid w:val="00956E77"/>
    <w:rsid w:val="009F4811"/>
    <w:rsid w:val="00AA390C"/>
    <w:rsid w:val="00B0200A"/>
    <w:rsid w:val="00B574DB"/>
    <w:rsid w:val="00B826C2"/>
    <w:rsid w:val="00B8298E"/>
    <w:rsid w:val="00BD0723"/>
    <w:rsid w:val="00BD2518"/>
    <w:rsid w:val="00BF1D1C"/>
    <w:rsid w:val="00C20C59"/>
    <w:rsid w:val="00C2727F"/>
    <w:rsid w:val="00C538FC"/>
    <w:rsid w:val="00C55B1F"/>
    <w:rsid w:val="00CB5376"/>
    <w:rsid w:val="00CF1A67"/>
    <w:rsid w:val="00D2750E"/>
    <w:rsid w:val="00D50A36"/>
    <w:rsid w:val="00D62446"/>
    <w:rsid w:val="00DA4EA2"/>
    <w:rsid w:val="00DC3D3E"/>
    <w:rsid w:val="00DE2C90"/>
    <w:rsid w:val="00DE3B24"/>
    <w:rsid w:val="00E06947"/>
    <w:rsid w:val="00E34072"/>
    <w:rsid w:val="00E3592D"/>
    <w:rsid w:val="00E92DE8"/>
    <w:rsid w:val="00EB1212"/>
    <w:rsid w:val="00ED65AB"/>
    <w:rsid w:val="00F12850"/>
    <w:rsid w:val="00F24B71"/>
    <w:rsid w:val="00F31AD7"/>
    <w:rsid w:val="00F33BF4"/>
    <w:rsid w:val="00F7105E"/>
    <w:rsid w:val="00F75F57"/>
    <w:rsid w:val="00F8094E"/>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7E617"/>
  <w15:docId w15:val="{3A3C502A-C70F-4B93-8454-5DDE0962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Statistics/Documents/IDI/D22-BDT-CIR-0005PDF-S.pdf"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D/Statistics/Pages/IDI/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d/meetings/statistics/joint-egti-egh-meeting-on-idi-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itu-d/meetings/idi/forum/idi-foru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ging.itu.int/en/ITU-D/Statistics/Documents/IDI/IDI2023ZeroDraftDocument_February2023.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F310-35FA-4086-A577-86A33C6D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PS_Council23.dotx</Template>
  <TotalTime>1</TotalTime>
  <Pages>4</Pages>
  <Words>943</Words>
  <Characters>5613</Characters>
  <Application>Microsoft Office Word</Application>
  <DocSecurity>4</DocSecurity>
  <Lines>46</Lines>
  <Paragraphs>13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6543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Medición de las tecnologías de la información y la comunicación para la construcción de una sociedad de la información integradora e inclusiva</dc:title>
  <dc:subject>Consejo 2023</dc:subject>
  <dc:creator>Spanish83</dc:creator>
  <cp:keywords>C2023, C23, Council-23</cp:keywords>
  <dc:description/>
  <cp:lastModifiedBy>Xue, Kun</cp:lastModifiedBy>
  <cp:revision>2</cp:revision>
  <cp:lastPrinted>2006-03-24T09:51:00Z</cp:lastPrinted>
  <dcterms:created xsi:type="dcterms:W3CDTF">2023-06-14T07:34:00Z</dcterms:created>
  <dcterms:modified xsi:type="dcterms:W3CDTF">2023-06-14T07:34:00Z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