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AC7A039" w14:textId="77777777" w:rsidTr="00F363FE">
        <w:tc>
          <w:tcPr>
            <w:tcW w:w="6512" w:type="dxa"/>
          </w:tcPr>
          <w:p w14:paraId="78278D4E" w14:textId="228F4D90"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306086">
              <w:rPr>
                <w:rFonts w:hint="cs"/>
                <w:b/>
                <w:bCs/>
                <w:rtl/>
                <w:lang w:bidi="ar-SY"/>
              </w:rPr>
              <w:t xml:space="preserve"> </w:t>
            </w:r>
            <w:r w:rsidR="00306086">
              <w:rPr>
                <w:b/>
                <w:bCs/>
                <w:lang w:bidi="ar-SY"/>
              </w:rPr>
              <w:t>PL 2</w:t>
            </w:r>
          </w:p>
        </w:tc>
        <w:tc>
          <w:tcPr>
            <w:tcW w:w="3117" w:type="dxa"/>
          </w:tcPr>
          <w:p w14:paraId="2064EC3D" w14:textId="38AE757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D46D18">
              <w:rPr>
                <w:b/>
                <w:bCs/>
                <w:lang w:bidi="ar-EG"/>
              </w:rPr>
              <w:t>6</w:t>
            </w:r>
            <w:r w:rsidRPr="007B0AA0">
              <w:rPr>
                <w:b/>
                <w:bCs/>
                <w:lang w:bidi="ar-EG"/>
              </w:rPr>
              <w:t>-A</w:t>
            </w:r>
          </w:p>
        </w:tc>
      </w:tr>
      <w:tr w:rsidR="007B0AA0" w14:paraId="04D817DA" w14:textId="77777777" w:rsidTr="00F363FE">
        <w:tc>
          <w:tcPr>
            <w:tcW w:w="6512" w:type="dxa"/>
          </w:tcPr>
          <w:p w14:paraId="375A9029" w14:textId="77777777" w:rsidR="007B0AA0" w:rsidRPr="007B0AA0" w:rsidRDefault="007B0AA0" w:rsidP="00F363FE">
            <w:pPr>
              <w:spacing w:before="60" w:after="60" w:line="260" w:lineRule="exact"/>
              <w:rPr>
                <w:b/>
                <w:bCs/>
                <w:rtl/>
                <w:lang w:bidi="ar-EG"/>
              </w:rPr>
            </w:pPr>
          </w:p>
        </w:tc>
        <w:tc>
          <w:tcPr>
            <w:tcW w:w="3117" w:type="dxa"/>
          </w:tcPr>
          <w:p w14:paraId="28594C7D" w14:textId="5A1A69AD" w:rsidR="007B0AA0" w:rsidRPr="007B0AA0" w:rsidRDefault="00D46D18" w:rsidP="00F363FE">
            <w:pPr>
              <w:spacing w:before="60" w:after="60" w:line="260" w:lineRule="exact"/>
              <w:rPr>
                <w:b/>
                <w:bCs/>
                <w:rtl/>
                <w:lang w:bidi="ar-EG"/>
              </w:rPr>
            </w:pPr>
            <w:r>
              <w:rPr>
                <w:b/>
                <w:bCs/>
                <w:lang w:bidi="ar-EG"/>
              </w:rPr>
              <w:t>11</w:t>
            </w:r>
            <w:r>
              <w:rPr>
                <w:rFonts w:hint="cs"/>
                <w:b/>
                <w:bCs/>
                <w:rtl/>
                <w:lang w:bidi="ar-SY"/>
              </w:rPr>
              <w:t xml:space="preserve"> يونيو </w:t>
            </w:r>
            <w:r w:rsidR="007B0AA0" w:rsidRPr="007B0AA0">
              <w:rPr>
                <w:b/>
                <w:bCs/>
                <w:lang w:bidi="ar-EG"/>
              </w:rPr>
              <w:t>2023</w:t>
            </w:r>
          </w:p>
        </w:tc>
      </w:tr>
      <w:tr w:rsidR="007B0AA0" w14:paraId="0E91FD44" w14:textId="77777777" w:rsidTr="00F363FE">
        <w:tc>
          <w:tcPr>
            <w:tcW w:w="6512" w:type="dxa"/>
          </w:tcPr>
          <w:p w14:paraId="7117C1C3" w14:textId="77777777" w:rsidR="007B0AA0" w:rsidRPr="007B0AA0" w:rsidRDefault="007B0AA0" w:rsidP="00F363FE">
            <w:pPr>
              <w:spacing w:before="60" w:after="60" w:line="260" w:lineRule="exact"/>
              <w:rPr>
                <w:b/>
                <w:bCs/>
                <w:rtl/>
                <w:lang w:bidi="ar-EG"/>
              </w:rPr>
            </w:pPr>
          </w:p>
        </w:tc>
        <w:tc>
          <w:tcPr>
            <w:tcW w:w="3117" w:type="dxa"/>
          </w:tcPr>
          <w:p w14:paraId="37713F31"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6D52038A" w14:textId="77777777" w:rsidTr="00F363FE">
        <w:tc>
          <w:tcPr>
            <w:tcW w:w="6512" w:type="dxa"/>
          </w:tcPr>
          <w:p w14:paraId="11ADD19A" w14:textId="77777777" w:rsidR="007B0AA0" w:rsidRDefault="007B0AA0" w:rsidP="00F363FE">
            <w:pPr>
              <w:spacing w:before="60" w:after="60" w:line="260" w:lineRule="exact"/>
              <w:rPr>
                <w:lang w:bidi="ar-EG"/>
              </w:rPr>
            </w:pPr>
          </w:p>
        </w:tc>
        <w:tc>
          <w:tcPr>
            <w:tcW w:w="3117" w:type="dxa"/>
          </w:tcPr>
          <w:p w14:paraId="544EC7C0" w14:textId="77777777" w:rsidR="007B0AA0" w:rsidRDefault="007B0AA0" w:rsidP="00F363FE">
            <w:pPr>
              <w:spacing w:before="60" w:after="60" w:line="260" w:lineRule="exact"/>
              <w:rPr>
                <w:rtl/>
                <w:lang w:bidi="ar-EG"/>
              </w:rPr>
            </w:pPr>
          </w:p>
        </w:tc>
      </w:tr>
      <w:tr w:rsidR="007B0AA0" w14:paraId="1097F61A" w14:textId="77777777" w:rsidTr="00EE7446">
        <w:tc>
          <w:tcPr>
            <w:tcW w:w="9629" w:type="dxa"/>
            <w:gridSpan w:val="2"/>
          </w:tcPr>
          <w:p w14:paraId="7E5EA975" w14:textId="5010B5F5" w:rsidR="007B0AA0" w:rsidRDefault="007B0AA0" w:rsidP="007B0AA0">
            <w:pPr>
              <w:pStyle w:val="Source"/>
              <w:jc w:val="left"/>
              <w:rPr>
                <w:lang w:bidi="ar-EG"/>
              </w:rPr>
            </w:pPr>
            <w:r>
              <w:rPr>
                <w:rFonts w:hint="cs"/>
                <w:rtl/>
                <w:lang w:bidi="ar-EG"/>
              </w:rPr>
              <w:t xml:space="preserve">تقرير من </w:t>
            </w:r>
            <w:r w:rsidR="004B7334">
              <w:rPr>
                <w:rFonts w:hint="cs"/>
                <w:rtl/>
                <w:lang w:bidi="ar-EG"/>
              </w:rPr>
              <w:t>الأمينة العامة</w:t>
            </w:r>
          </w:p>
        </w:tc>
      </w:tr>
      <w:tr w:rsidR="007B0AA0" w14:paraId="2979049D" w14:textId="77777777" w:rsidTr="007B0AA0">
        <w:tc>
          <w:tcPr>
            <w:tcW w:w="9629" w:type="dxa"/>
            <w:gridSpan w:val="2"/>
            <w:tcBorders>
              <w:bottom w:val="single" w:sz="4" w:space="0" w:color="auto"/>
            </w:tcBorders>
          </w:tcPr>
          <w:p w14:paraId="30C8FC04" w14:textId="20A5F7F6" w:rsidR="007B0AA0" w:rsidRPr="0096465B" w:rsidRDefault="00D46D18" w:rsidP="007B0AA0">
            <w:pPr>
              <w:pStyle w:val="Subtitle0"/>
            </w:pPr>
            <w:r w:rsidRPr="0096465B">
              <w:rPr>
                <w:rtl/>
              </w:rPr>
              <w:t>25 عاماً من برنامج عمل الاتحاد بشأن المساواة بين الجنسين</w:t>
            </w:r>
          </w:p>
        </w:tc>
      </w:tr>
      <w:tr w:rsidR="007B0AA0" w14:paraId="0E8EE7B8" w14:textId="77777777" w:rsidTr="007B0AA0">
        <w:tc>
          <w:tcPr>
            <w:tcW w:w="9629" w:type="dxa"/>
            <w:gridSpan w:val="2"/>
            <w:tcBorders>
              <w:top w:val="single" w:sz="4" w:space="0" w:color="auto"/>
              <w:bottom w:val="single" w:sz="4" w:space="0" w:color="auto"/>
            </w:tcBorders>
          </w:tcPr>
          <w:p w14:paraId="22B2C8BD" w14:textId="4BBA8394" w:rsidR="007B0AA0" w:rsidRPr="007B0AA0" w:rsidRDefault="007B0AA0" w:rsidP="007B0AA0">
            <w:pPr>
              <w:rPr>
                <w:b/>
                <w:bCs/>
                <w:rtl/>
              </w:rPr>
            </w:pPr>
            <w:r w:rsidRPr="007B0AA0">
              <w:rPr>
                <w:rFonts w:hint="cs"/>
                <w:b/>
                <w:bCs/>
                <w:rtl/>
              </w:rPr>
              <w:t>الغرض</w:t>
            </w:r>
          </w:p>
          <w:p w14:paraId="2ACA0E1B" w14:textId="0EBB3A0D" w:rsidR="008E7717" w:rsidRDefault="008E7717" w:rsidP="008E7717">
            <w:r w:rsidRPr="0096465B">
              <w:rPr>
                <w:rtl/>
              </w:rPr>
              <w:t xml:space="preserve">في </w:t>
            </w:r>
            <w:r w:rsidR="002D060B" w:rsidRPr="0096465B">
              <w:rPr>
                <w:rFonts w:hint="cs"/>
                <w:rtl/>
              </w:rPr>
              <w:t>سياق</w:t>
            </w:r>
            <w:r w:rsidRPr="0096465B">
              <w:rPr>
                <w:rtl/>
              </w:rPr>
              <w:t xml:space="preserve"> الذكرى</w:t>
            </w:r>
            <w:r w:rsidR="00CA5E95" w:rsidRPr="0096465B">
              <w:rPr>
                <w:rFonts w:hint="cs"/>
                <w:rtl/>
                <w:lang w:bidi="ar-EG"/>
              </w:rPr>
              <w:t xml:space="preserve"> السنوية</w:t>
            </w:r>
            <w:r w:rsidRPr="0096465B">
              <w:rPr>
                <w:rtl/>
              </w:rPr>
              <w:t xml:space="preserve"> الخامسة والعشرين </w:t>
            </w:r>
            <w:r w:rsidR="00CA5E95" w:rsidRPr="0096465B">
              <w:rPr>
                <w:rFonts w:hint="cs"/>
                <w:rtl/>
              </w:rPr>
              <w:t xml:space="preserve">لاعتماد </w:t>
            </w:r>
            <w:r w:rsidRPr="0096465B">
              <w:rPr>
                <w:rtl/>
              </w:rPr>
              <w:t>مؤتمر المندوبين المفوضين</w:t>
            </w:r>
            <w:r w:rsidR="00CA5E95" w:rsidRPr="0096465B">
              <w:rPr>
                <w:rFonts w:hint="cs"/>
                <w:rtl/>
              </w:rPr>
              <w:t xml:space="preserve"> لأول مرة القرار 70</w:t>
            </w:r>
            <w:r w:rsidRPr="0096465B">
              <w:rPr>
                <w:rtl/>
              </w:rPr>
              <w:t xml:space="preserve"> (مينيابوليس، 1998)، الذي يمثل البداية الرسمية لعمل الاتحاد بشأن المساواة بين الجنسين، تلخص هذه الوثيقة برنامج عمل الاتحاد للنهوض بالمساواة بين الجنسين، واستعراض التقدم المحرز حتى الآن و</w:t>
            </w:r>
            <w:r w:rsidRPr="0096465B">
              <w:rPr>
                <w:rFonts w:hint="cs"/>
                <w:rtl/>
              </w:rPr>
              <w:t>عرض</w:t>
            </w:r>
            <w:r w:rsidRPr="0096465B">
              <w:rPr>
                <w:rtl/>
              </w:rPr>
              <w:t xml:space="preserve"> المتطلبات </w:t>
            </w:r>
            <w:r w:rsidRPr="0096465B">
              <w:rPr>
                <w:rFonts w:hint="cs"/>
                <w:rtl/>
              </w:rPr>
              <w:t xml:space="preserve">اللازمة </w:t>
            </w:r>
            <w:r w:rsidRPr="0096465B">
              <w:rPr>
                <w:rtl/>
              </w:rPr>
              <w:t>ل</w:t>
            </w:r>
            <w:r w:rsidRPr="0096465B">
              <w:rPr>
                <w:rFonts w:hint="cs"/>
                <w:rtl/>
              </w:rPr>
              <w:t xml:space="preserve">تحقيق </w:t>
            </w:r>
            <w:r w:rsidRPr="0096465B">
              <w:rPr>
                <w:rtl/>
              </w:rPr>
              <w:t>تأثير أكثر استدامة في</w:t>
            </w:r>
            <w:r w:rsidR="0096465B">
              <w:rPr>
                <w:rFonts w:hint="cs"/>
                <w:rtl/>
              </w:rPr>
              <w:t> </w:t>
            </w:r>
            <w:r w:rsidRPr="0096465B">
              <w:rPr>
                <w:rtl/>
              </w:rPr>
              <w:t>السنوات القادمة.</w:t>
            </w:r>
          </w:p>
          <w:p w14:paraId="061D75AD" w14:textId="3FAEBBB8" w:rsidR="00D46D18" w:rsidRDefault="008E7717" w:rsidP="0096465B">
            <w:pPr>
              <w:rPr>
                <w:rtl/>
              </w:rPr>
            </w:pPr>
            <w:r>
              <w:rPr>
                <w:rFonts w:hint="cs"/>
                <w:rtl/>
              </w:rPr>
              <w:t xml:space="preserve">ويُلاحظ </w:t>
            </w:r>
            <w:r>
              <w:rPr>
                <w:rtl/>
              </w:rPr>
              <w:t xml:space="preserve">أن </w:t>
            </w:r>
            <w:r>
              <w:rPr>
                <w:rFonts w:hint="cs"/>
                <w:rtl/>
              </w:rPr>
              <w:t>ال</w:t>
            </w:r>
            <w:r>
              <w:rPr>
                <w:rtl/>
              </w:rPr>
              <w:t xml:space="preserve">تقرير </w:t>
            </w:r>
            <w:r>
              <w:rPr>
                <w:rFonts w:hint="cs"/>
                <w:rtl/>
              </w:rPr>
              <w:t>بشأن القرار 70 (المراج</w:t>
            </w:r>
            <w:r w:rsidR="0096465B">
              <w:rPr>
                <w:rFonts w:hint="cs"/>
                <w:rtl/>
              </w:rPr>
              <w:t>َ</w:t>
            </w:r>
            <w:r>
              <w:rPr>
                <w:rFonts w:hint="cs"/>
                <w:rtl/>
              </w:rPr>
              <w:t>ع في بوخارست، 2022) لمؤتمر المندوبين المفوضين</w:t>
            </w:r>
            <w:r>
              <w:rPr>
                <w:rtl/>
              </w:rPr>
              <w:t xml:space="preserve"> قد تم إدراجه في الوثيقة </w:t>
            </w:r>
            <w:r>
              <w:t>C23/35</w:t>
            </w:r>
            <w:r>
              <w:rPr>
                <w:rtl/>
              </w:rPr>
              <w:t xml:space="preserve">، التي تحتوي على تقرير عن أنشطة الاتحاد، تحت القسم </w:t>
            </w:r>
            <w:r>
              <w:rPr>
                <w:rFonts w:hint="cs"/>
                <w:rtl/>
              </w:rPr>
              <w:t>6</w:t>
            </w:r>
            <w:r>
              <w:rPr>
                <w:rtl/>
              </w:rPr>
              <w:t>.</w:t>
            </w:r>
            <w:r>
              <w:rPr>
                <w:rFonts w:hint="cs"/>
                <w:rtl/>
              </w:rPr>
              <w:t>4</w:t>
            </w:r>
            <w:r>
              <w:rPr>
                <w:rtl/>
              </w:rPr>
              <w:t xml:space="preserve"> بشأن الشمول الرقمي.</w:t>
            </w:r>
          </w:p>
          <w:p w14:paraId="05F80E77" w14:textId="77777777" w:rsidR="007B0AA0" w:rsidRPr="007B0AA0" w:rsidRDefault="007B0AA0" w:rsidP="007B0AA0">
            <w:pPr>
              <w:rPr>
                <w:b/>
                <w:bCs/>
                <w:rtl/>
              </w:rPr>
            </w:pPr>
            <w:r w:rsidRPr="007B0AA0">
              <w:rPr>
                <w:rFonts w:hint="cs"/>
                <w:b/>
                <w:bCs/>
                <w:rtl/>
              </w:rPr>
              <w:t>الإجراء المطلوب من المجلس</w:t>
            </w:r>
          </w:p>
          <w:p w14:paraId="117E391A" w14:textId="658A6620" w:rsidR="007B0AA0" w:rsidRPr="00D46D18" w:rsidRDefault="005C3FFF" w:rsidP="00D46D18">
            <w:pPr>
              <w:rPr>
                <w:rtl/>
              </w:rPr>
            </w:pPr>
            <w:r>
              <w:rPr>
                <w:rFonts w:hint="cs"/>
                <w:rtl/>
                <w:lang w:bidi="ar-EG"/>
              </w:rPr>
              <w:t>ي</w:t>
            </w:r>
            <w:r w:rsidR="006C438A">
              <w:rPr>
                <w:rFonts w:hint="cs"/>
                <w:rtl/>
                <w:lang w:bidi="ar-EG"/>
              </w:rPr>
              <w:t xml:space="preserve">ُدعى مجلس الاتحاد إلى </w:t>
            </w:r>
            <w:r w:rsidR="006C438A" w:rsidRPr="006C438A">
              <w:rPr>
                <w:rFonts w:hint="cs"/>
                <w:b/>
                <w:bCs/>
                <w:rtl/>
                <w:lang w:bidi="ar-EG"/>
              </w:rPr>
              <w:t>الإحاطة علماً</w:t>
            </w:r>
            <w:r w:rsidR="006C438A">
              <w:rPr>
                <w:rFonts w:hint="cs"/>
                <w:rtl/>
                <w:lang w:bidi="ar-EG"/>
              </w:rPr>
              <w:t xml:space="preserve"> بالتقرير </w:t>
            </w:r>
            <w:r w:rsidR="006C438A" w:rsidRPr="006C438A">
              <w:rPr>
                <w:rFonts w:hint="cs"/>
                <w:b/>
                <w:bCs/>
                <w:rtl/>
                <w:lang w:bidi="ar-EG"/>
              </w:rPr>
              <w:t>وتقديم أي توجيهات</w:t>
            </w:r>
            <w:r w:rsidR="006C438A">
              <w:rPr>
                <w:rFonts w:hint="cs"/>
                <w:rtl/>
                <w:lang w:bidi="ar-EG"/>
              </w:rPr>
              <w:t xml:space="preserve"> قد يراها مناسبة بشأن </w:t>
            </w:r>
            <w:r w:rsidR="006C438A" w:rsidRPr="006C438A">
              <w:rPr>
                <w:rtl/>
                <w:lang w:bidi="ar-EG"/>
              </w:rPr>
              <w:t>سبل المضي قدماً</w:t>
            </w:r>
            <w:r w:rsidR="006C438A">
              <w:rPr>
                <w:rFonts w:hint="cs"/>
                <w:rtl/>
                <w:lang w:bidi="ar-EG"/>
              </w:rPr>
              <w:t>.</w:t>
            </w:r>
          </w:p>
          <w:p w14:paraId="3261563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B363A0D" w14:textId="77777777" w:rsidR="007B0AA0" w:rsidRPr="007B0AA0" w:rsidRDefault="007B0AA0" w:rsidP="007B0AA0">
            <w:pPr>
              <w:rPr>
                <w:b/>
                <w:bCs/>
                <w:rtl/>
              </w:rPr>
            </w:pPr>
            <w:r w:rsidRPr="007B0AA0">
              <w:rPr>
                <w:rFonts w:hint="cs"/>
                <w:b/>
                <w:bCs/>
                <w:rtl/>
              </w:rPr>
              <w:t>المراجع</w:t>
            </w:r>
          </w:p>
          <w:p w14:paraId="4A5DE109" w14:textId="6CE69AF0" w:rsidR="007B0AA0" w:rsidRPr="00D46D18" w:rsidRDefault="00490D88" w:rsidP="00B41FDE">
            <w:pPr>
              <w:spacing w:after="120"/>
              <w:rPr>
                <w:i/>
                <w:iCs/>
                <w:rtl/>
                <w:lang w:bidi="ar-SY"/>
              </w:rPr>
            </w:pPr>
            <w:hyperlink r:id="rId8" w:history="1">
              <w:r w:rsidR="00D46D18" w:rsidRPr="00D46D18">
                <w:rPr>
                  <w:rStyle w:val="Hyperlink"/>
                  <w:rFonts w:hint="cs"/>
                  <w:i/>
                  <w:iCs/>
                  <w:rtl/>
                </w:rPr>
                <w:t xml:space="preserve">القرار </w:t>
              </w:r>
              <w:r w:rsidR="00D46D18" w:rsidRPr="00D46D18">
                <w:rPr>
                  <w:rStyle w:val="Hyperlink"/>
                  <w:i/>
                  <w:iCs/>
                </w:rPr>
                <w:t>70</w:t>
              </w:r>
            </w:hyperlink>
            <w:r w:rsidR="00D46D18" w:rsidRPr="00D46D18">
              <w:rPr>
                <w:rFonts w:hint="cs"/>
                <w:i/>
                <w:iCs/>
                <w:rtl/>
                <w:lang w:bidi="ar-SY"/>
              </w:rPr>
              <w:t xml:space="preserve"> (المراجَع في بوخارست، </w:t>
            </w:r>
            <w:r w:rsidR="00D46D18" w:rsidRPr="00D46D18">
              <w:rPr>
                <w:i/>
                <w:iCs/>
                <w:lang w:bidi="ar-SY"/>
              </w:rPr>
              <w:t>2022</w:t>
            </w:r>
            <w:r w:rsidR="00D46D18" w:rsidRPr="00D46D18">
              <w:rPr>
                <w:rFonts w:hint="cs"/>
                <w:i/>
                <w:iCs/>
                <w:rtl/>
                <w:lang w:bidi="ar-SY"/>
              </w:rPr>
              <w:t xml:space="preserve">) لمؤتمر المندوبين المفوضين؛ وثيقة المجلس </w:t>
            </w:r>
            <w:hyperlink r:id="rId9" w:history="1">
              <w:r w:rsidR="00D46D18" w:rsidRPr="00D46D18">
                <w:rPr>
                  <w:rStyle w:val="Hyperlink"/>
                  <w:i/>
                  <w:iCs/>
                </w:rPr>
                <w:t>C23/INF/2</w:t>
              </w:r>
            </w:hyperlink>
            <w:r w:rsidR="00D46D18" w:rsidRPr="00D46D18">
              <w:rPr>
                <w:rFonts w:hint="cs"/>
                <w:i/>
                <w:iCs/>
                <w:rtl/>
              </w:rPr>
              <w:t>.</w:t>
            </w:r>
          </w:p>
        </w:tc>
      </w:tr>
    </w:tbl>
    <w:p w14:paraId="3D696B1B" w14:textId="77777777" w:rsidR="00F50E3F" w:rsidRDefault="00F50E3F" w:rsidP="009224B7">
      <w:pPr>
        <w:rPr>
          <w:rtl/>
          <w:lang w:bidi="ar-EG"/>
        </w:rPr>
      </w:pPr>
      <w:r>
        <w:rPr>
          <w:rtl/>
          <w:lang w:bidi="ar-EG"/>
        </w:rPr>
        <w:br w:type="page"/>
      </w:r>
    </w:p>
    <w:p w14:paraId="103EB571" w14:textId="29186DC9" w:rsidR="00F50E3F" w:rsidRPr="009224B7" w:rsidRDefault="009224B7" w:rsidP="009224B7">
      <w:pPr>
        <w:pStyle w:val="Title1"/>
        <w:rPr>
          <w:b/>
          <w:bCs/>
          <w:rtl/>
          <w:lang w:bidi="ar-EG"/>
        </w:rPr>
      </w:pPr>
      <w:r w:rsidRPr="0096465B">
        <w:rPr>
          <w:b/>
          <w:bCs/>
          <w:rtl/>
          <w:lang w:bidi="ar-EG"/>
        </w:rPr>
        <w:lastRenderedPageBreak/>
        <w:t>25 عاماً من برنامج عمل الاتحاد بشأن المساواة بين الجنسين</w:t>
      </w:r>
    </w:p>
    <w:p w14:paraId="50C3603B" w14:textId="73C2A1C4" w:rsidR="00F50E3F" w:rsidRDefault="009224B7" w:rsidP="009224B7">
      <w:pPr>
        <w:pStyle w:val="Heading1"/>
        <w:rPr>
          <w:rtl/>
          <w:lang w:bidi="ar-SY"/>
        </w:rPr>
      </w:pPr>
      <w:r>
        <w:rPr>
          <w:lang w:bidi="ar-SY"/>
        </w:rPr>
        <w:t>1</w:t>
      </w:r>
      <w:r>
        <w:rPr>
          <w:rtl/>
          <w:lang w:bidi="ar-SY"/>
        </w:rPr>
        <w:tab/>
      </w:r>
      <w:r>
        <w:rPr>
          <w:rFonts w:hint="cs"/>
          <w:rtl/>
          <w:lang w:bidi="ar-SY"/>
        </w:rPr>
        <w:t>خلفية</w:t>
      </w:r>
    </w:p>
    <w:p w14:paraId="3B200AED" w14:textId="30B58166" w:rsidR="009224B7" w:rsidRDefault="00B81068" w:rsidP="0096465B">
      <w:pPr>
        <w:rPr>
          <w:rtl/>
          <w:lang w:bidi="ar-SY"/>
        </w:rPr>
      </w:pPr>
      <w:r w:rsidRPr="00B81068">
        <w:rPr>
          <w:rtl/>
          <w:lang w:bidi="ar-SY"/>
        </w:rPr>
        <w:t>تشمل ولاية الاتحاد توسيع نطاق فوائد الت</w:t>
      </w:r>
      <w:r>
        <w:rPr>
          <w:rFonts w:hint="cs"/>
          <w:rtl/>
          <w:lang w:bidi="ar-SY"/>
        </w:rPr>
        <w:t>كنولوجيات</w:t>
      </w:r>
      <w:r w:rsidRPr="00B81068">
        <w:rPr>
          <w:rtl/>
          <w:lang w:bidi="ar-SY"/>
        </w:rPr>
        <w:t xml:space="preserve"> الجديدة لتشمل جميع سكان العالم</w:t>
      </w:r>
      <w:r w:rsidR="009224B7">
        <w:rPr>
          <w:rFonts w:hint="cs"/>
          <w:rtl/>
          <w:lang w:bidi="ar-SY"/>
        </w:rPr>
        <w:t>.</w:t>
      </w:r>
      <w:r w:rsidR="009224B7">
        <w:rPr>
          <w:rStyle w:val="FootnoteReference"/>
          <w:rtl/>
          <w:lang w:bidi="ar-SY"/>
        </w:rPr>
        <w:footnoteReference w:id="1"/>
      </w:r>
      <w:r w:rsidR="009224B7">
        <w:rPr>
          <w:rFonts w:hint="cs"/>
          <w:rtl/>
          <w:lang w:bidi="ar-SY"/>
        </w:rPr>
        <w:t xml:space="preserve"> </w:t>
      </w:r>
      <w:r w:rsidR="00E21411">
        <w:rPr>
          <w:rFonts w:hint="cs"/>
          <w:rtl/>
          <w:lang w:bidi="ar-SY"/>
        </w:rPr>
        <w:t>و</w:t>
      </w:r>
      <w:r w:rsidR="00E21411" w:rsidRPr="00E21411">
        <w:rPr>
          <w:rtl/>
          <w:lang w:bidi="ar-SY"/>
        </w:rPr>
        <w:t>اليوم، حيث تغلغلت الرقمنة في كل جانب من جوانب المجتمع تقريبا</w:t>
      </w:r>
      <w:r w:rsidR="00E21411">
        <w:rPr>
          <w:rFonts w:hint="cs"/>
          <w:rtl/>
          <w:lang w:bidi="ar-SY"/>
        </w:rPr>
        <w:t>ً</w:t>
      </w:r>
      <w:r w:rsidR="00E21411" w:rsidRPr="00E21411">
        <w:rPr>
          <w:rtl/>
          <w:lang w:bidi="ar-SY"/>
        </w:rPr>
        <w:t xml:space="preserve">، أصبح من الواضح بشكل </w:t>
      </w:r>
      <w:r w:rsidR="00E21411">
        <w:rPr>
          <w:rFonts w:hint="cs"/>
          <w:rtl/>
          <w:lang w:bidi="ar-SY"/>
        </w:rPr>
        <w:t>كبير</w:t>
      </w:r>
      <w:r w:rsidR="00E21411" w:rsidRPr="00E21411">
        <w:rPr>
          <w:rtl/>
          <w:lang w:bidi="ar-SY"/>
        </w:rPr>
        <w:t xml:space="preserve"> أن تكنولوجيا المعلومات والاتصالات لم تعد ترفا</w:t>
      </w:r>
      <w:r w:rsidR="00E21411">
        <w:rPr>
          <w:rFonts w:hint="cs"/>
          <w:rtl/>
          <w:lang w:bidi="ar-SY"/>
        </w:rPr>
        <w:t>ً</w:t>
      </w:r>
      <w:r w:rsidR="00E21411" w:rsidRPr="00E21411">
        <w:rPr>
          <w:rtl/>
          <w:lang w:bidi="ar-SY"/>
        </w:rPr>
        <w:t xml:space="preserve"> </w:t>
      </w:r>
      <w:r w:rsidR="00E21411">
        <w:rPr>
          <w:rFonts w:hint="cs"/>
          <w:rtl/>
          <w:lang w:bidi="ar-SY"/>
        </w:rPr>
        <w:t xml:space="preserve">بل </w:t>
      </w:r>
      <w:r w:rsidR="00E21411" w:rsidRPr="00E21411">
        <w:rPr>
          <w:rtl/>
          <w:lang w:bidi="ar-SY"/>
        </w:rPr>
        <w:t xml:space="preserve">أصبحت ضرورة أساسية. </w:t>
      </w:r>
      <w:r w:rsidR="00E21411">
        <w:rPr>
          <w:rFonts w:hint="cs"/>
          <w:rtl/>
          <w:lang w:bidi="ar-SY"/>
        </w:rPr>
        <w:t>و</w:t>
      </w:r>
      <w:r w:rsidR="00E21411" w:rsidRPr="00E21411">
        <w:rPr>
          <w:rtl/>
          <w:lang w:bidi="ar-SY"/>
        </w:rPr>
        <w:t>ت</w:t>
      </w:r>
      <w:r w:rsidR="00E21411">
        <w:rPr>
          <w:rFonts w:hint="cs"/>
          <w:rtl/>
          <w:lang w:bidi="ar-SY"/>
        </w:rPr>
        <w:t>واجه</w:t>
      </w:r>
      <w:r w:rsidR="00E21411" w:rsidRPr="00E21411">
        <w:rPr>
          <w:rtl/>
          <w:lang w:bidi="ar-SY"/>
        </w:rPr>
        <w:t xml:space="preserve"> النساء والفتيات </w:t>
      </w:r>
      <w:r w:rsidR="00E21411">
        <w:rPr>
          <w:rFonts w:hint="cs"/>
          <w:rtl/>
          <w:lang w:bidi="ar-SY"/>
        </w:rPr>
        <w:t xml:space="preserve">اللائي </w:t>
      </w:r>
      <w:r w:rsidR="00FA5B88">
        <w:rPr>
          <w:rFonts w:hint="cs"/>
          <w:rtl/>
          <w:lang w:bidi="ar-SY"/>
        </w:rPr>
        <w:t xml:space="preserve">يشكلن </w:t>
      </w:r>
      <w:r w:rsidR="00E21411" w:rsidRPr="00E21411">
        <w:rPr>
          <w:rtl/>
          <w:lang w:bidi="ar-SY"/>
        </w:rPr>
        <w:t>ما يقرب من نصف سكان العالم تفاوتات مستمرة في ال</w:t>
      </w:r>
      <w:r w:rsidR="00FA5B88">
        <w:rPr>
          <w:rFonts w:hint="cs"/>
          <w:rtl/>
          <w:lang w:bidi="ar-SY"/>
        </w:rPr>
        <w:t>نفاذ</w:t>
      </w:r>
      <w:r w:rsidR="00E21411" w:rsidRPr="00E21411">
        <w:rPr>
          <w:rtl/>
          <w:lang w:bidi="ar-SY"/>
        </w:rPr>
        <w:t xml:space="preserve"> إلى الت</w:t>
      </w:r>
      <w:r w:rsidR="00FA5B88">
        <w:rPr>
          <w:rFonts w:hint="cs"/>
          <w:rtl/>
          <w:lang w:bidi="ar-SY"/>
        </w:rPr>
        <w:t>كنولوجيات</w:t>
      </w:r>
      <w:r w:rsidR="00E21411" w:rsidRPr="00E21411">
        <w:rPr>
          <w:rtl/>
          <w:lang w:bidi="ar-SY"/>
        </w:rPr>
        <w:t xml:space="preserve"> الرقمية واستخدامها. </w:t>
      </w:r>
      <w:r w:rsidR="00FA5B88">
        <w:rPr>
          <w:rFonts w:hint="cs"/>
          <w:rtl/>
          <w:lang w:bidi="ar-SY"/>
        </w:rPr>
        <w:t>و</w:t>
      </w:r>
      <w:r w:rsidR="00E21411" w:rsidRPr="00E21411">
        <w:rPr>
          <w:rtl/>
          <w:lang w:bidi="ar-SY"/>
        </w:rPr>
        <w:t xml:space="preserve">هناك إمكانات هائلة لتحسين النتائج الاجتماعية والاقتصادية للمرأة، </w:t>
      </w:r>
      <w:r w:rsidR="00FA5B88">
        <w:rPr>
          <w:rFonts w:hint="cs"/>
          <w:rtl/>
          <w:lang w:bidi="ar-SY"/>
        </w:rPr>
        <w:t>بيد أن</w:t>
      </w:r>
      <w:r w:rsidR="00E21411" w:rsidRPr="00E21411">
        <w:rPr>
          <w:rtl/>
          <w:lang w:bidi="ar-SY"/>
        </w:rPr>
        <w:t xml:space="preserve"> الفجوة الرقمية بين الجنسين تحد بشكل غير متناسب من مشاركة النساء والفتيات الكاملة في الجوانب الاجتماعية والاقتصادية والثقافية للمجتمع الحديث</w:t>
      </w:r>
      <w:r w:rsidR="00CA5E95">
        <w:rPr>
          <w:rFonts w:hint="cs"/>
          <w:rtl/>
          <w:lang w:bidi="ar-SY"/>
        </w:rPr>
        <w:t>.</w:t>
      </w:r>
    </w:p>
    <w:p w14:paraId="72271C66" w14:textId="700DAE1F" w:rsidR="00FA5B88" w:rsidRPr="0096465B" w:rsidRDefault="00CA5E95" w:rsidP="0096465B">
      <w:pPr>
        <w:rPr>
          <w:rtl/>
          <w:lang w:bidi="ar-SY"/>
        </w:rPr>
      </w:pPr>
      <w:r w:rsidRPr="0096465B">
        <w:rPr>
          <w:rFonts w:hint="cs"/>
          <w:rtl/>
          <w:lang w:bidi="ar-SY"/>
        </w:rPr>
        <w:t>قبل</w:t>
      </w:r>
      <w:r w:rsidR="00FA5B88" w:rsidRPr="0096465B">
        <w:rPr>
          <w:rtl/>
          <w:lang w:bidi="ar-SY"/>
        </w:rPr>
        <w:t xml:space="preserve"> خمسة وعشرين عاما</w:t>
      </w:r>
      <w:r w:rsidR="00FA5B88" w:rsidRPr="0096465B">
        <w:rPr>
          <w:rFonts w:hint="cs"/>
          <w:rtl/>
          <w:lang w:bidi="ar-SY"/>
        </w:rPr>
        <w:t>ً</w:t>
      </w:r>
      <w:r w:rsidR="00FA5B88" w:rsidRPr="0096465B">
        <w:rPr>
          <w:rtl/>
          <w:lang w:bidi="ar-SY"/>
        </w:rPr>
        <w:t>، اعتمد مؤتمر المندوبين المفوضين (مينيابوليس، 1998) (</w:t>
      </w:r>
      <w:r w:rsidR="00FA5B88" w:rsidRPr="0096465B">
        <w:rPr>
          <w:lang w:bidi="ar-SY"/>
        </w:rPr>
        <w:t>PP-98</w:t>
      </w:r>
      <w:r w:rsidR="00FA5B88" w:rsidRPr="0096465B">
        <w:rPr>
          <w:rtl/>
          <w:lang w:bidi="ar-SY"/>
        </w:rPr>
        <w:t xml:space="preserve">) لأول مرة القرار 70، بشأن إدراج مبدأ المساواة بين الجنسين في أعمال الاتحاد الدولي للاتصالات، وإضفاء الطابع الرسمي على الالتزام بإدراج منظور </w:t>
      </w:r>
      <w:r w:rsidR="00FA5B88" w:rsidRPr="0096465B">
        <w:rPr>
          <w:rFonts w:hint="cs"/>
          <w:rtl/>
          <w:lang w:bidi="ar-SY"/>
        </w:rPr>
        <w:t>للمساواة بين الجنسين</w:t>
      </w:r>
      <w:r w:rsidR="00FA5B88" w:rsidRPr="0096465B">
        <w:rPr>
          <w:rtl/>
          <w:lang w:bidi="ar-SY"/>
        </w:rPr>
        <w:t xml:space="preserve"> في </w:t>
      </w:r>
      <w:r w:rsidR="00FA5B88" w:rsidRPr="0096465B">
        <w:rPr>
          <w:rFonts w:hint="cs"/>
          <w:rtl/>
          <w:lang w:bidi="ar-SY"/>
        </w:rPr>
        <w:t>أ</w:t>
      </w:r>
      <w:r w:rsidR="00FA5B88" w:rsidRPr="0096465B">
        <w:rPr>
          <w:rtl/>
          <w:lang w:bidi="ar-SY"/>
        </w:rPr>
        <w:t>عم</w:t>
      </w:r>
      <w:r w:rsidR="00FA5B88" w:rsidRPr="0096465B">
        <w:rPr>
          <w:rFonts w:hint="cs"/>
          <w:rtl/>
          <w:lang w:bidi="ar-SY"/>
        </w:rPr>
        <w:t>ا</w:t>
      </w:r>
      <w:r w:rsidR="00FA5B88" w:rsidRPr="0096465B">
        <w:rPr>
          <w:rtl/>
          <w:lang w:bidi="ar-SY"/>
        </w:rPr>
        <w:t>ل الاتحاد</w:t>
      </w:r>
      <w:r w:rsidR="00FA5B88" w:rsidRPr="0096465B">
        <w:rPr>
          <w:rFonts w:hint="cs"/>
          <w:rtl/>
          <w:lang w:bidi="ar-SY"/>
        </w:rPr>
        <w:t xml:space="preserve"> وأنشطته</w:t>
      </w:r>
      <w:r w:rsidR="00FA5B88" w:rsidRPr="0096465B">
        <w:rPr>
          <w:rtl/>
          <w:lang w:bidi="ar-SY"/>
        </w:rPr>
        <w:t xml:space="preserve">. </w:t>
      </w:r>
      <w:r w:rsidR="00FA5B88" w:rsidRPr="0096465B">
        <w:rPr>
          <w:rFonts w:hint="cs"/>
          <w:rtl/>
          <w:lang w:bidi="ar-SY"/>
        </w:rPr>
        <w:t>و</w:t>
      </w:r>
      <w:r w:rsidR="00FA5B88" w:rsidRPr="0096465B">
        <w:rPr>
          <w:rtl/>
          <w:lang w:bidi="ar-SY"/>
        </w:rPr>
        <w:t>يتعزز الالتزام عبر الاتحاد بقرار</w:t>
      </w:r>
      <w:r w:rsidR="00FA5B88" w:rsidRPr="0096465B">
        <w:rPr>
          <w:rFonts w:hint="cs"/>
          <w:rtl/>
          <w:lang w:bidi="ar-SY"/>
        </w:rPr>
        <w:t>ين</w:t>
      </w:r>
      <w:r w:rsidR="00FA5B88" w:rsidRPr="0096465B">
        <w:rPr>
          <w:rtl/>
          <w:lang w:bidi="ar-SY"/>
        </w:rPr>
        <w:t xml:space="preserve"> في قطاعي تنمية </w:t>
      </w:r>
      <w:r w:rsidR="00FA5B88" w:rsidRPr="0096465B">
        <w:rPr>
          <w:rFonts w:hint="cs"/>
          <w:rtl/>
          <w:lang w:bidi="ar-SY"/>
        </w:rPr>
        <w:t xml:space="preserve">وتقييس </w:t>
      </w:r>
      <w:r w:rsidR="00FA5B88" w:rsidRPr="0096465B">
        <w:rPr>
          <w:rtl/>
          <w:lang w:bidi="ar-SY"/>
        </w:rPr>
        <w:t>الاتصالات وإعلان في قطاع الاتصالات الراديوية. وتتمثل أهداف</w:t>
      </w:r>
      <w:r w:rsidR="00FA5B88" w:rsidRPr="0096465B">
        <w:rPr>
          <w:rFonts w:hint="cs"/>
          <w:rtl/>
          <w:lang w:bidi="ar-SY"/>
        </w:rPr>
        <w:t xml:space="preserve"> القرارين والإعلان</w:t>
      </w:r>
      <w:r w:rsidR="00FA5B88" w:rsidRPr="0096465B">
        <w:rPr>
          <w:rtl/>
          <w:lang w:bidi="ar-SY"/>
        </w:rPr>
        <w:t xml:space="preserve"> في الحد من أوجه عدم المساواة وتعزيز الاستفادة المتساوية من تكنولوجيا المعلومات والاتصالات وضمان مساهمة المرأة على قدم المساواة في عمل المنظمة وإدراج منظور </w:t>
      </w:r>
      <w:r w:rsidR="00FA5B88" w:rsidRPr="0096465B">
        <w:rPr>
          <w:rFonts w:hint="cs"/>
          <w:rtl/>
          <w:lang w:bidi="ar-SY"/>
        </w:rPr>
        <w:t>للمساواة بين الجنسين</w:t>
      </w:r>
      <w:r w:rsidR="00FA5B88" w:rsidRPr="0096465B">
        <w:rPr>
          <w:rtl/>
          <w:lang w:bidi="ar-SY"/>
        </w:rPr>
        <w:t xml:space="preserve"> في جميع سياسات الاتحاد وبرامج </w:t>
      </w:r>
      <w:r w:rsidR="00FA5B88" w:rsidRPr="0096465B">
        <w:rPr>
          <w:rFonts w:hint="cs"/>
          <w:rtl/>
          <w:lang w:bidi="ar-SY"/>
        </w:rPr>
        <w:t xml:space="preserve">عمله </w:t>
      </w:r>
      <w:r w:rsidR="00FA5B88" w:rsidRPr="0096465B">
        <w:rPr>
          <w:rtl/>
          <w:lang w:bidi="ar-SY"/>
        </w:rPr>
        <w:t>وأنشط</w:t>
      </w:r>
      <w:r w:rsidR="00FA5B88" w:rsidRPr="0096465B">
        <w:rPr>
          <w:rFonts w:hint="cs"/>
          <w:rtl/>
          <w:lang w:bidi="ar-SY"/>
        </w:rPr>
        <w:t xml:space="preserve">ته في مجال </w:t>
      </w:r>
      <w:r w:rsidR="00FA5B88" w:rsidRPr="0096465B">
        <w:rPr>
          <w:rtl/>
          <w:lang w:bidi="ar-SY"/>
        </w:rPr>
        <w:t>نشر المعلومات.</w:t>
      </w:r>
    </w:p>
    <w:p w14:paraId="2062BF0F" w14:textId="720F46E5" w:rsidR="009224B7" w:rsidRDefault="002D060B" w:rsidP="0096465B">
      <w:pPr>
        <w:rPr>
          <w:rtl/>
          <w:lang w:bidi="ar-SY"/>
        </w:rPr>
      </w:pPr>
      <w:r w:rsidRPr="0096465B">
        <w:rPr>
          <w:rFonts w:hint="cs"/>
          <w:rtl/>
          <w:lang w:bidi="ar-SY"/>
        </w:rPr>
        <w:t>و</w:t>
      </w:r>
      <w:r w:rsidR="00FA5B88" w:rsidRPr="0096465B">
        <w:rPr>
          <w:rtl/>
          <w:lang w:bidi="ar-SY"/>
        </w:rPr>
        <w:t xml:space="preserve">في سياق الذكرى الخامسة والعشرين لالتزام الاتحاد بالمساواة بين الجنسين، تقدم هذه الوثيقة لمحة عن برنامج عمل الاتحاد بشأن المساواة بين الجنسين. </w:t>
      </w:r>
      <w:r w:rsidRPr="0096465B">
        <w:rPr>
          <w:rFonts w:hint="cs"/>
          <w:rtl/>
          <w:lang w:bidi="ar-SY"/>
        </w:rPr>
        <w:t>وهي</w:t>
      </w:r>
      <w:r w:rsidR="00FA5B88" w:rsidRPr="0096465B">
        <w:rPr>
          <w:rtl/>
          <w:lang w:bidi="ar-SY"/>
        </w:rPr>
        <w:t xml:space="preserve"> </w:t>
      </w:r>
      <w:r w:rsidRPr="0096465B">
        <w:rPr>
          <w:rFonts w:hint="cs"/>
          <w:rtl/>
          <w:lang w:bidi="ar-SY"/>
        </w:rPr>
        <w:t>ت</w:t>
      </w:r>
      <w:r w:rsidR="00FA5B88" w:rsidRPr="0096465B">
        <w:rPr>
          <w:rtl/>
          <w:lang w:bidi="ar-SY"/>
        </w:rPr>
        <w:t>ستقصي ما وراء الإيجابيات و</w:t>
      </w:r>
      <w:r w:rsidRPr="0096465B">
        <w:rPr>
          <w:rFonts w:hint="cs"/>
          <w:rtl/>
          <w:lang w:bidi="ar-SY"/>
        </w:rPr>
        <w:t>تستخرج</w:t>
      </w:r>
      <w:r w:rsidR="00FA5B88" w:rsidRPr="0096465B">
        <w:rPr>
          <w:rtl/>
          <w:lang w:bidi="ar-SY"/>
        </w:rPr>
        <w:t xml:space="preserve"> الحقائق المهمة حول التقدم والأثر</w:t>
      </w:r>
      <w:r w:rsidRPr="0096465B">
        <w:rPr>
          <w:rFonts w:hint="cs"/>
          <w:rtl/>
          <w:lang w:bidi="ar-SY"/>
        </w:rPr>
        <w:t xml:space="preserve"> في الواقع</w:t>
      </w:r>
      <w:r w:rsidR="00FA5B88" w:rsidRPr="0096465B">
        <w:rPr>
          <w:rtl/>
          <w:lang w:bidi="ar-SY"/>
        </w:rPr>
        <w:t>. إن مجلس الاتحاد مدعو إلى ال</w:t>
      </w:r>
      <w:r w:rsidRPr="0096465B">
        <w:rPr>
          <w:rFonts w:hint="cs"/>
          <w:rtl/>
          <w:lang w:bidi="ar-SY"/>
        </w:rPr>
        <w:t>نظر</w:t>
      </w:r>
      <w:r w:rsidR="00FA5B88" w:rsidRPr="0096465B">
        <w:rPr>
          <w:rtl/>
          <w:lang w:bidi="ar-SY"/>
        </w:rPr>
        <w:t xml:space="preserve"> في المبادرات الحالية والفجوات المستمرة بين الجنسين والاقتراحات الخاصة ب</w:t>
      </w:r>
      <w:r w:rsidRPr="0096465B">
        <w:rPr>
          <w:rFonts w:hint="cs"/>
          <w:rtl/>
          <w:lang w:bidi="ar-SY"/>
        </w:rPr>
        <w:t xml:space="preserve">تبني </w:t>
      </w:r>
      <w:r w:rsidR="00FA5B88" w:rsidRPr="0096465B">
        <w:rPr>
          <w:rtl/>
          <w:lang w:bidi="ar-SY"/>
        </w:rPr>
        <w:t>نهج</w:t>
      </w:r>
      <w:r w:rsidRPr="0096465B">
        <w:rPr>
          <w:rFonts w:hint="cs"/>
          <w:rtl/>
          <w:lang w:bidi="ar-SY"/>
        </w:rPr>
        <w:t xml:space="preserve"> ونظرة استشرافية</w:t>
      </w:r>
      <w:r w:rsidR="00FA5B88" w:rsidRPr="0096465B">
        <w:rPr>
          <w:rtl/>
          <w:lang w:bidi="ar-SY"/>
        </w:rPr>
        <w:t xml:space="preserve"> أكثر استراتيجية</w:t>
      </w:r>
      <w:r w:rsidR="0096465B">
        <w:rPr>
          <w:rFonts w:hint="cs"/>
          <w:rtl/>
          <w:lang w:bidi="ar-SY"/>
        </w:rPr>
        <w:t xml:space="preserve"> </w:t>
      </w:r>
      <w:r w:rsidR="00B41FDE">
        <w:rPr>
          <w:rFonts w:hint="cs"/>
          <w:rtl/>
          <w:lang w:bidi="ar-SY"/>
        </w:rPr>
        <w:t>وسبل المضيّ قدماً.</w:t>
      </w:r>
    </w:p>
    <w:p w14:paraId="1F686C12" w14:textId="371ADFCD" w:rsidR="009224B7" w:rsidRPr="0096465B" w:rsidRDefault="009224B7" w:rsidP="0096465B">
      <w:pPr>
        <w:pStyle w:val="Heading1"/>
        <w:rPr>
          <w:rtl/>
        </w:rPr>
      </w:pPr>
      <w:r w:rsidRPr="0096465B">
        <w:t>2</w:t>
      </w:r>
      <w:r w:rsidRPr="0096465B">
        <w:rPr>
          <w:rtl/>
        </w:rPr>
        <w:tab/>
      </w:r>
      <w:r w:rsidR="002D060B" w:rsidRPr="0096465B">
        <w:rPr>
          <w:rFonts w:hint="cs"/>
          <w:rtl/>
        </w:rPr>
        <w:t>أبرز النقاط الخارجية</w:t>
      </w:r>
    </w:p>
    <w:p w14:paraId="76F6A124" w14:textId="75C8B064" w:rsidR="009224B7" w:rsidRPr="0096465B" w:rsidRDefault="009224B7" w:rsidP="0096465B">
      <w:pPr>
        <w:pStyle w:val="Heading2"/>
        <w:rPr>
          <w:rtl/>
        </w:rPr>
      </w:pPr>
      <w:r w:rsidRPr="0096465B">
        <w:t>1.2</w:t>
      </w:r>
      <w:r w:rsidRPr="0096465B">
        <w:rPr>
          <w:rtl/>
        </w:rPr>
        <w:tab/>
      </w:r>
      <w:r w:rsidR="002D060B" w:rsidRPr="0096465B">
        <w:rPr>
          <w:rtl/>
        </w:rPr>
        <w:t>اليوم الدولي للفتيات في مجال تكنولوجيا المعلومات والاتصالات</w:t>
      </w:r>
    </w:p>
    <w:p w14:paraId="113C6E74" w14:textId="0665751F" w:rsidR="009224B7" w:rsidRDefault="002D060B" w:rsidP="009224B7">
      <w:pPr>
        <w:rPr>
          <w:lang w:bidi="ar-SY"/>
        </w:rPr>
      </w:pPr>
      <w:r w:rsidRPr="002D060B">
        <w:rPr>
          <w:rtl/>
          <w:lang w:bidi="ar-SY"/>
        </w:rPr>
        <w:t xml:space="preserve">يُعد </w:t>
      </w:r>
      <w:hyperlink r:id="rId10" w:history="1">
        <w:r w:rsidRPr="0096465B">
          <w:rPr>
            <w:rStyle w:val="Hyperlink"/>
            <w:rtl/>
          </w:rPr>
          <w:t>اليوم الدولي للفتيات في مجال تكنولوجيا المعلومات والاتصالات</w:t>
        </w:r>
      </w:hyperlink>
      <w:r w:rsidRPr="002D060B">
        <w:rPr>
          <w:rtl/>
          <w:lang w:bidi="ar-SY"/>
        </w:rPr>
        <w:t>، الذي تم إطلاقه في عام 2011، حدثا</w:t>
      </w:r>
      <w:r>
        <w:rPr>
          <w:rFonts w:hint="cs"/>
          <w:rtl/>
          <w:lang w:bidi="ar-SY"/>
        </w:rPr>
        <w:t>ً</w:t>
      </w:r>
      <w:r w:rsidRPr="002D060B">
        <w:rPr>
          <w:rtl/>
          <w:lang w:bidi="ar-SY"/>
        </w:rPr>
        <w:t xml:space="preserve"> رائدا</w:t>
      </w:r>
      <w:r>
        <w:rPr>
          <w:rFonts w:hint="cs"/>
          <w:rtl/>
          <w:lang w:bidi="ar-SY"/>
        </w:rPr>
        <w:t>ً</w:t>
      </w:r>
      <w:r w:rsidRPr="002D060B">
        <w:rPr>
          <w:rtl/>
          <w:lang w:bidi="ar-SY"/>
        </w:rPr>
        <w:t xml:space="preserve"> للاتحاد يهدف إلى تمكين الفتيات والشابات من </w:t>
      </w:r>
      <w:r>
        <w:rPr>
          <w:rFonts w:hint="cs"/>
          <w:rtl/>
          <w:lang w:bidi="ar-SY"/>
        </w:rPr>
        <w:t>الحصول على وظائف</w:t>
      </w:r>
      <w:r w:rsidRPr="002D060B">
        <w:rPr>
          <w:rtl/>
          <w:lang w:bidi="ar-SY"/>
        </w:rPr>
        <w:t xml:space="preserve"> في قطاع تكنولوجيا المعلومات والاتصالات. </w:t>
      </w:r>
      <w:r>
        <w:rPr>
          <w:rFonts w:hint="cs"/>
          <w:rtl/>
          <w:lang w:bidi="ar-SY"/>
        </w:rPr>
        <w:t>و</w:t>
      </w:r>
      <w:r w:rsidRPr="002D060B">
        <w:rPr>
          <w:rtl/>
          <w:lang w:bidi="ar-SY"/>
        </w:rPr>
        <w:t>يتم الاحتفال به سنويا</w:t>
      </w:r>
      <w:r>
        <w:rPr>
          <w:rFonts w:hint="cs"/>
          <w:rtl/>
          <w:lang w:bidi="ar-SY"/>
        </w:rPr>
        <w:t>ً</w:t>
      </w:r>
      <w:r w:rsidRPr="002D060B">
        <w:rPr>
          <w:rtl/>
          <w:lang w:bidi="ar-SY"/>
        </w:rPr>
        <w:t xml:space="preserve"> في</w:t>
      </w:r>
      <w:r w:rsidR="0096465B">
        <w:rPr>
          <w:rFonts w:hint="cs"/>
          <w:rtl/>
          <w:lang w:bidi="ar-SY"/>
        </w:rPr>
        <w:t> </w:t>
      </w:r>
      <w:r w:rsidRPr="002D060B">
        <w:rPr>
          <w:rtl/>
          <w:lang w:bidi="ar-SY"/>
        </w:rPr>
        <w:t>الخميس الرابع من</w:t>
      </w:r>
      <w:r>
        <w:rPr>
          <w:rFonts w:hint="cs"/>
          <w:rtl/>
          <w:lang w:bidi="ar-SY"/>
        </w:rPr>
        <w:t xml:space="preserve"> شهر</w:t>
      </w:r>
      <w:r w:rsidRPr="002D060B">
        <w:rPr>
          <w:rtl/>
          <w:lang w:bidi="ar-SY"/>
        </w:rPr>
        <w:t xml:space="preserve"> أبريل، وهو عبارة عن مبادرة عالمية </w:t>
      </w:r>
      <w:r>
        <w:rPr>
          <w:rFonts w:hint="cs"/>
          <w:rtl/>
          <w:lang w:bidi="ar-SY"/>
        </w:rPr>
        <w:t>تُنظم من خلالها</w:t>
      </w:r>
      <w:r w:rsidRPr="002D060B">
        <w:rPr>
          <w:rtl/>
          <w:lang w:bidi="ar-SY"/>
        </w:rPr>
        <w:t xml:space="preserve"> ورش عمل ومسابقات وجلسات توجيهية لاستكشاف الفرص المتنوعة. </w:t>
      </w:r>
      <w:r>
        <w:rPr>
          <w:rFonts w:hint="cs"/>
          <w:rtl/>
          <w:lang w:bidi="ar-SY"/>
        </w:rPr>
        <w:t>و</w:t>
      </w:r>
      <w:r w:rsidRPr="002D060B">
        <w:rPr>
          <w:rtl/>
          <w:lang w:bidi="ar-SY"/>
        </w:rPr>
        <w:t xml:space="preserve">اليوم الدولي للفتيات في مجال تكنولوجيا المعلومات والاتصالات </w:t>
      </w:r>
      <w:r>
        <w:rPr>
          <w:rFonts w:hint="cs"/>
          <w:rtl/>
          <w:lang w:bidi="ar-SY"/>
        </w:rPr>
        <w:t>أصبح</w:t>
      </w:r>
      <w:r w:rsidRPr="002D060B">
        <w:rPr>
          <w:rtl/>
          <w:lang w:bidi="ar-SY"/>
        </w:rPr>
        <w:t xml:space="preserve"> الآن </w:t>
      </w:r>
      <w:hyperlink r:id="rId11" w:history="1">
        <w:r w:rsidRPr="0096465B">
          <w:rPr>
            <w:rStyle w:val="Hyperlink"/>
            <w:rtl/>
          </w:rPr>
          <w:t>يوم</w:t>
        </w:r>
        <w:r w:rsidR="00497CA3" w:rsidRPr="0096465B">
          <w:rPr>
            <w:rStyle w:val="Hyperlink"/>
            <w:rFonts w:hint="cs"/>
            <w:rtl/>
          </w:rPr>
          <w:t>اً</w:t>
        </w:r>
        <w:r w:rsidRPr="0096465B">
          <w:rPr>
            <w:rStyle w:val="Hyperlink"/>
            <w:rtl/>
          </w:rPr>
          <w:t xml:space="preserve"> دولي</w:t>
        </w:r>
        <w:r w:rsidR="00497CA3" w:rsidRPr="0096465B">
          <w:rPr>
            <w:rStyle w:val="Hyperlink"/>
            <w:rFonts w:hint="cs"/>
            <w:rtl/>
          </w:rPr>
          <w:t>اً</w:t>
        </w:r>
        <w:r w:rsidRPr="0096465B">
          <w:rPr>
            <w:rStyle w:val="Hyperlink"/>
            <w:rtl/>
          </w:rPr>
          <w:t xml:space="preserve"> رسمي</w:t>
        </w:r>
        <w:r w:rsidR="00497CA3" w:rsidRPr="0096465B">
          <w:rPr>
            <w:rStyle w:val="Hyperlink"/>
            <w:rFonts w:hint="cs"/>
            <w:rtl/>
          </w:rPr>
          <w:t>اً</w:t>
        </w:r>
        <w:r w:rsidRPr="0096465B">
          <w:rPr>
            <w:rStyle w:val="Hyperlink"/>
            <w:rtl/>
          </w:rPr>
          <w:t xml:space="preserve"> للأمم المتحدة</w:t>
        </w:r>
      </w:hyperlink>
      <w:r w:rsidRPr="002D060B">
        <w:rPr>
          <w:rtl/>
          <w:lang w:bidi="ar-SY"/>
        </w:rPr>
        <w:t>.</w:t>
      </w:r>
    </w:p>
    <w:p w14:paraId="653FE9EB" w14:textId="58BCB89B" w:rsidR="009224B7" w:rsidRPr="0096465B" w:rsidRDefault="009224B7" w:rsidP="0096465B">
      <w:pPr>
        <w:pStyle w:val="Heading2"/>
        <w:rPr>
          <w:rtl/>
        </w:rPr>
      </w:pPr>
      <w:r w:rsidRPr="0096465B">
        <w:t>2.2</w:t>
      </w:r>
      <w:r w:rsidRPr="0096465B">
        <w:rPr>
          <w:rtl/>
        </w:rPr>
        <w:tab/>
      </w:r>
      <w:bookmarkStart w:id="0" w:name="_Hlk138949612"/>
      <w:r w:rsidR="00062830" w:rsidRPr="0096465B">
        <w:rPr>
          <w:rFonts w:hint="cs"/>
          <w:rtl/>
        </w:rPr>
        <w:t xml:space="preserve">مبادرة </w:t>
      </w:r>
      <w:r w:rsidR="00CA5E95" w:rsidRPr="0096465B">
        <w:rPr>
          <w:rFonts w:hint="cs"/>
          <w:rtl/>
        </w:rPr>
        <w:t>"</w:t>
      </w:r>
      <w:r w:rsidR="00062830" w:rsidRPr="0096465B">
        <w:rPr>
          <w:rtl/>
        </w:rPr>
        <w:t>متساوون في مجال التكنولوجيا</w:t>
      </w:r>
      <w:r w:rsidR="00CA5E95" w:rsidRPr="0096465B">
        <w:rPr>
          <w:rFonts w:hint="cs"/>
          <w:rtl/>
        </w:rPr>
        <w:t>"</w:t>
      </w:r>
      <w:r w:rsidR="00062830" w:rsidRPr="0096465B">
        <w:rPr>
          <w:rFonts w:hint="cs"/>
          <w:rtl/>
        </w:rPr>
        <w:t xml:space="preserve"> </w:t>
      </w:r>
      <w:bookmarkEnd w:id="0"/>
      <w:r w:rsidR="00062830" w:rsidRPr="0096465B">
        <w:t>(EQUALS in Tech)</w:t>
      </w:r>
    </w:p>
    <w:p w14:paraId="491C27AD" w14:textId="4882DF2B" w:rsidR="009224B7" w:rsidRDefault="003D7DBF" w:rsidP="0096465B">
      <w:pPr>
        <w:rPr>
          <w:color w:val="222222"/>
          <w:spacing w:val="4"/>
          <w:rtl/>
        </w:rPr>
      </w:pPr>
      <w:r w:rsidRPr="003D7DBF">
        <w:rPr>
          <w:rtl/>
          <w:lang w:bidi="ar-SY"/>
        </w:rPr>
        <w:t xml:space="preserve">شارك الاتحاد في تأسيس مبادرة </w:t>
      </w:r>
      <w:hyperlink r:id="rId12">
        <w:r w:rsidR="0096465B" w:rsidRPr="64A2BD9F">
          <w:rPr>
            <w:rStyle w:val="Hyperlink"/>
          </w:rPr>
          <w:t>EQUALS</w:t>
        </w:r>
      </w:hyperlink>
      <w:r w:rsidRPr="003D7DBF">
        <w:rPr>
          <w:rtl/>
          <w:lang w:bidi="ar-SY"/>
        </w:rPr>
        <w:t xml:space="preserve"> في عام 2016 لتعزيز نفاذ المرأة إلى تكنولوجيا المعلومات والاتصالات والمهارات الرقمية والقيادة. </w:t>
      </w:r>
      <w:r>
        <w:rPr>
          <w:rFonts w:hint="cs"/>
          <w:rtl/>
          <w:lang w:bidi="ar-SY"/>
        </w:rPr>
        <w:t>و</w:t>
      </w:r>
      <w:r w:rsidRPr="003D7DBF">
        <w:rPr>
          <w:rtl/>
          <w:lang w:bidi="ar-SY"/>
        </w:rPr>
        <w:t xml:space="preserve">مبادرة متساوون في مجال التكنولوجيا </w:t>
      </w:r>
      <w:r>
        <w:rPr>
          <w:rFonts w:hint="cs"/>
          <w:rtl/>
          <w:lang w:bidi="ar-SY"/>
        </w:rPr>
        <w:t xml:space="preserve">عبارة عن </w:t>
      </w:r>
      <w:r w:rsidRPr="003D7DBF">
        <w:rPr>
          <w:rtl/>
          <w:lang w:bidi="ar-SY"/>
        </w:rPr>
        <w:t xml:space="preserve">مجموعة مخصصة من الشركاء </w:t>
      </w:r>
      <w:r>
        <w:rPr>
          <w:rFonts w:hint="cs"/>
          <w:rtl/>
          <w:lang w:bidi="ar-SY"/>
        </w:rPr>
        <w:t>تعمل</w:t>
      </w:r>
      <w:r w:rsidRPr="003D7DBF">
        <w:rPr>
          <w:rtl/>
          <w:lang w:bidi="ar-SY"/>
        </w:rPr>
        <w:t xml:space="preserve"> مع مجموعة متنوعة من أصحاب المصلحة في جميع أنحاء العالم لتعزيز التوازن بين الجنسين في قطاع التكنولوجيا</w:t>
      </w:r>
      <w:r w:rsidR="009224B7">
        <w:rPr>
          <w:rFonts w:hint="cs"/>
          <w:rtl/>
          <w:lang w:bidi="ar-SY"/>
        </w:rPr>
        <w:t xml:space="preserve">. </w:t>
      </w:r>
      <w:r w:rsidR="0010082F">
        <w:rPr>
          <w:rFonts w:hint="cs"/>
          <w:color w:val="222222"/>
          <w:spacing w:val="4"/>
          <w:rtl/>
        </w:rPr>
        <w:t xml:space="preserve">وتُمنح </w:t>
      </w:r>
      <w:hyperlink r:id="rId13" w:history="1">
        <w:r w:rsidR="0010082F" w:rsidRPr="000A0074">
          <w:rPr>
            <w:rStyle w:val="Hyperlink"/>
            <w:rFonts w:hint="cs"/>
            <w:spacing w:val="4"/>
            <w:rtl/>
          </w:rPr>
          <w:t xml:space="preserve">جوائز </w:t>
        </w:r>
        <w:r w:rsidRPr="003D7DBF">
          <w:rPr>
            <w:rStyle w:val="Hyperlink"/>
            <w:spacing w:val="4"/>
            <w:rtl/>
          </w:rPr>
          <w:t>مبادرة متساوون في مجال التكنولوجيا</w:t>
        </w:r>
      </w:hyperlink>
      <w:r w:rsidR="0010082F">
        <w:rPr>
          <w:rFonts w:hint="cs"/>
          <w:color w:val="222222"/>
          <w:spacing w:val="4"/>
          <w:rtl/>
        </w:rPr>
        <w:t xml:space="preserve"> سنوياً للعاملين، من منظمات وأفراد، </w:t>
      </w:r>
      <w:r>
        <w:rPr>
          <w:rFonts w:hint="cs"/>
          <w:color w:val="222222"/>
          <w:spacing w:val="4"/>
          <w:rtl/>
        </w:rPr>
        <w:t>من أجل توفير النفاذ</w:t>
      </w:r>
      <w:r w:rsidR="0010082F">
        <w:rPr>
          <w:rFonts w:hint="cs"/>
          <w:color w:val="222222"/>
          <w:spacing w:val="4"/>
          <w:rtl/>
        </w:rPr>
        <w:t xml:space="preserve"> إلى الإنترنت والمهارات الرقمية والفرص في </w:t>
      </w:r>
      <w:r>
        <w:rPr>
          <w:rFonts w:hint="cs"/>
          <w:color w:val="222222"/>
          <w:spacing w:val="4"/>
          <w:rtl/>
        </w:rPr>
        <w:t>مجال</w:t>
      </w:r>
      <w:r w:rsidR="0010082F">
        <w:rPr>
          <w:rFonts w:hint="cs"/>
          <w:color w:val="222222"/>
          <w:spacing w:val="4"/>
          <w:rtl/>
        </w:rPr>
        <w:t xml:space="preserve"> التكنولوجيا، على قدم المساواة</w:t>
      </w:r>
      <w:r>
        <w:rPr>
          <w:rFonts w:hint="cs"/>
          <w:color w:val="222222"/>
          <w:spacing w:val="4"/>
          <w:rtl/>
        </w:rPr>
        <w:t>، للفتيات والنساء</w:t>
      </w:r>
      <w:r w:rsidR="0010082F">
        <w:rPr>
          <w:rFonts w:hint="cs"/>
          <w:color w:val="222222"/>
          <w:spacing w:val="4"/>
          <w:rtl/>
        </w:rPr>
        <w:t>.</w:t>
      </w:r>
    </w:p>
    <w:p w14:paraId="0B405787" w14:textId="7781D36C" w:rsidR="0010082F" w:rsidRPr="0096465B" w:rsidRDefault="0010082F" w:rsidP="0096465B">
      <w:pPr>
        <w:pStyle w:val="Heading2"/>
        <w:rPr>
          <w:rtl/>
        </w:rPr>
      </w:pPr>
      <w:r w:rsidRPr="0096465B">
        <w:lastRenderedPageBreak/>
        <w:t>3.2</w:t>
      </w:r>
      <w:r w:rsidRPr="0096465B">
        <w:rPr>
          <w:rtl/>
        </w:rPr>
        <w:tab/>
      </w:r>
      <w:r w:rsidRPr="0096465B">
        <w:rPr>
          <w:rFonts w:hint="cs"/>
          <w:rtl/>
        </w:rPr>
        <w:t>مبادر</w:t>
      </w:r>
      <w:r w:rsidR="00887B9F" w:rsidRPr="0096465B">
        <w:rPr>
          <w:rFonts w:hint="cs"/>
          <w:rtl/>
        </w:rPr>
        <w:t>ة</w:t>
      </w:r>
      <w:r w:rsidRPr="0096465B">
        <w:rPr>
          <w:rFonts w:hint="cs"/>
          <w:rtl/>
        </w:rPr>
        <w:t xml:space="preserve"> </w:t>
      </w:r>
      <w:r w:rsidR="00CA5E95" w:rsidRPr="0096465B">
        <w:rPr>
          <w:rFonts w:hint="cs"/>
          <w:rtl/>
        </w:rPr>
        <w:t>"</w:t>
      </w:r>
      <w:r w:rsidRPr="0096465B">
        <w:rPr>
          <w:rFonts w:hint="cs"/>
          <w:rtl/>
        </w:rPr>
        <w:t>الفتيات يستطعن التشفير</w:t>
      </w:r>
      <w:r w:rsidR="00CA5E95" w:rsidRPr="0096465B">
        <w:rPr>
          <w:rFonts w:hint="cs"/>
          <w:rtl/>
        </w:rPr>
        <w:t>"</w:t>
      </w:r>
    </w:p>
    <w:p w14:paraId="029254C7" w14:textId="648644EE" w:rsidR="0010082F" w:rsidRPr="0010082F" w:rsidRDefault="00887B9F" w:rsidP="003D46CE">
      <w:pPr>
        <w:keepNext/>
        <w:keepLines/>
        <w:rPr>
          <w:rtl/>
        </w:rPr>
      </w:pPr>
      <w:r w:rsidRPr="00887B9F">
        <w:rPr>
          <w:rtl/>
        </w:rPr>
        <w:t>مبادرة الفتيات يستطعن التشفير</w:t>
      </w:r>
      <w:r>
        <w:rPr>
          <w:rFonts w:hint="cs"/>
          <w:rtl/>
        </w:rPr>
        <w:t xml:space="preserve"> هي مبادرة للاتحاد تركز على تنظيم ورش عمل التشفير للفتيات من أجل </w:t>
      </w:r>
      <w:r w:rsidR="0010082F">
        <w:rPr>
          <w:rFonts w:hint="cs"/>
          <w:rtl/>
        </w:rPr>
        <w:t>تعزيز تطوير أنشطة المهارات الرقمية وتقديم الدعم للبلدان المستفيدة لمراجعة/اعتماد سياسات واستراتيجيات الشمول الرقمي.</w:t>
      </w:r>
      <w:r>
        <w:rPr>
          <w:rFonts w:hint="cs"/>
          <w:rtl/>
        </w:rPr>
        <w:t xml:space="preserve"> وتهدف مبادرتا </w:t>
      </w:r>
      <w:hyperlink r:id="rId14" w:history="1">
        <w:r w:rsidRPr="0096465B">
          <w:rPr>
            <w:rStyle w:val="Hyperlink"/>
            <w:rtl/>
          </w:rPr>
          <w:t>الفتيات الإفريقيات يستطعن التشفير</w:t>
        </w:r>
      </w:hyperlink>
      <w:r w:rsidRPr="00887B9F">
        <w:rPr>
          <w:color w:val="0070C0"/>
          <w:rtl/>
        </w:rPr>
        <w:t xml:space="preserve"> </w:t>
      </w:r>
      <w:r>
        <w:rPr>
          <w:rFonts w:hint="cs"/>
          <w:rtl/>
        </w:rPr>
        <w:t>و</w:t>
      </w:r>
      <w:hyperlink r:id="rId15" w:history="1">
        <w:r w:rsidRPr="0096465B">
          <w:rPr>
            <w:rStyle w:val="Hyperlink"/>
            <w:rtl/>
          </w:rPr>
          <w:t>فتيات الأمريكتين يستطعن التشفير</w:t>
        </w:r>
      </w:hyperlink>
      <w:r w:rsidRPr="0096465B">
        <w:rPr>
          <w:rFonts w:hint="cs"/>
          <w:rtl/>
        </w:rPr>
        <w:t xml:space="preserve"> </w:t>
      </w:r>
      <w:r>
        <w:rPr>
          <w:rFonts w:hint="cs"/>
          <w:rtl/>
        </w:rPr>
        <w:t>إلى النهوض بتنمية المهارات الرقمية للفتيات والشابات في مناطقهن.</w:t>
      </w:r>
    </w:p>
    <w:p w14:paraId="724F8967" w14:textId="2D4FAB0D" w:rsidR="00F50E3F" w:rsidRPr="0096465B" w:rsidRDefault="0010082F" w:rsidP="0096465B">
      <w:pPr>
        <w:pStyle w:val="Heading2"/>
        <w:rPr>
          <w:rtl/>
        </w:rPr>
      </w:pPr>
      <w:r w:rsidRPr="0096465B">
        <w:t>4.2</w:t>
      </w:r>
      <w:r w:rsidRPr="0096465B">
        <w:rPr>
          <w:rtl/>
        </w:rPr>
        <w:tab/>
      </w:r>
      <w:r w:rsidR="00887B9F" w:rsidRPr="0096465B">
        <w:rPr>
          <w:rtl/>
        </w:rPr>
        <w:t>المرأة</w:t>
      </w:r>
      <w:r w:rsidRPr="0096465B">
        <w:rPr>
          <w:rFonts w:hint="cs"/>
          <w:rtl/>
        </w:rPr>
        <w:t xml:space="preserve"> </w:t>
      </w:r>
      <w:r w:rsidR="006E52B3" w:rsidRPr="0096465B">
        <w:rPr>
          <w:rFonts w:hint="cs"/>
          <w:rtl/>
        </w:rPr>
        <w:t>في الفضاء السيبراني</w:t>
      </w:r>
    </w:p>
    <w:p w14:paraId="58538DFD" w14:textId="239FC982" w:rsidR="0010082F" w:rsidRPr="0010082F" w:rsidRDefault="006E52B3" w:rsidP="0096465B">
      <w:pPr>
        <w:rPr>
          <w:rtl/>
          <w:lang w:bidi="ar-SY"/>
        </w:rPr>
      </w:pPr>
      <w:r>
        <w:rPr>
          <w:rFonts w:hint="cs"/>
          <w:rtl/>
          <w:lang w:bidi="ar-SY"/>
        </w:rPr>
        <w:t xml:space="preserve">يتصدى </w:t>
      </w:r>
      <w:hyperlink r:id="rId16" w:history="1">
        <w:r w:rsidRPr="0096465B">
          <w:rPr>
            <w:rStyle w:val="Hyperlink"/>
            <w:rtl/>
            <w:lang w:bidi="ar-SY"/>
          </w:rPr>
          <w:t>برنامج الإرشاد السيبراني من أجل المرأة</w:t>
        </w:r>
      </w:hyperlink>
      <w:r>
        <w:rPr>
          <w:rFonts w:hint="cs"/>
          <w:rtl/>
          <w:lang w:bidi="ar-SY"/>
        </w:rPr>
        <w:t xml:space="preserve"> للاتحاد للفجوة بين الجنسين في مجال الأمن السيبراني </w:t>
      </w:r>
      <w:r w:rsidRPr="006E52B3">
        <w:rPr>
          <w:rtl/>
          <w:lang w:bidi="ar-SY"/>
        </w:rPr>
        <w:t xml:space="preserve">من خلال </w:t>
      </w:r>
      <w:r>
        <w:rPr>
          <w:rFonts w:hint="cs"/>
          <w:rtl/>
          <w:lang w:bidi="ar-SY"/>
        </w:rPr>
        <w:t>توصيل</w:t>
      </w:r>
      <w:r w:rsidRPr="006E52B3">
        <w:rPr>
          <w:rtl/>
          <w:lang w:bidi="ar-SY"/>
        </w:rPr>
        <w:t xml:space="preserve"> النساء الموهوبات بالموجهين والقادة في الصناعة. </w:t>
      </w:r>
      <w:r>
        <w:rPr>
          <w:rFonts w:hint="cs"/>
          <w:rtl/>
          <w:lang w:bidi="ar-SY"/>
        </w:rPr>
        <w:t>و</w:t>
      </w:r>
      <w:r w:rsidRPr="006E52B3">
        <w:rPr>
          <w:rtl/>
          <w:lang w:bidi="ar-SY"/>
        </w:rPr>
        <w:t>يقدم البرنامج نهجا</w:t>
      </w:r>
      <w:r>
        <w:rPr>
          <w:rFonts w:hint="cs"/>
          <w:rtl/>
          <w:lang w:bidi="ar-SY"/>
        </w:rPr>
        <w:t>ً</w:t>
      </w:r>
      <w:r w:rsidRPr="006E52B3">
        <w:rPr>
          <w:rtl/>
          <w:lang w:bidi="ar-SY"/>
        </w:rPr>
        <w:t xml:space="preserve"> شاملاً من خلال الحلقات الدراسية الإلكترونية الملهمة والدورات التدريبية ال</w:t>
      </w:r>
      <w:r>
        <w:rPr>
          <w:rFonts w:hint="cs"/>
          <w:rtl/>
          <w:lang w:bidi="ar-SY"/>
        </w:rPr>
        <w:t>تق</w:t>
      </w:r>
      <w:r w:rsidRPr="006E52B3">
        <w:rPr>
          <w:rtl/>
          <w:lang w:bidi="ar-SY"/>
        </w:rPr>
        <w:t>نية و</w:t>
      </w:r>
      <w:r>
        <w:rPr>
          <w:rFonts w:hint="cs"/>
          <w:rtl/>
          <w:lang w:bidi="ar-SY"/>
        </w:rPr>
        <w:t xml:space="preserve">التدريب على </w:t>
      </w:r>
      <w:r w:rsidRPr="006E52B3">
        <w:rPr>
          <w:rtl/>
          <w:lang w:bidi="ar-SY"/>
        </w:rPr>
        <w:t>المهارات الشخصية والإرشاد.</w:t>
      </w:r>
    </w:p>
    <w:p w14:paraId="0E538970" w14:textId="440241CA" w:rsidR="0010082F" w:rsidRPr="0096465B" w:rsidRDefault="0010082F" w:rsidP="0096465B">
      <w:pPr>
        <w:pStyle w:val="Heading2"/>
        <w:rPr>
          <w:rtl/>
        </w:rPr>
      </w:pPr>
      <w:r w:rsidRPr="0096465B">
        <w:t>5.2</w:t>
      </w:r>
      <w:r w:rsidRPr="0096465B">
        <w:rPr>
          <w:rtl/>
        </w:rPr>
        <w:tab/>
      </w:r>
      <w:r w:rsidR="009D634F" w:rsidRPr="0096465B">
        <w:rPr>
          <w:rFonts w:hint="cs"/>
          <w:rtl/>
        </w:rPr>
        <w:t xml:space="preserve">القمة العالمية لمجتمع المعلومات </w:t>
      </w:r>
      <w:r w:rsidR="009D634F" w:rsidRPr="0096465B">
        <w:t>(WSIS)</w:t>
      </w:r>
    </w:p>
    <w:p w14:paraId="48170B39" w14:textId="615DB4CB" w:rsidR="0010082F" w:rsidRDefault="009D634F" w:rsidP="0096465B">
      <w:pPr>
        <w:rPr>
          <w:rtl/>
          <w:lang w:bidi="ar-SY"/>
        </w:rPr>
      </w:pPr>
      <w:r w:rsidRPr="009D634F">
        <w:rPr>
          <w:rtl/>
          <w:lang w:bidi="ar-SY"/>
        </w:rPr>
        <w:t xml:space="preserve">يعمل الاتحاد على دمج منظور المساواة بين الجنسين في استراتيجيات </w:t>
      </w:r>
      <w:hyperlink r:id="rId17" w:history="1">
        <w:r w:rsidRPr="0096465B">
          <w:rPr>
            <w:rStyle w:val="Hyperlink"/>
            <w:rtl/>
          </w:rPr>
          <w:t>القمة العالمية لمجتمع المعلومات</w:t>
        </w:r>
      </w:hyperlink>
      <w:r w:rsidRPr="009D634F">
        <w:rPr>
          <w:rtl/>
          <w:lang w:bidi="ar-SY"/>
        </w:rPr>
        <w:t xml:space="preserve">. </w:t>
      </w:r>
      <w:r>
        <w:rPr>
          <w:rFonts w:hint="cs"/>
          <w:rtl/>
          <w:lang w:bidi="ar-SY"/>
        </w:rPr>
        <w:t>و</w:t>
      </w:r>
      <w:r w:rsidRPr="009D634F">
        <w:rPr>
          <w:rtl/>
          <w:lang w:bidi="ar-SY"/>
        </w:rPr>
        <w:t>ي</w:t>
      </w:r>
      <w:r>
        <w:rPr>
          <w:rFonts w:hint="cs"/>
          <w:rtl/>
          <w:lang w:bidi="ar-SY"/>
        </w:rPr>
        <w:t>ضم</w:t>
      </w:r>
      <w:r w:rsidRPr="009D634F">
        <w:rPr>
          <w:rtl/>
          <w:lang w:bidi="ar-SY"/>
        </w:rPr>
        <w:t xml:space="preserve"> منتدى القمة العالمية لمجتمع المعلومات </w:t>
      </w:r>
      <w:r>
        <w:rPr>
          <w:rFonts w:hint="cs"/>
          <w:rtl/>
          <w:lang w:bidi="ar-SY"/>
        </w:rPr>
        <w:t>حالياً</w:t>
      </w:r>
      <w:r w:rsidRPr="009D634F">
        <w:rPr>
          <w:rtl/>
          <w:lang w:bidi="ar-SY"/>
        </w:rPr>
        <w:t xml:space="preserve"> </w:t>
      </w:r>
      <w:r>
        <w:rPr>
          <w:rFonts w:hint="cs"/>
          <w:rtl/>
          <w:lang w:bidi="ar-SY"/>
        </w:rPr>
        <w:t>مساراً خاصاً</w:t>
      </w:r>
      <w:r w:rsidRPr="009D634F">
        <w:rPr>
          <w:rtl/>
          <w:lang w:bidi="ar-SY"/>
        </w:rPr>
        <w:t xml:space="preserve"> بشأن تكنولوجيا المعلومات والاتصالات وتعميم </w:t>
      </w:r>
      <w:r>
        <w:rPr>
          <w:rFonts w:hint="cs"/>
          <w:rtl/>
          <w:lang w:bidi="ar-SY"/>
        </w:rPr>
        <w:t>منظور المساواة بين الجنسين</w:t>
      </w:r>
      <w:r w:rsidRPr="009D634F">
        <w:rPr>
          <w:rtl/>
          <w:lang w:bidi="ar-SY"/>
        </w:rPr>
        <w:t xml:space="preserve">. </w:t>
      </w:r>
      <w:r>
        <w:rPr>
          <w:rFonts w:hint="cs"/>
          <w:rtl/>
          <w:lang w:bidi="ar-SY"/>
        </w:rPr>
        <w:t>و</w:t>
      </w:r>
      <w:r w:rsidRPr="009D634F">
        <w:rPr>
          <w:rtl/>
          <w:lang w:bidi="ar-SY"/>
        </w:rPr>
        <w:t xml:space="preserve">هناك مستودع تقييم </w:t>
      </w:r>
      <w:r>
        <w:rPr>
          <w:rFonts w:hint="cs"/>
          <w:rtl/>
          <w:lang w:bidi="ar-SY"/>
        </w:rPr>
        <w:t>ل</w:t>
      </w:r>
      <w:r w:rsidRPr="009D634F">
        <w:rPr>
          <w:rtl/>
          <w:lang w:bidi="ar-SY"/>
        </w:rPr>
        <w:t>لمرأة في</w:t>
      </w:r>
      <w:r>
        <w:rPr>
          <w:rFonts w:hint="cs"/>
          <w:rtl/>
          <w:lang w:bidi="ar-SY"/>
        </w:rPr>
        <w:t xml:space="preserve"> مجال</w:t>
      </w:r>
      <w:r w:rsidRPr="009D634F">
        <w:rPr>
          <w:rtl/>
          <w:lang w:bidi="ar-SY"/>
        </w:rPr>
        <w:t xml:space="preserve"> التكنولوجيا تابع للقمة العالمية لمجتمع المعلومات ومبادرة </w:t>
      </w:r>
      <w:r w:rsidR="00A8325D">
        <w:rPr>
          <w:rFonts w:hint="cs"/>
          <w:rtl/>
          <w:lang w:bidi="ar-SY"/>
        </w:rPr>
        <w:t>ل</w:t>
      </w:r>
      <w:r w:rsidR="00A8325D" w:rsidRPr="00A8325D">
        <w:rPr>
          <w:rtl/>
          <w:lang w:bidi="ar-SY"/>
        </w:rPr>
        <w:t>لقائم</w:t>
      </w:r>
      <w:r w:rsidR="00A8325D">
        <w:rPr>
          <w:rFonts w:hint="cs"/>
          <w:rtl/>
          <w:lang w:bidi="ar-SY"/>
        </w:rPr>
        <w:t>ي</w:t>
      </w:r>
      <w:r w:rsidR="00A8325D" w:rsidRPr="00A8325D">
        <w:rPr>
          <w:rtl/>
          <w:lang w:bidi="ar-SY"/>
        </w:rPr>
        <w:t xml:space="preserve">ن بتحديد اتجاهات الجنسين في القمة العالمية لمجتمع المعلومات </w:t>
      </w:r>
      <w:r w:rsidR="00A8325D">
        <w:rPr>
          <w:rFonts w:hint="cs"/>
          <w:rtl/>
          <w:lang w:bidi="ar-SY"/>
        </w:rPr>
        <w:t xml:space="preserve">للنهوض بهذا </w:t>
      </w:r>
      <w:r w:rsidRPr="009D634F">
        <w:rPr>
          <w:rtl/>
          <w:lang w:bidi="ar-SY"/>
        </w:rPr>
        <w:t>المستودع.</w:t>
      </w:r>
    </w:p>
    <w:p w14:paraId="5CD302CF" w14:textId="3A0279DD" w:rsidR="0010082F" w:rsidRPr="0096465B" w:rsidRDefault="0010082F" w:rsidP="0096465B">
      <w:pPr>
        <w:pStyle w:val="Heading2"/>
        <w:rPr>
          <w:rtl/>
        </w:rPr>
      </w:pPr>
      <w:r w:rsidRPr="0096465B">
        <w:t>6.2</w:t>
      </w:r>
      <w:r w:rsidRPr="0096465B">
        <w:rPr>
          <w:rtl/>
        </w:rPr>
        <w:tab/>
        <w:t>التكنولوجيا كمحرك للفرص الاقتصادية للمرأة</w:t>
      </w:r>
    </w:p>
    <w:p w14:paraId="3EB823DF" w14:textId="4E1C698A" w:rsidR="0010082F" w:rsidRDefault="007E6BAF" w:rsidP="0096465B">
      <w:pPr>
        <w:rPr>
          <w:rtl/>
          <w:lang w:bidi="ar-EG"/>
        </w:rPr>
      </w:pPr>
      <w:r w:rsidRPr="007E6BAF">
        <w:rPr>
          <w:rtl/>
          <w:lang w:bidi="ar-EG"/>
        </w:rPr>
        <w:t>دخل الاتحاد في شراكة مع الإطار المتكامل المعزز (</w:t>
      </w:r>
      <w:r w:rsidRPr="007E6BAF">
        <w:rPr>
          <w:lang w:bidi="ar-EG"/>
        </w:rPr>
        <w:t>EIF</w:t>
      </w:r>
      <w:r w:rsidRPr="007E6BAF">
        <w:rPr>
          <w:rtl/>
          <w:lang w:bidi="ar-EG"/>
        </w:rPr>
        <w:t>) ومكتب الأمم المتحدة لخدمات المشاريع (</w:t>
      </w:r>
      <w:r w:rsidRPr="007E6BAF">
        <w:rPr>
          <w:lang w:bidi="ar-EG"/>
        </w:rPr>
        <w:t>UNOPS</w:t>
      </w:r>
      <w:r w:rsidRPr="007E6BAF">
        <w:rPr>
          <w:rtl/>
          <w:lang w:bidi="ar-EG"/>
        </w:rPr>
        <w:t xml:space="preserve">) لتحسين النظام </w:t>
      </w:r>
      <w:r>
        <w:rPr>
          <w:rFonts w:hint="cs"/>
          <w:rtl/>
          <w:lang w:bidi="ar-EG"/>
        </w:rPr>
        <w:t>الإيكولوجي</w:t>
      </w:r>
      <w:r w:rsidRPr="007E6BAF">
        <w:rPr>
          <w:rtl/>
          <w:lang w:bidi="ar-EG"/>
        </w:rPr>
        <w:t xml:space="preserve"> الرقمي للمرأة في أقل البلدان نمواً في بوروندي وإثيوبيا وهايتي. </w:t>
      </w:r>
      <w:r>
        <w:rPr>
          <w:rFonts w:hint="cs"/>
          <w:rtl/>
          <w:lang w:bidi="ar-EG"/>
        </w:rPr>
        <w:t>و</w:t>
      </w:r>
      <w:r w:rsidRPr="007E6BAF">
        <w:rPr>
          <w:rtl/>
          <w:lang w:bidi="ar-EG"/>
        </w:rPr>
        <w:t xml:space="preserve">يقوم </w:t>
      </w:r>
      <w:hyperlink r:id="rId18" w:history="1">
        <w:r w:rsidRPr="0034490E">
          <w:rPr>
            <w:rStyle w:val="Hyperlink"/>
            <w:rtl/>
          </w:rPr>
          <w:t>المشروع</w:t>
        </w:r>
      </w:hyperlink>
      <w:r w:rsidRPr="007E6BAF">
        <w:rPr>
          <w:rtl/>
          <w:lang w:bidi="ar-EG"/>
        </w:rPr>
        <w:t xml:space="preserve"> بتقييم </w:t>
      </w:r>
      <w:r>
        <w:rPr>
          <w:rFonts w:hint="cs"/>
          <w:rtl/>
          <w:lang w:bidi="ar-EG"/>
        </w:rPr>
        <w:t>استجابة</w:t>
      </w:r>
      <w:r w:rsidRPr="007E6BAF">
        <w:rPr>
          <w:rtl/>
          <w:lang w:bidi="ar-EG"/>
        </w:rPr>
        <w:t xml:space="preserve"> </w:t>
      </w:r>
      <w:r>
        <w:rPr>
          <w:rFonts w:hint="cs"/>
          <w:rtl/>
          <w:lang w:bidi="ar-EG"/>
        </w:rPr>
        <w:t>ا</w:t>
      </w:r>
      <w:r w:rsidRPr="007E6BAF">
        <w:rPr>
          <w:rtl/>
          <w:lang w:bidi="ar-EG"/>
        </w:rPr>
        <w:t xml:space="preserve">لسياسات والاستراتيجيات واللوائح المتعلقة بالاقتصاد الرقمي </w:t>
      </w:r>
      <w:r>
        <w:rPr>
          <w:rFonts w:hint="cs"/>
          <w:rtl/>
          <w:lang w:bidi="ar-EG"/>
        </w:rPr>
        <w:t xml:space="preserve">لمنظور المساواة بين الجنسين </w:t>
      </w:r>
      <w:r w:rsidRPr="007E6BAF">
        <w:rPr>
          <w:rtl/>
          <w:lang w:bidi="ar-EG"/>
        </w:rPr>
        <w:t>ويركز على بناء القدرات لرائدات الأعمال.</w:t>
      </w:r>
      <w:r w:rsidR="0010082F">
        <w:rPr>
          <w:rFonts w:hint="cs"/>
          <w:rtl/>
          <w:lang w:bidi="ar-EG"/>
        </w:rPr>
        <w:t xml:space="preserve"> </w:t>
      </w:r>
    </w:p>
    <w:p w14:paraId="2A41EEE9" w14:textId="7B9060CE" w:rsidR="0010082F" w:rsidRPr="0034490E" w:rsidRDefault="0010082F" w:rsidP="0034490E">
      <w:pPr>
        <w:pStyle w:val="Heading2"/>
        <w:rPr>
          <w:rtl/>
        </w:rPr>
      </w:pPr>
      <w:r w:rsidRPr="0034490E">
        <w:t>7.2</w:t>
      </w:r>
      <w:r w:rsidRPr="0034490E">
        <w:rPr>
          <w:rtl/>
        </w:rPr>
        <w:tab/>
      </w:r>
      <w:r w:rsidRPr="0034490E">
        <w:rPr>
          <w:rFonts w:hint="cs"/>
          <w:rtl/>
        </w:rPr>
        <w:t>الشبكة الدولية لمناصري المساواة بين الجنسين</w:t>
      </w:r>
    </w:p>
    <w:p w14:paraId="39FD213D" w14:textId="02767D8B" w:rsidR="0010082F" w:rsidRDefault="007E6BAF" w:rsidP="0034490E">
      <w:pPr>
        <w:rPr>
          <w:rtl/>
          <w:lang w:bidi="ar-EG"/>
        </w:rPr>
      </w:pPr>
      <w:r w:rsidRPr="007E6BAF">
        <w:rPr>
          <w:rtl/>
          <w:lang w:bidi="ar-EG"/>
        </w:rPr>
        <w:t>الأمين</w:t>
      </w:r>
      <w:r>
        <w:rPr>
          <w:rFonts w:hint="cs"/>
          <w:rtl/>
          <w:lang w:bidi="ar-EG"/>
        </w:rPr>
        <w:t>ة</w:t>
      </w:r>
      <w:r w:rsidRPr="007E6BAF">
        <w:rPr>
          <w:rtl/>
          <w:lang w:bidi="ar-EG"/>
        </w:rPr>
        <w:t xml:space="preserve"> العام</w:t>
      </w:r>
      <w:r>
        <w:rPr>
          <w:rFonts w:hint="cs"/>
          <w:rtl/>
          <w:lang w:bidi="ar-EG"/>
        </w:rPr>
        <w:t>ة</w:t>
      </w:r>
      <w:r w:rsidRPr="007E6BAF">
        <w:rPr>
          <w:rtl/>
          <w:lang w:bidi="ar-EG"/>
        </w:rPr>
        <w:t xml:space="preserve"> للاتحاد عضو في </w:t>
      </w:r>
      <w:hyperlink r:id="rId19" w:anchor="search-form" w:history="1">
        <w:r w:rsidRPr="0034490E">
          <w:rPr>
            <w:rStyle w:val="Hyperlink"/>
            <w:rtl/>
          </w:rPr>
          <w:t>الشبكة الدولية لمناصري المساواة بين الجنسين</w:t>
        </w:r>
      </w:hyperlink>
      <w:r w:rsidRPr="007E6BAF">
        <w:rPr>
          <w:color w:val="0070C0"/>
          <w:rtl/>
          <w:lang w:bidi="ar-EG"/>
        </w:rPr>
        <w:t xml:space="preserve"> </w:t>
      </w:r>
      <w:r w:rsidRPr="007E6BAF">
        <w:rPr>
          <w:rtl/>
          <w:lang w:bidi="ar-EG"/>
        </w:rPr>
        <w:t>(</w:t>
      </w:r>
      <w:r w:rsidRPr="007E6BAF">
        <w:rPr>
          <w:lang w:bidi="ar-EG"/>
        </w:rPr>
        <w:t>IGC</w:t>
      </w:r>
      <w:r w:rsidRPr="007E6BAF">
        <w:rPr>
          <w:rtl/>
          <w:lang w:bidi="ar-EG"/>
        </w:rPr>
        <w:t xml:space="preserve">)، وهي شبكة من صانعي القرار رفيعي المستوى الذين يقودون بالقدوة </w:t>
      </w:r>
      <w:r>
        <w:rPr>
          <w:rFonts w:hint="cs"/>
          <w:rtl/>
          <w:lang w:bidi="ar-EG"/>
        </w:rPr>
        <w:t xml:space="preserve">من خلال </w:t>
      </w:r>
      <w:r w:rsidRPr="007E6BAF">
        <w:rPr>
          <w:rtl/>
          <w:lang w:bidi="ar-EG"/>
        </w:rPr>
        <w:t>إجراءات ملموسة لإحداث تغيير حقيقي في كل من البرمجة والثقافة التنظيمية.</w:t>
      </w:r>
    </w:p>
    <w:p w14:paraId="7C3B103B" w14:textId="4DE79CA4" w:rsidR="0010082F" w:rsidRPr="0034490E" w:rsidRDefault="0010082F" w:rsidP="0034490E">
      <w:pPr>
        <w:pStyle w:val="Heading1"/>
        <w:rPr>
          <w:rtl/>
        </w:rPr>
      </w:pPr>
      <w:r w:rsidRPr="0034490E">
        <w:t>3</w:t>
      </w:r>
      <w:r w:rsidRPr="0034490E">
        <w:rPr>
          <w:rtl/>
        </w:rPr>
        <w:tab/>
      </w:r>
      <w:r w:rsidR="00AE7C55" w:rsidRPr="0034490E">
        <w:rPr>
          <w:rFonts w:hint="cs"/>
          <w:rtl/>
        </w:rPr>
        <w:t>التعميم المؤسسي لمنظور المساواة بين الجنسين</w:t>
      </w:r>
    </w:p>
    <w:p w14:paraId="59F04ADC" w14:textId="7F838F49" w:rsidR="0010082F" w:rsidRPr="00FE4DFF" w:rsidRDefault="0010082F" w:rsidP="00FE4DFF">
      <w:pPr>
        <w:pStyle w:val="Heading2"/>
        <w:rPr>
          <w:spacing w:val="-4"/>
          <w:lang w:bidi="ar-SY"/>
        </w:rPr>
      </w:pPr>
      <w:r w:rsidRPr="00FE4DFF">
        <w:rPr>
          <w:spacing w:val="-4"/>
        </w:rPr>
        <w:t>1.3</w:t>
      </w:r>
      <w:r w:rsidRPr="00FE4DFF">
        <w:rPr>
          <w:spacing w:val="-4"/>
          <w:rtl/>
        </w:rPr>
        <w:tab/>
      </w:r>
      <w:r w:rsidR="003E5DD8" w:rsidRPr="00FE4DFF">
        <w:rPr>
          <w:spacing w:val="-4"/>
          <w:rtl/>
        </w:rPr>
        <w:t>خطة العمل على نطاق منظومة الأمم المتحدة بشأن المساواة بين الجنسين وتمكين المرأة</w:t>
      </w:r>
      <w:r w:rsidR="00FE4DFF" w:rsidRPr="00FE4DFF">
        <w:rPr>
          <w:spacing w:val="-4"/>
          <w:rtl/>
          <w:lang w:bidi="ar-SY"/>
        </w:rPr>
        <w:t xml:space="preserve"> </w:t>
      </w:r>
      <w:r w:rsidR="00FE4DFF" w:rsidRPr="00FE4DFF">
        <w:rPr>
          <w:spacing w:val="-4"/>
          <w:lang w:bidi="ar-SY"/>
        </w:rPr>
        <w:t>(</w:t>
      </w:r>
      <w:r w:rsidR="00FE4DFF" w:rsidRPr="00FE4DFF">
        <w:rPr>
          <w:rFonts w:eastAsia="SimSun"/>
          <w:spacing w:val="-4"/>
        </w:rPr>
        <w:t>UN</w:t>
      </w:r>
      <w:r w:rsidR="00FE4DFF" w:rsidRPr="00FE4DFF">
        <w:rPr>
          <w:rFonts w:eastAsia="SimSun"/>
          <w:spacing w:val="-4"/>
        </w:rPr>
        <w:noBreakHyphen/>
        <w:t>SWAP)</w:t>
      </w:r>
    </w:p>
    <w:p w14:paraId="28970E90" w14:textId="4BFA33F5" w:rsidR="0010082F" w:rsidRPr="00FE4DFF" w:rsidRDefault="0010082F" w:rsidP="00FE4DFF">
      <w:pPr>
        <w:rPr>
          <w:rtl/>
          <w:lang w:bidi="ar"/>
        </w:rPr>
      </w:pPr>
      <w:r w:rsidRPr="00FE4DFF">
        <w:rPr>
          <w:color w:val="000000"/>
          <w:rtl/>
        </w:rPr>
        <w:t xml:space="preserve">خطة العمل على نطاق منظومة الأمم المتحدة بشأن المساواة بين الجنسين وتمكين المرأة </w:t>
      </w:r>
      <w:r w:rsidRPr="00FE4DFF">
        <w:rPr>
          <w:color w:val="000000"/>
        </w:rPr>
        <w:t>(</w:t>
      </w:r>
      <w:hyperlink r:id="rId20" w:history="1">
        <w:r w:rsidR="00FE4DFF" w:rsidRPr="00FE4DFF">
          <w:rPr>
            <w:rStyle w:val="Hyperlink"/>
            <w:rFonts w:eastAsia="SimSun"/>
            <w:szCs w:val="24"/>
            <w:lang w:val="en-CA"/>
          </w:rPr>
          <w:t>UN-SWAP</w:t>
        </w:r>
      </w:hyperlink>
      <w:r w:rsidRPr="00FE4DFF">
        <w:rPr>
          <w:color w:val="000000"/>
        </w:rPr>
        <w:t>)</w:t>
      </w:r>
      <w:r w:rsidRPr="00FE4DFF">
        <w:rPr>
          <w:rtl/>
        </w:rPr>
        <w:t xml:space="preserve"> هي </w:t>
      </w:r>
      <w:r w:rsidRPr="00FE4DFF">
        <w:rPr>
          <w:rtl/>
          <w:lang w:bidi="ar"/>
        </w:rPr>
        <w:t xml:space="preserve">إطار للمساءلة يطبّق على جميع كيانات الأمم المتحدة لقياس مجموعة مشتركة من معايير المساواة بين الجنسين ورصدها والمضي قدماً في تنفيذها. </w:t>
      </w:r>
      <w:r w:rsidR="003E5DD8" w:rsidRPr="00FE4DFF">
        <w:rPr>
          <w:rtl/>
          <w:lang w:bidi="ar-EG"/>
        </w:rPr>
        <w:t>و</w:t>
      </w:r>
      <w:r w:rsidR="003E5DD8" w:rsidRPr="00FE4DFF">
        <w:rPr>
          <w:rtl/>
          <w:lang w:bidi="ar"/>
        </w:rPr>
        <w:t xml:space="preserve">يقدم الاتحاد تقارير منذ بداية خطة العمل </w:t>
      </w:r>
      <w:r w:rsidR="003E5DD8" w:rsidRPr="00FE4DFF">
        <w:rPr>
          <w:lang w:bidi="ar"/>
        </w:rPr>
        <w:t>UN-SWAP</w:t>
      </w:r>
      <w:r w:rsidR="003E5DD8" w:rsidRPr="00FE4DFF">
        <w:rPr>
          <w:rtl/>
          <w:lang w:bidi="ar"/>
        </w:rPr>
        <w:t xml:space="preserve"> في 2013، مع التركيز على </w:t>
      </w:r>
      <w:r w:rsidR="003E5DD8" w:rsidRPr="00FE4DFF">
        <w:rPr>
          <w:i/>
          <w:iCs/>
          <w:rtl/>
          <w:lang w:bidi="ar"/>
        </w:rPr>
        <w:t>جملة أمور من بينها</w:t>
      </w:r>
      <w:r w:rsidR="003E5DD8" w:rsidRPr="00FE4DFF">
        <w:rPr>
          <w:rtl/>
          <w:lang w:bidi="ar"/>
        </w:rPr>
        <w:t xml:space="preserve"> عدد من المجالات أدناه.</w:t>
      </w:r>
    </w:p>
    <w:p w14:paraId="239EF518" w14:textId="18D02FAB" w:rsidR="0010082F" w:rsidRPr="00B7103A" w:rsidRDefault="0010082F" w:rsidP="00B7103A">
      <w:pPr>
        <w:pStyle w:val="Heading2"/>
        <w:rPr>
          <w:rtl/>
        </w:rPr>
      </w:pPr>
      <w:r w:rsidRPr="00B7103A">
        <w:t>2.3</w:t>
      </w:r>
      <w:r w:rsidRPr="00B7103A">
        <w:rPr>
          <w:rtl/>
        </w:rPr>
        <w:tab/>
      </w:r>
      <w:r w:rsidR="003E5DD8" w:rsidRPr="00B7103A">
        <w:rPr>
          <w:rFonts w:hint="cs"/>
          <w:rtl/>
        </w:rPr>
        <w:t>البيانات و</w:t>
      </w:r>
      <w:r w:rsidR="003E5DD8" w:rsidRPr="00B7103A">
        <w:rPr>
          <w:rtl/>
        </w:rPr>
        <w:t>لوحة المعلومات</w:t>
      </w:r>
      <w:r w:rsidR="005B3F2C" w:rsidRPr="00B7103A">
        <w:rPr>
          <w:rtl/>
        </w:rPr>
        <w:t xml:space="preserve"> الخاصة بالاتحاد</w:t>
      </w:r>
      <w:r w:rsidR="003E5DD8" w:rsidRPr="00B7103A">
        <w:rPr>
          <w:rtl/>
        </w:rPr>
        <w:t xml:space="preserve"> المتعلقة بالمساواة بين الجنسين</w:t>
      </w:r>
    </w:p>
    <w:p w14:paraId="2EA1A646" w14:textId="62192D46" w:rsidR="0010082F" w:rsidRPr="0010082F" w:rsidRDefault="003E5DD8" w:rsidP="00B7103A">
      <w:pPr>
        <w:rPr>
          <w:rtl/>
          <w:lang w:bidi="ar-EG"/>
        </w:rPr>
      </w:pPr>
      <w:r w:rsidRPr="003E5DD8">
        <w:rPr>
          <w:rtl/>
          <w:lang w:bidi="ar-EG"/>
        </w:rPr>
        <w:t>يقوم الاتحاد بجمع ونشر المعلومات عن الأفراد الذين يصلون إلى تكنولوجيا المعلومات والاتصالات ويستخدمونها، مصنفة حسب</w:t>
      </w:r>
      <w:r>
        <w:rPr>
          <w:rFonts w:hint="cs"/>
          <w:rtl/>
          <w:lang w:bidi="ar-EG"/>
        </w:rPr>
        <w:t xml:space="preserve"> نوع</w:t>
      </w:r>
      <w:r w:rsidRPr="003E5DD8">
        <w:rPr>
          <w:rtl/>
          <w:lang w:bidi="ar-EG"/>
        </w:rPr>
        <w:t xml:space="preserve"> الجنس. </w:t>
      </w:r>
      <w:r>
        <w:rPr>
          <w:rFonts w:hint="cs"/>
          <w:rtl/>
          <w:lang w:bidi="ar-EG"/>
        </w:rPr>
        <w:t>و</w:t>
      </w:r>
      <w:r w:rsidRPr="003E5DD8">
        <w:rPr>
          <w:rtl/>
          <w:lang w:bidi="ar-EG"/>
        </w:rPr>
        <w:t xml:space="preserve">تتقلص الفجوة الرقمية بين الجنسين على الصعيد العالمي، ولكن لا تزال هناك فجوات كبيرة في البلدان </w:t>
      </w:r>
      <w:r>
        <w:rPr>
          <w:rFonts w:hint="cs"/>
          <w:rtl/>
          <w:lang w:bidi="ar-EG"/>
        </w:rPr>
        <w:t>الأكثر فقراً</w:t>
      </w:r>
      <w:r w:rsidRPr="003E5DD8">
        <w:rPr>
          <w:rtl/>
          <w:lang w:bidi="ar-EG"/>
        </w:rPr>
        <w:t xml:space="preserve">. </w:t>
      </w:r>
      <w:r>
        <w:rPr>
          <w:rFonts w:hint="cs"/>
          <w:rtl/>
          <w:lang w:bidi="ar-EG"/>
        </w:rPr>
        <w:t xml:space="preserve">وتتاح </w:t>
      </w:r>
      <w:r w:rsidRPr="003E5DD8">
        <w:rPr>
          <w:rtl/>
          <w:lang w:bidi="ar-EG"/>
        </w:rPr>
        <w:t>أيضا</w:t>
      </w:r>
      <w:r>
        <w:rPr>
          <w:rFonts w:hint="cs"/>
          <w:rtl/>
          <w:lang w:bidi="ar-EG"/>
        </w:rPr>
        <w:t>ً</w:t>
      </w:r>
      <w:r w:rsidRPr="003E5DD8">
        <w:rPr>
          <w:rtl/>
          <w:lang w:bidi="ar-EG"/>
        </w:rPr>
        <w:t xml:space="preserve"> معلومات عن مشاركة المرأة في أحداث الاتحاد، والنساء ال</w:t>
      </w:r>
      <w:r>
        <w:rPr>
          <w:rFonts w:hint="cs"/>
          <w:rtl/>
          <w:lang w:bidi="ar-EG"/>
        </w:rPr>
        <w:t>موظفات</w:t>
      </w:r>
      <w:r w:rsidRPr="003E5DD8">
        <w:rPr>
          <w:rtl/>
          <w:lang w:bidi="ar-EG"/>
        </w:rPr>
        <w:t xml:space="preserve"> في الاتحاد، فضلاً عن التقارير السنوية لخطة العمل </w:t>
      </w:r>
      <w:r w:rsidRPr="003E5DD8">
        <w:rPr>
          <w:lang w:bidi="ar-EG"/>
        </w:rPr>
        <w:t>UN-SWAP</w:t>
      </w:r>
      <w:r w:rsidRPr="003E5DD8">
        <w:rPr>
          <w:rtl/>
          <w:lang w:bidi="ar-EG"/>
        </w:rPr>
        <w:t xml:space="preserve">، على </w:t>
      </w:r>
      <w:hyperlink r:id="rId21" w:history="1">
        <w:r w:rsidRPr="00B7103A">
          <w:rPr>
            <w:rStyle w:val="Hyperlink"/>
            <w:rtl/>
          </w:rPr>
          <w:t>لوحة المعلومات المتعلقة بالمساواة بين الجنسين الخاصة بالاتحاد</w:t>
        </w:r>
      </w:hyperlink>
      <w:r w:rsidR="0010082F">
        <w:rPr>
          <w:rFonts w:hint="cs"/>
          <w:rtl/>
          <w:lang w:bidi="ar-EG"/>
        </w:rPr>
        <w:t>.</w:t>
      </w:r>
    </w:p>
    <w:p w14:paraId="38285A50" w14:textId="7AEAC4A5" w:rsidR="0010082F" w:rsidRPr="00B7103A" w:rsidRDefault="0010082F" w:rsidP="00B7103A">
      <w:pPr>
        <w:pStyle w:val="Heading2"/>
        <w:rPr>
          <w:rtl/>
        </w:rPr>
      </w:pPr>
      <w:r w:rsidRPr="00B7103A">
        <w:lastRenderedPageBreak/>
        <w:t>3.3</w:t>
      </w:r>
      <w:r w:rsidRPr="00B7103A">
        <w:rPr>
          <w:rtl/>
        </w:rPr>
        <w:tab/>
      </w:r>
      <w:r w:rsidR="003E5DD8" w:rsidRPr="00B7103A">
        <w:rPr>
          <w:rFonts w:hint="cs"/>
          <w:rtl/>
        </w:rPr>
        <w:t>شبكة المرأة</w:t>
      </w:r>
    </w:p>
    <w:p w14:paraId="6596D487" w14:textId="1439D8FD" w:rsidR="0010082F" w:rsidRDefault="005E6B77" w:rsidP="00B7103A">
      <w:pPr>
        <w:rPr>
          <w:rtl/>
          <w:lang w:bidi="ar-EG"/>
        </w:rPr>
      </w:pPr>
      <w:r w:rsidRPr="005E6B77">
        <w:rPr>
          <w:rtl/>
          <w:lang w:bidi="ar-EG"/>
        </w:rPr>
        <w:t>يعمل الاتحاد على زيادة مشاركة المرأة في أحداث الاتحاد، من خلال مختلف مبادرات شبكة ا</w:t>
      </w:r>
      <w:r>
        <w:rPr>
          <w:rFonts w:hint="cs"/>
          <w:rtl/>
          <w:lang w:bidi="ar-EG"/>
        </w:rPr>
        <w:t>لمرأة</w:t>
      </w:r>
      <w:r w:rsidRPr="005E6B77">
        <w:rPr>
          <w:rtl/>
          <w:lang w:bidi="ar-EG"/>
        </w:rPr>
        <w:t xml:space="preserve">: شبكة </w:t>
      </w:r>
      <w:r>
        <w:rPr>
          <w:rFonts w:hint="cs"/>
          <w:rtl/>
          <w:lang w:bidi="ar-EG"/>
        </w:rPr>
        <w:t>المرأة</w:t>
      </w:r>
      <w:r w:rsidRPr="005E6B77">
        <w:rPr>
          <w:rtl/>
          <w:lang w:bidi="ar-EG"/>
        </w:rPr>
        <w:t xml:space="preserve"> في المؤتمر العالمي للاتصالات الراديوية، وشبكة ال</w:t>
      </w:r>
      <w:r>
        <w:rPr>
          <w:rFonts w:hint="cs"/>
          <w:rtl/>
          <w:lang w:bidi="ar-EG"/>
        </w:rPr>
        <w:t>مرأة</w:t>
      </w:r>
      <w:r w:rsidRPr="005E6B77">
        <w:rPr>
          <w:rtl/>
          <w:lang w:bidi="ar-EG"/>
        </w:rPr>
        <w:t xml:space="preserve"> في المؤتمر العالمي ل</w:t>
      </w:r>
      <w:r>
        <w:rPr>
          <w:rFonts w:hint="cs"/>
          <w:rtl/>
          <w:lang w:bidi="ar-EG"/>
        </w:rPr>
        <w:t>تنمية</w:t>
      </w:r>
      <w:r w:rsidRPr="005E6B77">
        <w:rPr>
          <w:rtl/>
          <w:lang w:bidi="ar-EG"/>
        </w:rPr>
        <w:t xml:space="preserve"> </w:t>
      </w:r>
      <w:r>
        <w:rPr>
          <w:rFonts w:hint="cs"/>
          <w:rtl/>
          <w:lang w:bidi="ar-EG"/>
        </w:rPr>
        <w:t>الاتصالات</w:t>
      </w:r>
      <w:r w:rsidRPr="005E6B77">
        <w:rPr>
          <w:rtl/>
          <w:lang w:bidi="ar-EG"/>
        </w:rPr>
        <w:t xml:space="preserve">، وشبكة </w:t>
      </w:r>
      <w:r>
        <w:rPr>
          <w:rFonts w:hint="cs"/>
          <w:rtl/>
          <w:lang w:bidi="ar-EG"/>
        </w:rPr>
        <w:t xml:space="preserve">المرأة </w:t>
      </w:r>
      <w:r w:rsidRPr="005E6B77">
        <w:rPr>
          <w:rtl/>
          <w:lang w:bidi="ar-EG"/>
        </w:rPr>
        <w:t>في قطاع تقييس الاتصالات، المعروفة سابقًا باسم فريق الخبراء المعني بالمرأة في مجال التقييس (</w:t>
      </w:r>
      <w:r w:rsidRPr="005E6B77">
        <w:rPr>
          <w:lang w:bidi="ar-EG"/>
        </w:rPr>
        <w:t>WISE</w:t>
      </w:r>
      <w:r w:rsidRPr="005E6B77">
        <w:rPr>
          <w:rtl/>
          <w:lang w:bidi="ar-EG"/>
        </w:rPr>
        <w:t>)</w:t>
      </w:r>
      <w:r>
        <w:rPr>
          <w:rFonts w:hint="cs"/>
          <w:rtl/>
          <w:lang w:bidi="ar-EG"/>
        </w:rPr>
        <w:t xml:space="preserve"> بالاتحاد</w:t>
      </w:r>
      <w:r w:rsidRPr="005E6B77">
        <w:rPr>
          <w:rtl/>
          <w:lang w:bidi="ar-EG"/>
        </w:rPr>
        <w:t xml:space="preserve">. </w:t>
      </w:r>
      <w:r>
        <w:rPr>
          <w:rFonts w:hint="cs"/>
          <w:rtl/>
          <w:lang w:bidi="ar-EG"/>
        </w:rPr>
        <w:t>و</w:t>
      </w:r>
      <w:r w:rsidRPr="005E6B77">
        <w:rPr>
          <w:rtl/>
          <w:lang w:bidi="ar-EG"/>
        </w:rPr>
        <w:t>يتعاون الاتحاد أيضا</w:t>
      </w:r>
      <w:r>
        <w:rPr>
          <w:rFonts w:hint="cs"/>
          <w:rtl/>
          <w:lang w:bidi="ar-EG"/>
        </w:rPr>
        <w:t>ً</w:t>
      </w:r>
      <w:r w:rsidRPr="005E6B77">
        <w:rPr>
          <w:rtl/>
          <w:lang w:bidi="ar-EG"/>
        </w:rPr>
        <w:t xml:space="preserve"> مع عدد من الشبكات الخارجية، مثل </w:t>
      </w:r>
      <w:r w:rsidR="00B91346" w:rsidRPr="00B91346">
        <w:rPr>
          <w:rtl/>
          <w:lang w:bidi="ar-EG"/>
        </w:rPr>
        <w:t>المرأة في الفضاء الجوي (</w:t>
      </w:r>
      <w:r w:rsidR="00B91346" w:rsidRPr="00B91346">
        <w:rPr>
          <w:lang w:bidi="ar-EG"/>
        </w:rPr>
        <w:t>WIA</w:t>
      </w:r>
      <w:r w:rsidR="00B91346" w:rsidRPr="00B91346">
        <w:rPr>
          <w:rtl/>
          <w:lang w:bidi="ar-EG"/>
        </w:rPr>
        <w:t>)</w:t>
      </w:r>
      <w:r w:rsidR="00B7103A">
        <w:rPr>
          <w:rFonts w:hint="cs"/>
          <w:rtl/>
          <w:lang w:bidi="ar-EG"/>
        </w:rPr>
        <w:t xml:space="preserve"> </w:t>
      </w:r>
      <w:r w:rsidRPr="005E6B77">
        <w:rPr>
          <w:rtl/>
          <w:lang w:bidi="ar-EG"/>
        </w:rPr>
        <w:t>و</w:t>
      </w:r>
      <w:r w:rsidR="00B91346">
        <w:rPr>
          <w:rFonts w:hint="cs"/>
          <w:rtl/>
          <w:lang w:bidi="ar-EG"/>
        </w:rPr>
        <w:t>التحالف النسوي</w:t>
      </w:r>
      <w:r w:rsidRPr="005E6B77">
        <w:rPr>
          <w:rtl/>
          <w:lang w:bidi="ar-EG"/>
        </w:rPr>
        <w:t xml:space="preserve"> </w:t>
      </w:r>
      <w:r w:rsidRPr="005E6B77">
        <w:rPr>
          <w:lang w:bidi="ar-EG"/>
        </w:rPr>
        <w:t>A+ Alliance</w:t>
      </w:r>
      <w:r w:rsidRPr="005E6B77">
        <w:rPr>
          <w:rtl/>
          <w:lang w:bidi="ar-EG"/>
        </w:rPr>
        <w:t xml:space="preserve"> </w:t>
      </w:r>
      <w:r w:rsidR="00B91346">
        <w:rPr>
          <w:rFonts w:hint="cs"/>
          <w:rtl/>
          <w:lang w:bidi="ar-EG"/>
        </w:rPr>
        <w:t>والفتيات في مجال التكنولوجيا الكمومية</w:t>
      </w:r>
      <w:r w:rsidRPr="005E6B77">
        <w:rPr>
          <w:rtl/>
          <w:lang w:bidi="ar-EG"/>
        </w:rPr>
        <w:t xml:space="preserve">. </w:t>
      </w:r>
      <w:r w:rsidR="007F6EDB">
        <w:rPr>
          <w:rFonts w:hint="cs"/>
          <w:rtl/>
          <w:lang w:bidi="ar-EG"/>
        </w:rPr>
        <w:t>و</w:t>
      </w:r>
      <w:r w:rsidRPr="005E6B77">
        <w:rPr>
          <w:rtl/>
          <w:lang w:bidi="ar-EG"/>
        </w:rPr>
        <w:t>يجري</w:t>
      </w:r>
      <w:r w:rsidR="007F6EDB">
        <w:rPr>
          <w:rFonts w:hint="cs"/>
          <w:rtl/>
          <w:lang w:bidi="ar-EG"/>
        </w:rPr>
        <w:t xml:space="preserve"> إنشاء</w:t>
      </w:r>
      <w:r w:rsidRPr="005E6B77">
        <w:rPr>
          <w:rtl/>
          <w:lang w:bidi="ar-EG"/>
        </w:rPr>
        <w:t xml:space="preserve"> شبكة جديدة لوزيرات </w:t>
      </w:r>
      <w:r w:rsidR="007F6EDB">
        <w:rPr>
          <w:rFonts w:hint="cs"/>
          <w:rtl/>
          <w:lang w:bidi="ar-EG"/>
        </w:rPr>
        <w:t xml:space="preserve">التكنولوجيا </w:t>
      </w:r>
      <w:r w:rsidRPr="005E6B77">
        <w:rPr>
          <w:rtl/>
          <w:lang w:bidi="ar-EG"/>
        </w:rPr>
        <w:t>الرقمي</w:t>
      </w:r>
      <w:r w:rsidR="007F6EDB">
        <w:rPr>
          <w:rFonts w:hint="cs"/>
          <w:rtl/>
          <w:lang w:bidi="ar-EG"/>
        </w:rPr>
        <w:t>ة</w:t>
      </w:r>
      <w:r w:rsidRPr="005E6B77">
        <w:rPr>
          <w:rtl/>
          <w:lang w:bidi="ar-EG"/>
        </w:rPr>
        <w:t>، بقيادة الأمين</w:t>
      </w:r>
      <w:r w:rsidR="007F6EDB">
        <w:rPr>
          <w:rFonts w:hint="cs"/>
          <w:rtl/>
          <w:lang w:bidi="ar-EG"/>
        </w:rPr>
        <w:t>ة</w:t>
      </w:r>
      <w:r w:rsidRPr="005E6B77">
        <w:rPr>
          <w:rtl/>
          <w:lang w:bidi="ar-EG"/>
        </w:rPr>
        <w:t xml:space="preserve"> العام</w:t>
      </w:r>
      <w:r w:rsidR="007F6EDB">
        <w:rPr>
          <w:rFonts w:hint="cs"/>
          <w:rtl/>
          <w:lang w:bidi="ar-EG"/>
        </w:rPr>
        <w:t>ة</w:t>
      </w:r>
      <w:r w:rsidRPr="005E6B77">
        <w:rPr>
          <w:rtl/>
          <w:lang w:bidi="ar-EG"/>
        </w:rPr>
        <w:t>، وفقًا للت</w:t>
      </w:r>
      <w:r w:rsidR="007802D2">
        <w:rPr>
          <w:rFonts w:hint="cs"/>
          <w:rtl/>
          <w:lang w:bidi="ar-EG"/>
        </w:rPr>
        <w:t>كليف</w:t>
      </w:r>
      <w:r w:rsidRPr="005E6B77">
        <w:rPr>
          <w:rtl/>
          <w:lang w:bidi="ar-EG"/>
        </w:rPr>
        <w:t xml:space="preserve"> الوارد في القرار</w:t>
      </w:r>
      <w:r w:rsidR="00502B2D">
        <w:rPr>
          <w:rFonts w:hint="cs"/>
          <w:rtl/>
          <w:lang w:bidi="ar-EG"/>
        </w:rPr>
        <w:t> </w:t>
      </w:r>
      <w:r w:rsidR="007802D2">
        <w:rPr>
          <w:rFonts w:hint="cs"/>
          <w:rtl/>
          <w:lang w:bidi="ar-EG"/>
        </w:rPr>
        <w:t>70</w:t>
      </w:r>
      <w:r w:rsidR="00B7103A">
        <w:rPr>
          <w:rFonts w:hint="eastAsia"/>
          <w:rtl/>
          <w:lang w:bidi="ar-EG"/>
        </w:rPr>
        <w:t> </w:t>
      </w:r>
      <w:r w:rsidR="007802D2">
        <w:rPr>
          <w:rFonts w:hint="cs"/>
          <w:rtl/>
          <w:lang w:bidi="ar-EG"/>
        </w:rPr>
        <w:t>(المرا</w:t>
      </w:r>
      <w:r w:rsidR="00B7103A">
        <w:rPr>
          <w:rFonts w:hint="cs"/>
          <w:rtl/>
          <w:lang w:bidi="ar-EG"/>
        </w:rPr>
        <w:t>جَ</w:t>
      </w:r>
      <w:r w:rsidR="007802D2">
        <w:rPr>
          <w:rFonts w:hint="cs"/>
          <w:rtl/>
          <w:lang w:bidi="ar-EG"/>
        </w:rPr>
        <w:t>ع في بوخارست، 2022)</w:t>
      </w:r>
      <w:r w:rsidR="0010082F">
        <w:rPr>
          <w:rFonts w:hint="cs"/>
          <w:rtl/>
          <w:lang w:bidi="ar-EG"/>
        </w:rPr>
        <w:t>.</w:t>
      </w:r>
      <w:r w:rsidR="0010082F">
        <w:rPr>
          <w:rStyle w:val="FootnoteReference"/>
          <w:rtl/>
          <w:lang w:bidi="ar-EG"/>
        </w:rPr>
        <w:footnoteReference w:id="2"/>
      </w:r>
    </w:p>
    <w:p w14:paraId="332DD68A" w14:textId="5EDD9FA1" w:rsidR="0010082F" w:rsidRPr="00816A83" w:rsidRDefault="0010082F" w:rsidP="00816A83">
      <w:pPr>
        <w:pStyle w:val="Heading2"/>
        <w:rPr>
          <w:rtl/>
        </w:rPr>
      </w:pPr>
      <w:r w:rsidRPr="00816A83">
        <w:t>4.3</w:t>
      </w:r>
      <w:r w:rsidRPr="00816A83">
        <w:rPr>
          <w:rtl/>
        </w:rPr>
        <w:tab/>
      </w:r>
      <w:r w:rsidR="007802D2" w:rsidRPr="00816A83">
        <w:rPr>
          <w:rFonts w:hint="cs"/>
          <w:rtl/>
        </w:rPr>
        <w:t>ال</w:t>
      </w:r>
      <w:r w:rsidR="007802D2" w:rsidRPr="00816A83">
        <w:rPr>
          <w:rtl/>
        </w:rPr>
        <w:t xml:space="preserve">تمثيل </w:t>
      </w:r>
      <w:r w:rsidR="007802D2" w:rsidRPr="00816A83">
        <w:rPr>
          <w:rFonts w:hint="cs"/>
          <w:rtl/>
        </w:rPr>
        <w:t xml:space="preserve">المتكافئ </w:t>
      </w:r>
      <w:r w:rsidR="005B3F2C" w:rsidRPr="00816A83">
        <w:rPr>
          <w:rFonts w:hint="cs"/>
          <w:rtl/>
        </w:rPr>
        <w:t>للمرأة</w:t>
      </w:r>
    </w:p>
    <w:p w14:paraId="008C3C16" w14:textId="1B7BB24E" w:rsidR="0010082F" w:rsidRDefault="007802D2" w:rsidP="00816A83">
      <w:pPr>
        <w:rPr>
          <w:rtl/>
          <w:lang w:bidi="ar-EG"/>
        </w:rPr>
      </w:pPr>
      <w:r w:rsidRPr="007802D2">
        <w:rPr>
          <w:rtl/>
          <w:lang w:bidi="ar-EG"/>
        </w:rPr>
        <w:t xml:space="preserve">يتتبع الاتحاد </w:t>
      </w:r>
      <w:hyperlink r:id="rId22" w:history="1">
        <w:r w:rsidRPr="00816A83">
          <w:rPr>
            <w:rStyle w:val="Hyperlink"/>
            <w:rtl/>
          </w:rPr>
          <w:t xml:space="preserve">تمثيل المرأة في ملاك </w:t>
        </w:r>
        <w:r w:rsidRPr="00816A83">
          <w:rPr>
            <w:rStyle w:val="Hyperlink"/>
            <w:rFonts w:hint="cs"/>
            <w:rtl/>
          </w:rPr>
          <w:t>موظفي</w:t>
        </w:r>
        <w:r w:rsidRPr="00816A83">
          <w:rPr>
            <w:rStyle w:val="Hyperlink"/>
            <w:rtl/>
          </w:rPr>
          <w:t xml:space="preserve"> الاتحاد </w:t>
        </w:r>
        <w:r w:rsidRPr="00816A83">
          <w:rPr>
            <w:rStyle w:val="Hyperlink"/>
            <w:rFonts w:hint="cs"/>
            <w:rtl/>
          </w:rPr>
          <w:t>ولجانه</w:t>
        </w:r>
      </w:hyperlink>
      <w:r w:rsidRPr="007802D2">
        <w:rPr>
          <w:rFonts w:hint="cs"/>
          <w:color w:val="0070C0"/>
          <w:rtl/>
          <w:lang w:bidi="ar-EG"/>
        </w:rPr>
        <w:t xml:space="preserve"> </w:t>
      </w:r>
      <w:r w:rsidRPr="007802D2">
        <w:rPr>
          <w:rtl/>
          <w:lang w:bidi="ar-EG"/>
        </w:rPr>
        <w:t xml:space="preserve">ويقدم تقاريره إلى استراتيجية التكافؤ بين الجنسين على مستوى </w:t>
      </w:r>
      <w:r>
        <w:rPr>
          <w:rFonts w:hint="cs"/>
          <w:rtl/>
          <w:lang w:bidi="ar-EG"/>
        </w:rPr>
        <w:t xml:space="preserve">منظومة </w:t>
      </w:r>
      <w:r w:rsidRPr="007802D2">
        <w:rPr>
          <w:rtl/>
          <w:lang w:bidi="ar-EG"/>
        </w:rPr>
        <w:t xml:space="preserve">الأمم المتحدة. </w:t>
      </w:r>
      <w:r>
        <w:rPr>
          <w:rFonts w:hint="cs"/>
          <w:rtl/>
          <w:lang w:bidi="ar-EG"/>
        </w:rPr>
        <w:t>و</w:t>
      </w:r>
      <w:r w:rsidRPr="007802D2">
        <w:rPr>
          <w:rtl/>
          <w:lang w:bidi="ar-EG"/>
        </w:rPr>
        <w:t xml:space="preserve">النساء لا يمثلنَ التمثيل المناسب في المناصب القيادية وممثلات تمثيلا </w:t>
      </w:r>
      <w:r>
        <w:rPr>
          <w:rFonts w:hint="cs"/>
          <w:rtl/>
          <w:lang w:bidi="ar-EG"/>
        </w:rPr>
        <w:t xml:space="preserve">مفرطاً </w:t>
      </w:r>
      <w:r w:rsidRPr="007802D2">
        <w:rPr>
          <w:rtl/>
          <w:lang w:bidi="ar-EG"/>
        </w:rPr>
        <w:t xml:space="preserve">في فئة الخدمات العامة </w:t>
      </w:r>
      <w:r w:rsidRPr="00502B2D">
        <w:rPr>
          <w:rtl/>
          <w:lang w:bidi="ar-EG"/>
        </w:rPr>
        <w:t>و</w:t>
      </w:r>
      <w:r w:rsidRPr="00502B2D">
        <w:rPr>
          <w:rFonts w:hint="cs"/>
          <w:rtl/>
          <w:lang w:bidi="ar-EG"/>
        </w:rPr>
        <w:t>درجتي</w:t>
      </w:r>
      <w:r w:rsidRPr="00502B2D">
        <w:rPr>
          <w:rtl/>
          <w:lang w:bidi="ar-EG"/>
        </w:rPr>
        <w:t xml:space="preserve"> الفئة الفنية </w:t>
      </w:r>
      <w:r w:rsidR="00CC2D24" w:rsidRPr="00502B2D">
        <w:rPr>
          <w:rFonts w:hint="cs"/>
          <w:rtl/>
          <w:lang w:bidi="ar-EG"/>
        </w:rPr>
        <w:t>ل</w:t>
      </w:r>
      <w:r w:rsidRPr="00502B2D">
        <w:rPr>
          <w:rtl/>
          <w:lang w:bidi="ar-EG"/>
        </w:rPr>
        <w:t xml:space="preserve">لمبتدئين </w:t>
      </w:r>
      <w:r w:rsidR="00502B2D" w:rsidRPr="00502B2D">
        <w:rPr>
          <w:lang w:bidi="ar-EG"/>
        </w:rPr>
        <w:t>P1</w:t>
      </w:r>
      <w:r w:rsidRPr="00502B2D">
        <w:rPr>
          <w:rtl/>
          <w:lang w:bidi="ar-EG"/>
        </w:rPr>
        <w:t xml:space="preserve"> و</w:t>
      </w:r>
      <w:r w:rsidR="00502B2D" w:rsidRPr="00502B2D">
        <w:rPr>
          <w:lang w:bidi="ar-EG"/>
        </w:rPr>
        <w:t>P2</w:t>
      </w:r>
      <w:r w:rsidRPr="00502B2D">
        <w:rPr>
          <w:rtl/>
          <w:lang w:bidi="ar-EG"/>
        </w:rPr>
        <w:t>. وقد تركزت الجهود المبذولة لمعالجة هذا الأمر في المقام الأول على التوظيف والثقافة</w:t>
      </w:r>
      <w:r w:rsidRPr="007802D2">
        <w:rPr>
          <w:rtl/>
          <w:lang w:bidi="ar-EG"/>
        </w:rPr>
        <w:t xml:space="preserve"> التنظيمية لجذب الموظفات والاحتفاظ بهن بحيث تعكس الدوائر العالمية التي يخدمها الاتحاد.</w:t>
      </w:r>
    </w:p>
    <w:p w14:paraId="1EE9C434" w14:textId="330B90EA" w:rsidR="0010082F" w:rsidRPr="00816A83" w:rsidRDefault="0010082F" w:rsidP="00816A83">
      <w:pPr>
        <w:pStyle w:val="Heading2"/>
        <w:rPr>
          <w:rtl/>
        </w:rPr>
      </w:pPr>
      <w:r w:rsidRPr="00816A83">
        <w:t>5.3</w:t>
      </w:r>
      <w:r w:rsidRPr="00816A83">
        <w:rPr>
          <w:rtl/>
        </w:rPr>
        <w:tab/>
      </w:r>
      <w:r w:rsidR="00CC2D24" w:rsidRPr="00816A83">
        <w:rPr>
          <w:rFonts w:hint="cs"/>
          <w:rtl/>
        </w:rPr>
        <w:t>الثقافة التنظيمية</w:t>
      </w:r>
    </w:p>
    <w:p w14:paraId="0918B8D1" w14:textId="50D34F6A" w:rsidR="0010082F" w:rsidRDefault="00F42324" w:rsidP="00816A83">
      <w:pPr>
        <w:rPr>
          <w:rtl/>
          <w:lang w:bidi="ar-EG"/>
        </w:rPr>
      </w:pPr>
      <w:r>
        <w:rPr>
          <w:rFonts w:hint="cs"/>
          <w:rtl/>
          <w:lang w:bidi="ar-EG"/>
        </w:rPr>
        <w:t>تعد تهيئة</w:t>
      </w:r>
      <w:r w:rsidRPr="00F42324">
        <w:rPr>
          <w:rtl/>
          <w:lang w:bidi="ar-EG"/>
        </w:rPr>
        <w:t xml:space="preserve"> بيئة تمكينية أمرا</w:t>
      </w:r>
      <w:r>
        <w:rPr>
          <w:rFonts w:hint="cs"/>
          <w:rtl/>
          <w:lang w:bidi="ar-EG"/>
        </w:rPr>
        <w:t>ً</w:t>
      </w:r>
      <w:r w:rsidRPr="00F42324">
        <w:rPr>
          <w:rtl/>
          <w:lang w:bidi="ar-EG"/>
        </w:rPr>
        <w:t xml:space="preserve"> بالغ الأهمية لجذب أفضل المواهب والاحتفاظ بها، خاصة بالنسبة للنساء المرشحات المستهدفات بشكل</w:t>
      </w:r>
      <w:r w:rsidR="006D74D5">
        <w:rPr>
          <w:rFonts w:hint="cs"/>
          <w:rtl/>
          <w:lang w:bidi="ar-EG"/>
        </w:rPr>
        <w:t>ٍ</w:t>
      </w:r>
      <w:r w:rsidRPr="00F42324">
        <w:rPr>
          <w:rtl/>
          <w:lang w:bidi="ar-EG"/>
        </w:rPr>
        <w:t xml:space="preserve"> كبير في قطاع التكنولوجيا. </w:t>
      </w:r>
      <w:r>
        <w:rPr>
          <w:rFonts w:hint="cs"/>
          <w:rtl/>
          <w:lang w:bidi="ar-EG"/>
        </w:rPr>
        <w:t>و</w:t>
      </w:r>
      <w:r w:rsidRPr="00F42324">
        <w:rPr>
          <w:rtl/>
          <w:lang w:bidi="ar-EG"/>
        </w:rPr>
        <w:t>ت</w:t>
      </w:r>
      <w:r>
        <w:rPr>
          <w:rFonts w:hint="cs"/>
          <w:rtl/>
          <w:lang w:bidi="ar-EG"/>
        </w:rPr>
        <w:t>ت</w:t>
      </w:r>
      <w:r w:rsidRPr="00F42324">
        <w:rPr>
          <w:rtl/>
          <w:lang w:bidi="ar-EG"/>
        </w:rPr>
        <w:t xml:space="preserve">ضمن الثقافة التنظيمية التي تدعم المساواة بين الجنسين بشكل كامل تعزيز </w:t>
      </w:r>
      <w:r>
        <w:rPr>
          <w:rFonts w:hint="cs"/>
          <w:rtl/>
          <w:lang w:bidi="ar-EG"/>
        </w:rPr>
        <w:t>ال</w:t>
      </w:r>
      <w:r w:rsidRPr="00F42324">
        <w:rPr>
          <w:rtl/>
          <w:lang w:bidi="ar-EG"/>
        </w:rPr>
        <w:t xml:space="preserve">سياسات </w:t>
      </w:r>
      <w:r>
        <w:rPr>
          <w:rFonts w:hint="cs"/>
          <w:rtl/>
          <w:lang w:bidi="ar-EG"/>
        </w:rPr>
        <w:t xml:space="preserve">في مجال </w:t>
      </w:r>
      <w:r w:rsidRPr="00F42324">
        <w:rPr>
          <w:rtl/>
          <w:lang w:bidi="ar-EG"/>
        </w:rPr>
        <w:t xml:space="preserve">الأخلاقيات لمنع التمييز وعدم التسامح </w:t>
      </w:r>
      <w:r>
        <w:rPr>
          <w:rFonts w:hint="cs"/>
          <w:rtl/>
          <w:lang w:bidi="ar-EG"/>
        </w:rPr>
        <w:t>إطلاقاً إزاء</w:t>
      </w:r>
      <w:r w:rsidRPr="00F42324">
        <w:rPr>
          <w:rtl/>
          <w:lang w:bidi="ar-EG"/>
        </w:rPr>
        <w:t xml:space="preserve"> التحرش. </w:t>
      </w:r>
      <w:r>
        <w:rPr>
          <w:rFonts w:hint="cs"/>
          <w:rtl/>
          <w:lang w:bidi="ar-EG"/>
        </w:rPr>
        <w:t>و</w:t>
      </w:r>
      <w:r w:rsidRPr="00F42324">
        <w:rPr>
          <w:rtl/>
          <w:lang w:bidi="ar-EG"/>
        </w:rPr>
        <w:t xml:space="preserve">تلتزم الدول الأعضاء </w:t>
      </w:r>
      <w:r>
        <w:rPr>
          <w:rFonts w:hint="cs"/>
          <w:rtl/>
          <w:lang w:bidi="ar-EG"/>
        </w:rPr>
        <w:t xml:space="preserve">تجاه </w:t>
      </w:r>
      <w:r w:rsidRPr="00F42324">
        <w:rPr>
          <w:rtl/>
          <w:lang w:bidi="ar-EG"/>
        </w:rPr>
        <w:t>الاتحاد كمنظمة رائدة في تنفيذ قيم ومبادئ المساواة بين الجنسين.</w:t>
      </w:r>
      <w:r w:rsidR="0010082F">
        <w:rPr>
          <w:rStyle w:val="FootnoteReference"/>
          <w:rtl/>
          <w:lang w:bidi="ar-EG"/>
        </w:rPr>
        <w:footnoteReference w:id="3"/>
      </w:r>
      <w:r w:rsidR="0010082F">
        <w:rPr>
          <w:rFonts w:hint="cs"/>
          <w:rtl/>
          <w:lang w:bidi="ar-EG"/>
        </w:rPr>
        <w:t xml:space="preserve"> </w:t>
      </w:r>
      <w:r w:rsidRPr="00F42324">
        <w:rPr>
          <w:rtl/>
          <w:lang w:bidi="ar-EG"/>
        </w:rPr>
        <w:t>وتتمثل إحدى الخطوات المهمة في هذا الاتجاه في السياس</w:t>
      </w:r>
      <w:r>
        <w:rPr>
          <w:rFonts w:hint="cs"/>
          <w:rtl/>
          <w:lang w:bidi="ar-EG"/>
        </w:rPr>
        <w:t>ة الجديدة للاتحاد</w:t>
      </w:r>
      <w:r w:rsidRPr="00F42324">
        <w:rPr>
          <w:rtl/>
          <w:lang w:bidi="ar-EG"/>
        </w:rPr>
        <w:t xml:space="preserve"> المتعلقة بإجازة الوالدين، والتي تنفذ إطار </w:t>
      </w:r>
      <w:r>
        <w:rPr>
          <w:rFonts w:hint="cs"/>
          <w:rtl/>
          <w:lang w:bidi="ar-EG"/>
        </w:rPr>
        <w:t>إجازة الوالدين المطبق</w:t>
      </w:r>
      <w:r w:rsidRPr="00F42324">
        <w:rPr>
          <w:rtl/>
          <w:lang w:bidi="ar-EG"/>
        </w:rPr>
        <w:t xml:space="preserve"> على نطاق </w:t>
      </w:r>
      <w:r>
        <w:rPr>
          <w:rFonts w:hint="cs"/>
          <w:rtl/>
          <w:lang w:bidi="ar-EG"/>
        </w:rPr>
        <w:t xml:space="preserve">منظومة </w:t>
      </w:r>
      <w:r w:rsidRPr="00F42324">
        <w:rPr>
          <w:rtl/>
          <w:lang w:bidi="ar-EG"/>
        </w:rPr>
        <w:t>الأمم المتحدة وتسمح بتوزيع أكثر عدالة للمسؤوليات بين كلا الوالدين</w:t>
      </w:r>
      <w:r>
        <w:rPr>
          <w:rFonts w:hint="cs"/>
          <w:rtl/>
          <w:lang w:bidi="ar-EG"/>
        </w:rPr>
        <w:t>.</w:t>
      </w:r>
    </w:p>
    <w:p w14:paraId="754CCEA6" w14:textId="5C254FC0" w:rsidR="0010082F" w:rsidRDefault="0010082F" w:rsidP="0010082F">
      <w:pPr>
        <w:pStyle w:val="Heading1"/>
        <w:rPr>
          <w:rtl/>
          <w:lang w:bidi="ar-EG"/>
        </w:rPr>
      </w:pPr>
      <w:r>
        <w:rPr>
          <w:lang w:bidi="ar-EG"/>
        </w:rPr>
        <w:t>4</w:t>
      </w:r>
      <w:r>
        <w:rPr>
          <w:rtl/>
          <w:lang w:bidi="ar-SY"/>
        </w:rPr>
        <w:tab/>
      </w:r>
      <w:r w:rsidR="007826D7">
        <w:rPr>
          <w:rFonts w:hint="cs"/>
          <w:rtl/>
          <w:lang w:bidi="ar-EG"/>
        </w:rPr>
        <w:t>النتائج</w:t>
      </w:r>
    </w:p>
    <w:p w14:paraId="140FFC63" w14:textId="2894DD06" w:rsidR="00B74B7E" w:rsidRDefault="00B74B7E" w:rsidP="00946A4E">
      <w:pPr>
        <w:rPr>
          <w:rtl/>
          <w:lang w:bidi="ar-EG"/>
        </w:rPr>
      </w:pPr>
      <w:r>
        <w:rPr>
          <w:rtl/>
          <w:lang w:bidi="ar-EG"/>
        </w:rPr>
        <w:t xml:space="preserve">على مدى السنوات الخمس والعشرين الماضية، أصبحت قضايا </w:t>
      </w:r>
      <w:r>
        <w:rPr>
          <w:rFonts w:hint="cs"/>
          <w:rtl/>
          <w:lang w:bidi="ar-EG"/>
        </w:rPr>
        <w:t>المساواة بين الجنسين</w:t>
      </w:r>
      <w:r>
        <w:rPr>
          <w:rtl/>
          <w:lang w:bidi="ar-EG"/>
        </w:rPr>
        <w:t xml:space="preserve"> أكثر بروزا</w:t>
      </w:r>
      <w:r>
        <w:rPr>
          <w:rFonts w:hint="cs"/>
          <w:rtl/>
          <w:lang w:bidi="ar-EG"/>
        </w:rPr>
        <w:t>ً</w:t>
      </w:r>
      <w:r>
        <w:rPr>
          <w:rtl/>
          <w:lang w:bidi="ar-EG"/>
        </w:rPr>
        <w:t xml:space="preserve"> في عمل الاتحاد، وازداد</w:t>
      </w:r>
      <w:r>
        <w:rPr>
          <w:rFonts w:hint="cs"/>
          <w:rtl/>
          <w:lang w:bidi="ar-EG"/>
        </w:rPr>
        <w:t>ت</w:t>
      </w:r>
      <w:r>
        <w:rPr>
          <w:rtl/>
          <w:lang w:bidi="ar-EG"/>
        </w:rPr>
        <w:t xml:space="preserve"> بشكل واضح الجهود المبذولة لزيادة الوعي وتعزيز مشاركة النساء والفتيات في قطاع تكنولوجيا المعلومات والاتصالات. ومع ذلك، لا تزال المساواة بين الجنسين في قطاع تكنولوجيا المعلومات والاتصالات تمثل تحديا</w:t>
      </w:r>
      <w:r>
        <w:rPr>
          <w:rFonts w:hint="cs"/>
          <w:rtl/>
          <w:lang w:bidi="ar-EG"/>
        </w:rPr>
        <w:t>ً</w:t>
      </w:r>
      <w:r>
        <w:rPr>
          <w:rtl/>
          <w:lang w:bidi="ar-EG"/>
        </w:rPr>
        <w:t xml:space="preserve"> مستمرا</w:t>
      </w:r>
      <w:r>
        <w:rPr>
          <w:rFonts w:hint="cs"/>
          <w:rtl/>
          <w:lang w:bidi="ar-EG"/>
        </w:rPr>
        <w:t>ً</w:t>
      </w:r>
      <w:r>
        <w:rPr>
          <w:rtl/>
          <w:lang w:bidi="ar-EG"/>
        </w:rPr>
        <w:t xml:space="preserve">. </w:t>
      </w:r>
      <w:r>
        <w:rPr>
          <w:rFonts w:hint="cs"/>
          <w:rtl/>
          <w:lang w:bidi="ar-EG"/>
        </w:rPr>
        <w:t>و</w:t>
      </w:r>
      <w:r>
        <w:rPr>
          <w:rtl/>
          <w:lang w:bidi="ar-EG"/>
        </w:rPr>
        <w:t xml:space="preserve">تكشف البيانات بشكل مخيب للآمال أن الجهود لم تسفر إلا عن نتائج محدودة، </w:t>
      </w:r>
      <w:r w:rsidR="00B0737A">
        <w:rPr>
          <w:rFonts w:hint="cs"/>
          <w:rtl/>
          <w:lang w:bidi="ar-EG"/>
        </w:rPr>
        <w:t xml:space="preserve">بل تراجعات، </w:t>
      </w:r>
      <w:r>
        <w:rPr>
          <w:rtl/>
          <w:lang w:bidi="ar-EG"/>
        </w:rPr>
        <w:t>في بعض الحالات.</w:t>
      </w:r>
    </w:p>
    <w:p w14:paraId="0A22DA25" w14:textId="71B8738D" w:rsidR="0010082F" w:rsidRDefault="00834CE3" w:rsidP="00946A4E">
      <w:pPr>
        <w:rPr>
          <w:rtl/>
          <w:lang w:bidi="ar-EG"/>
        </w:rPr>
      </w:pPr>
      <w:r>
        <w:rPr>
          <w:rFonts w:hint="cs"/>
          <w:rtl/>
          <w:lang w:bidi="ar-EG"/>
        </w:rPr>
        <w:t>و</w:t>
      </w:r>
      <w:r w:rsidR="00B74B7E">
        <w:rPr>
          <w:rtl/>
          <w:lang w:bidi="ar-EG"/>
        </w:rPr>
        <w:t xml:space="preserve">في حين تم إحراز بعض التقدم في سد الفجوة الرقمية بين الجنسين على الصعيد العالمي، فإن البلدان النامية تتراجع إلى الوراء. </w:t>
      </w:r>
      <w:r>
        <w:rPr>
          <w:rFonts w:hint="cs"/>
          <w:rtl/>
          <w:lang w:bidi="ar-EG"/>
        </w:rPr>
        <w:t>و</w:t>
      </w:r>
      <w:r w:rsidR="00B74B7E">
        <w:rPr>
          <w:rtl/>
          <w:lang w:bidi="ar-EG"/>
        </w:rPr>
        <w:t xml:space="preserve">زادت الفجوة بين الجنسين في استخدام الإنترنت بمقدار 20 مليون شخص، وتفوق الآن </w:t>
      </w:r>
      <w:r>
        <w:rPr>
          <w:rFonts w:hint="cs"/>
          <w:rtl/>
          <w:lang w:bidi="ar-EG"/>
        </w:rPr>
        <w:t>أ</w:t>
      </w:r>
      <w:r w:rsidR="00B74B7E">
        <w:rPr>
          <w:rtl/>
          <w:lang w:bidi="ar-EG"/>
        </w:rPr>
        <w:t>عد</w:t>
      </w:r>
      <w:r>
        <w:rPr>
          <w:rFonts w:hint="cs"/>
          <w:rtl/>
          <w:lang w:bidi="ar-EG"/>
        </w:rPr>
        <w:t>ا</w:t>
      </w:r>
      <w:r w:rsidR="00B74B7E">
        <w:rPr>
          <w:rtl/>
          <w:lang w:bidi="ar-EG"/>
        </w:rPr>
        <w:t xml:space="preserve">د النساء غير </w:t>
      </w:r>
      <w:r>
        <w:rPr>
          <w:rFonts w:hint="cs"/>
          <w:rtl/>
          <w:lang w:bidi="ar-EG"/>
        </w:rPr>
        <w:t>المستخدمات للإنترنت</w:t>
      </w:r>
      <w:r w:rsidR="00B74B7E">
        <w:rPr>
          <w:rtl/>
          <w:lang w:bidi="ar-EG"/>
        </w:rPr>
        <w:t xml:space="preserve"> </w:t>
      </w:r>
      <w:r>
        <w:rPr>
          <w:rFonts w:hint="cs"/>
          <w:rtl/>
          <w:lang w:bidi="ar-EG"/>
        </w:rPr>
        <w:t xml:space="preserve">أعداد </w:t>
      </w:r>
      <w:r w:rsidR="00B74B7E">
        <w:rPr>
          <w:rtl/>
          <w:lang w:bidi="ar-EG"/>
        </w:rPr>
        <w:t>الذكور غير المستخدمين بنسبة 18 في المائة، مقارنة ب</w:t>
      </w:r>
      <w:r>
        <w:rPr>
          <w:rFonts w:hint="cs"/>
          <w:rtl/>
          <w:lang w:bidi="ar-EG"/>
        </w:rPr>
        <w:t>نسبة</w:t>
      </w:r>
      <w:r w:rsidR="00B74B7E">
        <w:rPr>
          <w:rtl/>
          <w:lang w:bidi="ar-EG"/>
        </w:rPr>
        <w:t xml:space="preserve"> 11 في المائة في عام 2019. ولا تزال ملكية الهاتف المحمول دون تغيير تقريبا</w:t>
      </w:r>
      <w:r w:rsidR="00946A4E">
        <w:rPr>
          <w:rFonts w:hint="cs"/>
          <w:rtl/>
          <w:lang w:bidi="ar-EG"/>
        </w:rPr>
        <w:t>ً</w:t>
      </w:r>
      <w:r w:rsidR="00B74B7E">
        <w:rPr>
          <w:rtl/>
          <w:lang w:bidi="ar-EG"/>
        </w:rPr>
        <w:t xml:space="preserve"> عن عام 2019، حيث ت</w:t>
      </w:r>
      <w:r>
        <w:rPr>
          <w:rFonts w:hint="cs"/>
          <w:rtl/>
          <w:lang w:bidi="ar-EG"/>
        </w:rPr>
        <w:t>قل</w:t>
      </w:r>
      <w:r w:rsidR="00B74B7E">
        <w:rPr>
          <w:rtl/>
          <w:lang w:bidi="ar-EG"/>
        </w:rPr>
        <w:t xml:space="preserve"> نسبة النساء </w:t>
      </w:r>
      <w:r w:rsidR="00B56F59">
        <w:rPr>
          <w:rFonts w:hint="cs"/>
          <w:rtl/>
          <w:lang w:bidi="ar-EG"/>
        </w:rPr>
        <w:t>ال</w:t>
      </w:r>
      <w:r w:rsidR="00B74B7E">
        <w:rPr>
          <w:rtl/>
          <w:lang w:bidi="ar-EG"/>
        </w:rPr>
        <w:t>أقل احتمالا</w:t>
      </w:r>
      <w:r w:rsidR="00B56F59">
        <w:rPr>
          <w:rFonts w:hint="cs"/>
          <w:rtl/>
          <w:lang w:bidi="ar-EG"/>
        </w:rPr>
        <w:t>ً</w:t>
      </w:r>
      <w:r w:rsidR="00B74B7E">
        <w:rPr>
          <w:rtl/>
          <w:lang w:bidi="ar-EG"/>
        </w:rPr>
        <w:t xml:space="preserve"> لامتلاك الهواتف المحمولة </w:t>
      </w:r>
      <w:r w:rsidR="00B56F59" w:rsidRPr="00B56F59">
        <w:rPr>
          <w:rtl/>
          <w:lang w:bidi="ar-EG"/>
        </w:rPr>
        <w:t>بحوالي 12 في المائة</w:t>
      </w:r>
      <w:r w:rsidR="00B56F59">
        <w:rPr>
          <w:rFonts w:hint="cs"/>
          <w:rtl/>
          <w:lang w:bidi="ar-EG"/>
        </w:rPr>
        <w:t xml:space="preserve"> </w:t>
      </w:r>
      <w:r w:rsidR="00B74B7E">
        <w:rPr>
          <w:rtl/>
          <w:lang w:bidi="ar-EG"/>
        </w:rPr>
        <w:t xml:space="preserve">مقارنة بالرجال. </w:t>
      </w:r>
      <w:r w:rsidR="00B56F59">
        <w:rPr>
          <w:rFonts w:hint="cs"/>
          <w:rtl/>
          <w:lang w:bidi="ar-EG"/>
        </w:rPr>
        <w:t>و</w:t>
      </w:r>
      <w:r w:rsidR="00B74B7E">
        <w:rPr>
          <w:rtl/>
          <w:lang w:bidi="ar-EG"/>
        </w:rPr>
        <w:t>يفوق عدد النساء اللائي لا يمتلكن هواتف عدد الرجال بنسبة 39 في المائة في عام 2022.</w:t>
      </w:r>
    </w:p>
    <w:p w14:paraId="6EE816D3" w14:textId="16BA14D8" w:rsidR="0010082F" w:rsidRDefault="00B56F59" w:rsidP="00946A4E">
      <w:pPr>
        <w:rPr>
          <w:rtl/>
          <w:lang w:bidi="ar-EG"/>
        </w:rPr>
      </w:pPr>
      <w:r>
        <w:rPr>
          <w:rFonts w:hint="cs"/>
          <w:rtl/>
          <w:lang w:bidi="ar-EG"/>
        </w:rPr>
        <w:t>و</w:t>
      </w:r>
      <w:r w:rsidRPr="00B56F59">
        <w:rPr>
          <w:rtl/>
          <w:lang w:bidi="ar-EG"/>
        </w:rPr>
        <w:t>فيما يتعلق بالمشاركة في عمل الاتحاد، شهد مؤتمر المندوبين المفوضين لعام 2022 (</w:t>
      </w:r>
      <w:r w:rsidRPr="00B56F59">
        <w:rPr>
          <w:lang w:bidi="ar-EG"/>
        </w:rPr>
        <w:t>PP-22</w:t>
      </w:r>
      <w:r w:rsidRPr="00B56F59">
        <w:rPr>
          <w:rtl/>
          <w:lang w:bidi="ar-EG"/>
        </w:rPr>
        <w:t xml:space="preserve">) نسبة 34 في المائة من مشاركة </w:t>
      </w:r>
      <w:r w:rsidR="005B3F2C">
        <w:rPr>
          <w:rFonts w:hint="cs"/>
          <w:rtl/>
          <w:lang w:bidi="ar-EG"/>
        </w:rPr>
        <w:t>النساء</w:t>
      </w:r>
      <w:r w:rsidRPr="00B56F59">
        <w:rPr>
          <w:rtl/>
          <w:lang w:bidi="ar-EG"/>
        </w:rPr>
        <w:t>، وهو ما يق</w:t>
      </w:r>
      <w:r>
        <w:rPr>
          <w:rFonts w:hint="cs"/>
          <w:rtl/>
          <w:lang w:bidi="ar-EG"/>
        </w:rPr>
        <w:t>ترب</w:t>
      </w:r>
      <w:r w:rsidRPr="00B56F59">
        <w:rPr>
          <w:rtl/>
          <w:lang w:bidi="ar-EG"/>
        </w:rPr>
        <w:t xml:space="preserve"> </w:t>
      </w:r>
      <w:r>
        <w:rPr>
          <w:rFonts w:hint="cs"/>
          <w:rtl/>
          <w:lang w:bidi="ar-EG"/>
        </w:rPr>
        <w:t>م</w:t>
      </w:r>
      <w:r w:rsidRPr="00B56F59">
        <w:rPr>
          <w:rtl/>
          <w:lang w:bidi="ar-EG"/>
        </w:rPr>
        <w:t>ن الهدف البالغ 35 في المائة. ويعكس هذا تحسنا</w:t>
      </w:r>
      <w:r>
        <w:rPr>
          <w:rFonts w:hint="cs"/>
          <w:rtl/>
          <w:lang w:bidi="ar-EG"/>
        </w:rPr>
        <w:t>ً</w:t>
      </w:r>
      <w:r w:rsidRPr="00B56F59">
        <w:rPr>
          <w:rtl/>
          <w:lang w:bidi="ar-EG"/>
        </w:rPr>
        <w:t xml:space="preserve"> من 29 في المائة في</w:t>
      </w:r>
      <w:r>
        <w:rPr>
          <w:rFonts w:hint="cs"/>
          <w:rtl/>
          <w:lang w:bidi="ar-EG"/>
        </w:rPr>
        <w:t xml:space="preserve"> المؤتمر</w:t>
      </w:r>
      <w:r w:rsidRPr="00B56F59">
        <w:rPr>
          <w:rtl/>
          <w:lang w:bidi="ar-EG"/>
        </w:rPr>
        <w:t xml:space="preserve"> </w:t>
      </w:r>
      <w:r w:rsidRPr="00B56F59">
        <w:rPr>
          <w:lang w:bidi="ar-EG"/>
        </w:rPr>
        <w:t>PP-18</w:t>
      </w:r>
      <w:r w:rsidRPr="00B56F59">
        <w:rPr>
          <w:rtl/>
          <w:lang w:bidi="ar-EG"/>
        </w:rPr>
        <w:t xml:space="preserve"> و24 في المائة في</w:t>
      </w:r>
      <w:r>
        <w:rPr>
          <w:rFonts w:hint="cs"/>
          <w:rtl/>
          <w:lang w:bidi="ar-EG"/>
        </w:rPr>
        <w:t xml:space="preserve"> المؤتمر</w:t>
      </w:r>
      <w:r w:rsidRPr="00B56F59">
        <w:rPr>
          <w:rtl/>
          <w:lang w:bidi="ar-EG"/>
        </w:rPr>
        <w:t xml:space="preserve"> </w:t>
      </w:r>
      <w:r w:rsidRPr="00B56F59">
        <w:rPr>
          <w:lang w:bidi="ar-EG"/>
        </w:rPr>
        <w:t>PP-14</w:t>
      </w:r>
      <w:r w:rsidRPr="00B56F59">
        <w:rPr>
          <w:rtl/>
          <w:lang w:bidi="ar-EG"/>
        </w:rPr>
        <w:t xml:space="preserve">، ومع ذلك فإن معدل التحسن </w:t>
      </w:r>
      <w:r>
        <w:rPr>
          <w:rFonts w:hint="cs"/>
          <w:rtl/>
          <w:lang w:bidi="ar-EG"/>
        </w:rPr>
        <w:t>ليس بالجيد</w:t>
      </w:r>
      <w:r w:rsidRPr="00B56F59">
        <w:rPr>
          <w:rtl/>
          <w:lang w:bidi="ar-EG"/>
        </w:rPr>
        <w:t xml:space="preserve">، حيث </w:t>
      </w:r>
      <w:r>
        <w:rPr>
          <w:rFonts w:hint="cs"/>
          <w:rtl/>
          <w:lang w:bidi="ar-EG"/>
        </w:rPr>
        <w:t>ي</w:t>
      </w:r>
      <w:r w:rsidRPr="00B56F59">
        <w:rPr>
          <w:rtl/>
          <w:lang w:bidi="ar-EG"/>
        </w:rPr>
        <w:t xml:space="preserve">بلغ </w:t>
      </w:r>
      <w:r w:rsidR="00946A4E">
        <w:rPr>
          <w:lang w:bidi="ar-EG"/>
        </w:rPr>
        <w:t>1,24</w:t>
      </w:r>
      <w:r w:rsidRPr="00B56F59">
        <w:rPr>
          <w:rtl/>
          <w:lang w:bidi="ar-EG"/>
        </w:rPr>
        <w:t xml:space="preserve"> في المائة سنويا</w:t>
      </w:r>
      <w:r>
        <w:rPr>
          <w:rFonts w:hint="cs"/>
          <w:rtl/>
          <w:lang w:bidi="ar-EG"/>
        </w:rPr>
        <w:t>ً</w:t>
      </w:r>
      <w:r w:rsidRPr="00B56F59">
        <w:rPr>
          <w:rtl/>
          <w:lang w:bidi="ar-EG"/>
        </w:rPr>
        <w:t xml:space="preserve">. </w:t>
      </w:r>
      <w:r>
        <w:rPr>
          <w:rFonts w:hint="cs"/>
          <w:rtl/>
          <w:lang w:bidi="ar-EG"/>
        </w:rPr>
        <w:t>و</w:t>
      </w:r>
      <w:r w:rsidRPr="00B56F59">
        <w:rPr>
          <w:rtl/>
          <w:lang w:bidi="ar-EG"/>
        </w:rPr>
        <w:t>المشاركة ال</w:t>
      </w:r>
      <w:r>
        <w:rPr>
          <w:rFonts w:hint="cs"/>
          <w:rtl/>
          <w:lang w:bidi="ar-EG"/>
        </w:rPr>
        <w:t>حضورية</w:t>
      </w:r>
      <w:r w:rsidRPr="00B56F59">
        <w:rPr>
          <w:rtl/>
          <w:lang w:bidi="ar-EG"/>
        </w:rPr>
        <w:t xml:space="preserve"> في دورات المجلس لها تمثيل مماثل وتحسن على أساس سنوي: 36 في المائة في عام 2022، و35 في المائة في عام 2019، و32 في المائة في عام 2018، و28 في المائة في عام 2017، و29 في المائة في عام 2016، و28 في المائة في عام 2015، و27 في المائة في عام 2014، و28 في المائة في عام 2013. ودفع </w:t>
      </w:r>
      <w:r>
        <w:rPr>
          <w:rFonts w:hint="cs"/>
          <w:rtl/>
          <w:lang w:bidi="ar-EG"/>
        </w:rPr>
        <w:t>فتح</w:t>
      </w:r>
      <w:r w:rsidRPr="00B56F59">
        <w:rPr>
          <w:rtl/>
          <w:lang w:bidi="ar-EG"/>
        </w:rPr>
        <w:t xml:space="preserve"> الجلسات للمشاركة عن بُعد خلال جائحة </w:t>
      </w:r>
      <w:r>
        <w:rPr>
          <w:lang w:bidi="ar-EG"/>
        </w:rPr>
        <w:t>COVID-19</w:t>
      </w:r>
      <w:r>
        <w:rPr>
          <w:rFonts w:hint="cs"/>
          <w:rtl/>
          <w:lang w:bidi="ar-EG"/>
        </w:rPr>
        <w:t xml:space="preserve"> إلى</w:t>
      </w:r>
      <w:r w:rsidRPr="00B56F59">
        <w:rPr>
          <w:rtl/>
          <w:lang w:bidi="ar-EG"/>
        </w:rPr>
        <w:t xml:space="preserve"> مشاركة إجمالية قدرها 47 في المائة من النساء في دورة المجلس لعام 2022. وشهد المؤتمر العالمي لتنمية الاتصالات لعام 2022 نسبة 34 في المائة </w:t>
      </w:r>
      <w:r w:rsidRPr="00B56F59">
        <w:rPr>
          <w:rtl/>
          <w:lang w:bidi="ar-EG"/>
        </w:rPr>
        <w:lastRenderedPageBreak/>
        <w:t>من المشارك</w:t>
      </w:r>
      <w:r w:rsidR="005B3F2C">
        <w:rPr>
          <w:rFonts w:hint="cs"/>
          <w:rtl/>
          <w:lang w:bidi="ar-EG"/>
        </w:rPr>
        <w:t>ة</w:t>
      </w:r>
      <w:r w:rsidRPr="00B56F59">
        <w:rPr>
          <w:rtl/>
          <w:lang w:bidi="ar-EG"/>
        </w:rPr>
        <w:t xml:space="preserve"> ال</w:t>
      </w:r>
      <w:r>
        <w:rPr>
          <w:rFonts w:hint="cs"/>
          <w:rtl/>
          <w:lang w:bidi="ar-EG"/>
        </w:rPr>
        <w:t>حضورية</w:t>
      </w:r>
      <w:r w:rsidRPr="00B56F59">
        <w:rPr>
          <w:rtl/>
          <w:lang w:bidi="ar-EG"/>
        </w:rPr>
        <w:t xml:space="preserve"> </w:t>
      </w:r>
      <w:r w:rsidR="005B3F2C">
        <w:rPr>
          <w:rFonts w:hint="cs"/>
          <w:rtl/>
          <w:lang w:bidi="ar-EG"/>
        </w:rPr>
        <w:t>للنساء</w:t>
      </w:r>
      <w:r w:rsidRPr="00B56F59">
        <w:rPr>
          <w:rtl/>
          <w:lang w:bidi="ar-EG"/>
        </w:rPr>
        <w:t>، و36 في المائة بشكل عام عند تضمين المشارك</w:t>
      </w:r>
      <w:r>
        <w:rPr>
          <w:rFonts w:hint="cs"/>
          <w:rtl/>
          <w:lang w:bidi="ar-EG"/>
        </w:rPr>
        <w:t>ات</w:t>
      </w:r>
      <w:r w:rsidRPr="00B56F59">
        <w:rPr>
          <w:rtl/>
          <w:lang w:bidi="ar-EG"/>
        </w:rPr>
        <w:t xml:space="preserve"> عن بعد. </w:t>
      </w:r>
      <w:r>
        <w:rPr>
          <w:rFonts w:hint="cs"/>
          <w:rtl/>
          <w:lang w:bidi="ar-EG"/>
        </w:rPr>
        <w:t>و</w:t>
      </w:r>
      <w:r w:rsidRPr="00B56F59">
        <w:rPr>
          <w:rtl/>
          <w:lang w:bidi="ar-EG"/>
        </w:rPr>
        <w:t>شهدت الجمعية العالمية لتقييس الاتصالات لعام 2020 نسبة 30 في المائة من المشارك</w:t>
      </w:r>
      <w:r w:rsidR="005B3F2C">
        <w:rPr>
          <w:rFonts w:hint="cs"/>
          <w:rtl/>
          <w:lang w:bidi="ar-EG"/>
        </w:rPr>
        <w:t>ة</w:t>
      </w:r>
      <w:r w:rsidRPr="00B56F59">
        <w:rPr>
          <w:rtl/>
          <w:lang w:bidi="ar-EG"/>
        </w:rPr>
        <w:t xml:space="preserve"> ال</w:t>
      </w:r>
      <w:r>
        <w:rPr>
          <w:rFonts w:hint="cs"/>
          <w:rtl/>
          <w:lang w:bidi="ar-EG"/>
        </w:rPr>
        <w:t>حضورية</w:t>
      </w:r>
      <w:r w:rsidRPr="00B56F59">
        <w:rPr>
          <w:rtl/>
          <w:lang w:bidi="ar-EG"/>
        </w:rPr>
        <w:t xml:space="preserve"> </w:t>
      </w:r>
      <w:r w:rsidR="005B3F2C">
        <w:rPr>
          <w:rFonts w:hint="cs"/>
          <w:rtl/>
          <w:lang w:bidi="ar-EG"/>
        </w:rPr>
        <w:t>للنساء</w:t>
      </w:r>
      <w:r w:rsidRPr="00B56F59">
        <w:rPr>
          <w:rtl/>
          <w:lang w:bidi="ar-EG"/>
        </w:rPr>
        <w:t xml:space="preserve">، و32 في المائة عند تضمين </w:t>
      </w:r>
      <w:r w:rsidR="005B3F2C">
        <w:rPr>
          <w:rFonts w:hint="cs"/>
          <w:rtl/>
          <w:lang w:bidi="ar-EG"/>
        </w:rPr>
        <w:t>المشاركة</w:t>
      </w:r>
      <w:r w:rsidRPr="00B56F59">
        <w:rPr>
          <w:rtl/>
          <w:lang w:bidi="ar-EG"/>
        </w:rPr>
        <w:t xml:space="preserve"> عن بُعد. </w:t>
      </w:r>
      <w:r>
        <w:rPr>
          <w:rFonts w:hint="cs"/>
          <w:rtl/>
          <w:lang w:bidi="ar-EG"/>
        </w:rPr>
        <w:t xml:space="preserve">وسجل </w:t>
      </w:r>
      <w:r w:rsidRPr="00B56F59">
        <w:rPr>
          <w:rtl/>
          <w:lang w:bidi="ar-EG"/>
        </w:rPr>
        <w:t>المؤتمر العالمي للاتصالات الراديوية لعام 2019، عندما لم تكن المشاركة عن بعد م</w:t>
      </w:r>
      <w:r>
        <w:rPr>
          <w:rFonts w:hint="cs"/>
          <w:rtl/>
          <w:lang w:bidi="ar-EG"/>
        </w:rPr>
        <w:t>تاحة</w:t>
      </w:r>
      <w:r w:rsidRPr="00B56F59">
        <w:rPr>
          <w:rtl/>
          <w:lang w:bidi="ar-EG"/>
        </w:rPr>
        <w:t xml:space="preserve">، مشاركة </w:t>
      </w:r>
      <w:r w:rsidR="005B3F2C">
        <w:rPr>
          <w:rFonts w:hint="cs"/>
          <w:rtl/>
          <w:lang w:bidi="ar-EG"/>
        </w:rPr>
        <w:t>للنساء</w:t>
      </w:r>
      <w:r w:rsidR="00474AA6">
        <w:rPr>
          <w:rFonts w:hint="cs"/>
          <w:rtl/>
          <w:lang w:bidi="ar-EG"/>
        </w:rPr>
        <w:t xml:space="preserve"> بنسبة</w:t>
      </w:r>
      <w:r w:rsidRPr="00B56F59">
        <w:rPr>
          <w:rtl/>
          <w:lang w:bidi="ar-EG"/>
        </w:rPr>
        <w:t xml:space="preserve"> 18 في المائة.</w:t>
      </w:r>
      <w:r w:rsidR="0010082F">
        <w:rPr>
          <w:rFonts w:hint="cs"/>
          <w:rtl/>
          <w:lang w:bidi="ar-EG"/>
        </w:rPr>
        <w:t xml:space="preserve"> </w:t>
      </w:r>
    </w:p>
    <w:p w14:paraId="0A1E899A" w14:textId="6532ACAF" w:rsidR="0010082F" w:rsidRDefault="00327E7A" w:rsidP="00946A4E">
      <w:pPr>
        <w:spacing w:after="120"/>
        <w:rPr>
          <w:rtl/>
          <w:lang w:bidi="ar-EG"/>
        </w:rPr>
      </w:pPr>
      <w:r>
        <w:rPr>
          <w:rFonts w:hint="cs"/>
          <w:rtl/>
          <w:lang w:bidi="ar-EG"/>
        </w:rPr>
        <w:t>و</w:t>
      </w:r>
      <w:r w:rsidR="00474AA6" w:rsidRPr="00474AA6">
        <w:rPr>
          <w:rtl/>
          <w:lang w:bidi="ar-EG"/>
        </w:rPr>
        <w:t xml:space="preserve">لا يوجد سوى أربع نساء في </w:t>
      </w:r>
      <w:r>
        <w:rPr>
          <w:rFonts w:hint="cs"/>
          <w:rtl/>
          <w:lang w:bidi="ar-EG"/>
        </w:rPr>
        <w:t>ال</w:t>
      </w:r>
      <w:r w:rsidR="00474AA6" w:rsidRPr="00474AA6">
        <w:rPr>
          <w:rtl/>
          <w:lang w:bidi="ar-EG"/>
        </w:rPr>
        <w:t xml:space="preserve">وظائف من رتبة </w:t>
      </w:r>
      <w:r w:rsidR="00474AA6" w:rsidRPr="00474AA6">
        <w:rPr>
          <w:lang w:bidi="ar-EG"/>
        </w:rPr>
        <w:t>D1</w:t>
      </w:r>
      <w:r w:rsidR="00474AA6" w:rsidRPr="00474AA6">
        <w:rPr>
          <w:rtl/>
          <w:lang w:bidi="ar-EG"/>
        </w:rPr>
        <w:t xml:space="preserve">. وهذا هو أهم تحول حيث تشغل النساء الآن 21 في المائة من </w:t>
      </w:r>
      <w:r>
        <w:rPr>
          <w:rFonts w:hint="cs"/>
          <w:rtl/>
          <w:lang w:bidi="ar-EG"/>
        </w:rPr>
        <w:t>ال</w:t>
      </w:r>
      <w:r w:rsidR="00474AA6" w:rsidRPr="00474AA6">
        <w:rPr>
          <w:rtl/>
          <w:lang w:bidi="ar-EG"/>
        </w:rPr>
        <w:t xml:space="preserve">وظائف </w:t>
      </w:r>
      <w:r>
        <w:rPr>
          <w:rFonts w:hint="cs"/>
          <w:rtl/>
          <w:lang w:bidi="ar-EG"/>
        </w:rPr>
        <w:t xml:space="preserve">من رتبة </w:t>
      </w:r>
      <w:r>
        <w:rPr>
          <w:lang w:bidi="ar-EG"/>
        </w:rPr>
        <w:t>D1</w:t>
      </w:r>
      <w:r w:rsidR="00474AA6" w:rsidRPr="00474AA6">
        <w:rPr>
          <w:rtl/>
          <w:lang w:bidi="ar-EG"/>
        </w:rPr>
        <w:t xml:space="preserve">، لكن التطور غير مرضٍ، حيث تشغل النساء 43 في المائة من </w:t>
      </w:r>
      <w:r>
        <w:rPr>
          <w:rFonts w:hint="cs"/>
          <w:rtl/>
          <w:lang w:bidi="ar-EG"/>
        </w:rPr>
        <w:t>ال</w:t>
      </w:r>
      <w:r w:rsidR="00474AA6" w:rsidRPr="00474AA6">
        <w:rPr>
          <w:rtl/>
          <w:lang w:bidi="ar-EG"/>
        </w:rPr>
        <w:t xml:space="preserve">وظائف </w:t>
      </w:r>
      <w:r>
        <w:rPr>
          <w:rFonts w:hint="cs"/>
          <w:rtl/>
          <w:lang w:bidi="ar-EG"/>
        </w:rPr>
        <w:t xml:space="preserve">من رتبة </w:t>
      </w:r>
      <w:r>
        <w:rPr>
          <w:lang w:bidi="ar-EG"/>
        </w:rPr>
        <w:t>D1</w:t>
      </w:r>
      <w:r w:rsidR="00474AA6" w:rsidRPr="00474AA6">
        <w:rPr>
          <w:rtl/>
          <w:lang w:bidi="ar-EG"/>
        </w:rPr>
        <w:t xml:space="preserve"> على نطاق المنظومة في المتوسط. </w:t>
      </w:r>
      <w:r>
        <w:rPr>
          <w:rFonts w:hint="cs"/>
          <w:rtl/>
          <w:lang w:bidi="ar-EG"/>
        </w:rPr>
        <w:t>وخلال</w:t>
      </w:r>
      <w:r w:rsidR="00474AA6" w:rsidRPr="00474AA6">
        <w:rPr>
          <w:rtl/>
          <w:lang w:bidi="ar-EG"/>
        </w:rPr>
        <w:t xml:space="preserve"> فترة العشر سنوات السابقة من عام 2008 إلى عام 2017، ارتفع تمثيل المرأة في </w:t>
      </w:r>
      <w:r>
        <w:rPr>
          <w:rFonts w:hint="cs"/>
          <w:rtl/>
          <w:lang w:bidi="ar-EG"/>
        </w:rPr>
        <w:t xml:space="preserve">فئتي </w:t>
      </w:r>
      <w:r w:rsidR="00474AA6" w:rsidRPr="00474AA6">
        <w:rPr>
          <w:rtl/>
          <w:lang w:bidi="ar-EG"/>
        </w:rPr>
        <w:t xml:space="preserve">الوظائف المهنية والعليا من 33 في المائة في عام 2008 إلى 36 في المائة في عام 2013 وإلى 39 في المائة في عام 2017، مما أدى إلى 6 في المائة زيادة إجمالية، بمتوسط </w:t>
      </w:r>
      <w:r w:rsidR="00946A4E">
        <w:rPr>
          <w:lang w:bidi="ar-EG"/>
        </w:rPr>
        <w:t>0,6</w:t>
      </w:r>
      <w:r w:rsidR="00474AA6" w:rsidRPr="00474AA6">
        <w:rPr>
          <w:rtl/>
          <w:lang w:bidi="ar-EG"/>
        </w:rPr>
        <w:t xml:space="preserve"> في المائة</w:t>
      </w:r>
      <w:r>
        <w:rPr>
          <w:rFonts w:hint="cs"/>
          <w:rtl/>
          <w:lang w:bidi="ar-EG"/>
        </w:rPr>
        <w:t xml:space="preserve"> في ال</w:t>
      </w:r>
      <w:r w:rsidR="00474AA6" w:rsidRPr="00474AA6">
        <w:rPr>
          <w:rtl/>
          <w:lang w:bidi="ar-EG"/>
        </w:rPr>
        <w:t>سنة</w:t>
      </w:r>
      <w:r w:rsidR="0010082F">
        <w:rPr>
          <w:rFonts w:hint="cs"/>
          <w:rtl/>
          <w:lang w:bidi="ar-EG"/>
        </w:rPr>
        <w:t>.</w:t>
      </w:r>
      <w:r w:rsidR="00974BEB">
        <w:rPr>
          <w:rStyle w:val="FootnoteReference"/>
          <w:rtl/>
          <w:lang w:bidi="ar-EG"/>
        </w:rPr>
        <w:footnoteReference w:id="4"/>
      </w:r>
      <w:r w:rsidR="00974BEB">
        <w:rPr>
          <w:rFonts w:hint="cs"/>
          <w:rtl/>
          <w:lang w:bidi="ar-EG"/>
        </w:rPr>
        <w:t xml:space="preserve"> </w:t>
      </w:r>
      <w:r w:rsidRPr="00327E7A">
        <w:rPr>
          <w:rtl/>
          <w:lang w:bidi="ar-EG"/>
        </w:rPr>
        <w:t>و</w:t>
      </w:r>
      <w:r>
        <w:rPr>
          <w:rFonts w:hint="cs"/>
          <w:rtl/>
          <w:lang w:bidi="ar-EG"/>
        </w:rPr>
        <w:t xml:space="preserve">يعد </w:t>
      </w:r>
      <w:r w:rsidRPr="00327E7A">
        <w:rPr>
          <w:rtl/>
          <w:lang w:bidi="ar-EG"/>
        </w:rPr>
        <w:t>هذا انخفاض</w:t>
      </w:r>
      <w:r>
        <w:rPr>
          <w:rFonts w:hint="cs"/>
          <w:rtl/>
          <w:lang w:bidi="ar-EG"/>
        </w:rPr>
        <w:t>اً</w:t>
      </w:r>
      <w:r w:rsidRPr="00327E7A">
        <w:rPr>
          <w:rtl/>
          <w:lang w:bidi="ar-EG"/>
        </w:rPr>
        <w:t xml:space="preserve"> طفيف</w:t>
      </w:r>
      <w:r>
        <w:rPr>
          <w:rFonts w:hint="cs"/>
          <w:rtl/>
          <w:lang w:bidi="ar-EG"/>
        </w:rPr>
        <w:t>اً</w:t>
      </w:r>
      <w:r w:rsidRPr="00327E7A">
        <w:rPr>
          <w:rtl/>
          <w:lang w:bidi="ar-EG"/>
        </w:rPr>
        <w:t xml:space="preserve"> عند النظر في جميع النساء في فئتي الوظائف المهنية والعليا على مدى السنوات الخمس لاستراتيجية التكافؤ بين الجنسين على نطاق </w:t>
      </w:r>
      <w:r>
        <w:rPr>
          <w:rFonts w:hint="cs"/>
          <w:rtl/>
          <w:lang w:bidi="ar-EG"/>
        </w:rPr>
        <w:t xml:space="preserve">منظومة </w:t>
      </w:r>
      <w:r w:rsidRPr="00327E7A">
        <w:rPr>
          <w:rtl/>
          <w:lang w:bidi="ar-EG"/>
        </w:rPr>
        <w:t>الأمم المتحدة ومقارنة بمتوسط فترة السنوات العشر السابقة.</w:t>
      </w:r>
    </w:p>
    <w:tbl>
      <w:tblPr>
        <w:tblStyle w:val="TableGrid1"/>
        <w:bidiVisual/>
        <w:tblW w:w="5000" w:type="pct"/>
        <w:jc w:val="right"/>
        <w:tblLook w:val="04A0" w:firstRow="1" w:lastRow="0" w:firstColumn="1" w:lastColumn="0" w:noHBand="0" w:noVBand="1"/>
      </w:tblPr>
      <w:tblGrid>
        <w:gridCol w:w="2319"/>
        <w:gridCol w:w="2320"/>
        <w:gridCol w:w="2320"/>
        <w:gridCol w:w="2670"/>
      </w:tblGrid>
      <w:tr w:rsidR="00FC1D99" w:rsidRPr="00946A4E" w14:paraId="6E00339B" w14:textId="77777777" w:rsidTr="00FC1D99">
        <w:trPr>
          <w:jc w:val="right"/>
        </w:trPr>
        <w:tc>
          <w:tcPr>
            <w:tcW w:w="2319" w:type="dxa"/>
          </w:tcPr>
          <w:p w14:paraId="0D167D33" w14:textId="6204A284" w:rsidR="00FC1D99" w:rsidRPr="00946A4E" w:rsidRDefault="005B3F2C" w:rsidP="00946A4E">
            <w:pPr>
              <w:spacing w:before="40" w:after="40" w:line="240" w:lineRule="exact"/>
              <w:rPr>
                <w:sz w:val="20"/>
                <w:szCs w:val="20"/>
              </w:rPr>
            </w:pPr>
            <w:r w:rsidRPr="00946A4E">
              <w:rPr>
                <w:rFonts w:hint="cs"/>
                <w:sz w:val="20"/>
                <w:szCs w:val="20"/>
                <w:rtl/>
              </w:rPr>
              <w:t>فئتا</w:t>
            </w:r>
            <w:r w:rsidR="00327E7A" w:rsidRPr="00946A4E">
              <w:rPr>
                <w:sz w:val="20"/>
                <w:szCs w:val="20"/>
                <w:rtl/>
              </w:rPr>
              <w:t xml:space="preserve"> الوظائف المهنية والعليا</w:t>
            </w:r>
          </w:p>
        </w:tc>
        <w:tc>
          <w:tcPr>
            <w:tcW w:w="2320" w:type="dxa"/>
          </w:tcPr>
          <w:p w14:paraId="32CDD0E4" w14:textId="41E81218" w:rsidR="00FC1D99" w:rsidRPr="00946A4E" w:rsidRDefault="00FC1D99" w:rsidP="00FC1D99">
            <w:pPr>
              <w:spacing w:before="40" w:after="40" w:line="240" w:lineRule="exact"/>
              <w:rPr>
                <w:sz w:val="20"/>
                <w:szCs w:val="20"/>
                <w:rtl/>
                <w:lang w:bidi="ar-SY"/>
              </w:rPr>
            </w:pPr>
            <w:r w:rsidRPr="00946A4E">
              <w:rPr>
                <w:sz w:val="20"/>
                <w:szCs w:val="20"/>
              </w:rPr>
              <w:t>2018</w:t>
            </w:r>
            <w:r w:rsidRPr="00946A4E">
              <w:rPr>
                <w:rFonts w:hint="cs"/>
                <w:sz w:val="20"/>
                <w:szCs w:val="20"/>
                <w:rtl/>
                <w:lang w:bidi="ar-SY"/>
              </w:rPr>
              <w:t xml:space="preserve"> (</w:t>
            </w:r>
            <w:r w:rsidR="00327E7A" w:rsidRPr="00946A4E">
              <w:rPr>
                <w:rFonts w:hint="cs"/>
                <w:sz w:val="20"/>
                <w:szCs w:val="20"/>
                <w:rtl/>
                <w:lang w:bidi="ar-SY"/>
              </w:rPr>
              <w:t>عدد النساء/</w:t>
            </w:r>
            <w:r w:rsidR="005B3F2C" w:rsidRPr="00946A4E">
              <w:rPr>
                <w:rFonts w:hint="cs"/>
                <w:sz w:val="20"/>
                <w:szCs w:val="20"/>
                <w:rtl/>
                <w:lang w:bidi="ar-SY"/>
              </w:rPr>
              <w:t>الرجال</w:t>
            </w:r>
            <w:r w:rsidRPr="00946A4E">
              <w:rPr>
                <w:rFonts w:hint="cs"/>
                <w:sz w:val="20"/>
                <w:szCs w:val="20"/>
                <w:rtl/>
                <w:lang w:bidi="ar-SY"/>
              </w:rPr>
              <w:t>)</w:t>
            </w:r>
          </w:p>
        </w:tc>
        <w:tc>
          <w:tcPr>
            <w:tcW w:w="2320" w:type="dxa"/>
          </w:tcPr>
          <w:p w14:paraId="1CD3799F" w14:textId="7F0B0CF7" w:rsidR="00FC1D99" w:rsidRPr="00946A4E" w:rsidRDefault="00FC1D99" w:rsidP="00FC1D99">
            <w:pPr>
              <w:spacing w:before="40" w:after="40" w:line="240" w:lineRule="exact"/>
              <w:rPr>
                <w:sz w:val="20"/>
                <w:szCs w:val="20"/>
              </w:rPr>
            </w:pPr>
            <w:r w:rsidRPr="00946A4E">
              <w:rPr>
                <w:sz w:val="20"/>
                <w:szCs w:val="20"/>
                <w:lang w:val="en-US" w:bidi="ar-SY"/>
              </w:rPr>
              <w:t>2022</w:t>
            </w:r>
            <w:r w:rsidRPr="00946A4E">
              <w:rPr>
                <w:rFonts w:hint="cs"/>
                <w:sz w:val="20"/>
                <w:szCs w:val="20"/>
                <w:rtl/>
                <w:lang w:val="en-US" w:bidi="ar-SY"/>
              </w:rPr>
              <w:t xml:space="preserve"> </w:t>
            </w:r>
            <w:r w:rsidR="00327E7A" w:rsidRPr="00946A4E">
              <w:rPr>
                <w:sz w:val="20"/>
                <w:szCs w:val="20"/>
                <w:rtl/>
                <w:lang w:bidi="ar-SY"/>
              </w:rPr>
              <w:t>(عدد النساء/</w:t>
            </w:r>
            <w:r w:rsidR="005B3F2C" w:rsidRPr="00946A4E">
              <w:rPr>
                <w:rFonts w:hint="cs"/>
                <w:sz w:val="20"/>
                <w:szCs w:val="20"/>
                <w:rtl/>
                <w:lang w:bidi="ar-SY"/>
              </w:rPr>
              <w:t>الرجال</w:t>
            </w:r>
            <w:r w:rsidR="00327E7A" w:rsidRPr="00946A4E">
              <w:rPr>
                <w:sz w:val="20"/>
                <w:szCs w:val="20"/>
                <w:rtl/>
                <w:lang w:bidi="ar-SY"/>
              </w:rPr>
              <w:t>)</w:t>
            </w:r>
          </w:p>
        </w:tc>
        <w:tc>
          <w:tcPr>
            <w:tcW w:w="2670" w:type="dxa"/>
          </w:tcPr>
          <w:p w14:paraId="77ED847A" w14:textId="65FD5AC3" w:rsidR="00FC1D99" w:rsidRPr="00946A4E" w:rsidRDefault="005B3F2C" w:rsidP="00FC1D99">
            <w:pPr>
              <w:spacing w:before="40" w:after="40" w:line="240" w:lineRule="exact"/>
              <w:rPr>
                <w:sz w:val="20"/>
                <w:szCs w:val="20"/>
              </w:rPr>
            </w:pPr>
            <w:r w:rsidRPr="00946A4E">
              <w:rPr>
                <w:rFonts w:hint="cs"/>
                <w:sz w:val="20"/>
                <w:szCs w:val="20"/>
                <w:rtl/>
              </w:rPr>
              <w:t>النسبة المئوية للتغير</w:t>
            </w:r>
          </w:p>
        </w:tc>
      </w:tr>
      <w:tr w:rsidR="00FC1D99" w:rsidRPr="00946A4E" w14:paraId="64DD9B65" w14:textId="77777777" w:rsidTr="00FC1D99">
        <w:trPr>
          <w:jc w:val="right"/>
        </w:trPr>
        <w:tc>
          <w:tcPr>
            <w:tcW w:w="2319" w:type="dxa"/>
          </w:tcPr>
          <w:p w14:paraId="18C8A1BE" w14:textId="77777777" w:rsidR="00FC1D99" w:rsidRPr="00946A4E" w:rsidRDefault="00FC1D99" w:rsidP="00FC1D99">
            <w:pPr>
              <w:spacing w:before="40" w:after="40" w:line="240" w:lineRule="exact"/>
              <w:rPr>
                <w:sz w:val="20"/>
                <w:szCs w:val="20"/>
              </w:rPr>
            </w:pPr>
            <w:bookmarkStart w:id="1" w:name="lt_pId120"/>
            <w:r w:rsidRPr="00946A4E">
              <w:rPr>
                <w:sz w:val="20"/>
                <w:szCs w:val="20"/>
              </w:rPr>
              <w:t>D2</w:t>
            </w:r>
            <w:bookmarkEnd w:id="1"/>
          </w:p>
        </w:tc>
        <w:tc>
          <w:tcPr>
            <w:tcW w:w="2320" w:type="dxa"/>
          </w:tcPr>
          <w:p w14:paraId="63F1C72B" w14:textId="6BA8D3AF" w:rsidR="00FC1D99" w:rsidRPr="00946A4E" w:rsidRDefault="00FC1D99" w:rsidP="00FC1D99">
            <w:pPr>
              <w:spacing w:before="40" w:after="40" w:line="240" w:lineRule="exact"/>
              <w:rPr>
                <w:sz w:val="20"/>
                <w:szCs w:val="20"/>
              </w:rPr>
            </w:pPr>
            <w:r w:rsidRPr="00946A4E">
              <w:rPr>
                <w:sz w:val="20"/>
                <w:szCs w:val="20"/>
              </w:rPr>
              <w:t>%25</w:t>
            </w:r>
            <w:r w:rsidRPr="00946A4E">
              <w:rPr>
                <w:rFonts w:hint="cs"/>
                <w:sz w:val="20"/>
                <w:szCs w:val="20"/>
                <w:rtl/>
              </w:rPr>
              <w:t xml:space="preserve"> </w:t>
            </w:r>
            <w:r w:rsidRPr="00946A4E">
              <w:rPr>
                <w:sz w:val="20"/>
                <w:szCs w:val="20"/>
              </w:rPr>
              <w:t>(1|3)</w:t>
            </w:r>
          </w:p>
        </w:tc>
        <w:tc>
          <w:tcPr>
            <w:tcW w:w="2320" w:type="dxa"/>
          </w:tcPr>
          <w:p w14:paraId="4D72B1F5" w14:textId="57E60CF2" w:rsidR="00FC1D99" w:rsidRPr="00946A4E" w:rsidRDefault="00FC1D99" w:rsidP="00FC1D99">
            <w:pPr>
              <w:spacing w:before="40" w:after="40" w:line="240" w:lineRule="exact"/>
              <w:rPr>
                <w:sz w:val="20"/>
                <w:szCs w:val="20"/>
              </w:rPr>
            </w:pPr>
            <w:r w:rsidRPr="00946A4E">
              <w:rPr>
                <w:sz w:val="20"/>
                <w:szCs w:val="20"/>
              </w:rPr>
              <w:t>%33,3</w:t>
            </w:r>
            <w:r w:rsidRPr="00946A4E">
              <w:rPr>
                <w:rFonts w:hint="cs"/>
                <w:sz w:val="20"/>
                <w:szCs w:val="20"/>
                <w:rtl/>
              </w:rPr>
              <w:t xml:space="preserve"> </w:t>
            </w:r>
            <w:r w:rsidRPr="00946A4E">
              <w:rPr>
                <w:sz w:val="20"/>
                <w:szCs w:val="20"/>
              </w:rPr>
              <w:t>(1|2)</w:t>
            </w:r>
          </w:p>
        </w:tc>
        <w:tc>
          <w:tcPr>
            <w:tcW w:w="2670" w:type="dxa"/>
          </w:tcPr>
          <w:p w14:paraId="4421EF14" w14:textId="3A0C0418" w:rsidR="00FC1D99" w:rsidRPr="00946A4E" w:rsidRDefault="00FC1D99" w:rsidP="00FC1D99">
            <w:pPr>
              <w:spacing w:before="40" w:after="40" w:line="240" w:lineRule="exact"/>
              <w:rPr>
                <w:sz w:val="20"/>
                <w:szCs w:val="20"/>
              </w:rPr>
            </w:pPr>
            <w:r w:rsidRPr="00946A4E">
              <w:rPr>
                <w:sz w:val="20"/>
                <w:szCs w:val="20"/>
              </w:rPr>
              <w:t>8,3</w:t>
            </w:r>
          </w:p>
        </w:tc>
      </w:tr>
      <w:tr w:rsidR="00FC1D99" w:rsidRPr="00946A4E" w14:paraId="4D3DD5DD" w14:textId="77777777" w:rsidTr="00FC1D99">
        <w:trPr>
          <w:jc w:val="right"/>
        </w:trPr>
        <w:tc>
          <w:tcPr>
            <w:tcW w:w="2319" w:type="dxa"/>
          </w:tcPr>
          <w:p w14:paraId="249F5652" w14:textId="77777777" w:rsidR="00FC1D99" w:rsidRPr="00946A4E" w:rsidRDefault="00FC1D99" w:rsidP="00FC1D99">
            <w:pPr>
              <w:spacing w:before="40" w:after="40" w:line="240" w:lineRule="exact"/>
              <w:rPr>
                <w:sz w:val="20"/>
                <w:szCs w:val="20"/>
              </w:rPr>
            </w:pPr>
            <w:bookmarkStart w:id="2" w:name="lt_pId124"/>
            <w:r w:rsidRPr="00946A4E">
              <w:rPr>
                <w:sz w:val="20"/>
                <w:szCs w:val="20"/>
              </w:rPr>
              <w:t>D1</w:t>
            </w:r>
            <w:bookmarkEnd w:id="2"/>
          </w:p>
        </w:tc>
        <w:tc>
          <w:tcPr>
            <w:tcW w:w="2320" w:type="dxa"/>
          </w:tcPr>
          <w:p w14:paraId="0FBF5F75" w14:textId="32D6C0D6" w:rsidR="00FC1D99" w:rsidRPr="00946A4E" w:rsidRDefault="00FC1D99" w:rsidP="00FC1D99">
            <w:pPr>
              <w:spacing w:before="40" w:after="40" w:line="240" w:lineRule="exact"/>
              <w:rPr>
                <w:sz w:val="20"/>
                <w:szCs w:val="20"/>
              </w:rPr>
            </w:pPr>
            <w:r w:rsidRPr="00946A4E">
              <w:rPr>
                <w:sz w:val="20"/>
                <w:szCs w:val="20"/>
              </w:rPr>
              <w:t>%6,3</w:t>
            </w:r>
            <w:r w:rsidRPr="00946A4E">
              <w:rPr>
                <w:rFonts w:hint="cs"/>
                <w:sz w:val="20"/>
                <w:szCs w:val="20"/>
                <w:rtl/>
              </w:rPr>
              <w:t xml:space="preserve"> </w:t>
            </w:r>
            <w:r w:rsidRPr="00946A4E">
              <w:rPr>
                <w:sz w:val="20"/>
                <w:szCs w:val="20"/>
              </w:rPr>
              <w:t>(1|15)</w:t>
            </w:r>
          </w:p>
        </w:tc>
        <w:tc>
          <w:tcPr>
            <w:tcW w:w="2320" w:type="dxa"/>
          </w:tcPr>
          <w:p w14:paraId="3BBDD2E9" w14:textId="7FD2C29A" w:rsidR="00FC1D99" w:rsidRPr="00946A4E" w:rsidRDefault="00FC1D99" w:rsidP="00FC1D99">
            <w:pPr>
              <w:spacing w:before="40" w:after="40" w:line="240" w:lineRule="exact"/>
              <w:rPr>
                <w:sz w:val="20"/>
                <w:szCs w:val="20"/>
              </w:rPr>
            </w:pPr>
            <w:r w:rsidRPr="00946A4E">
              <w:rPr>
                <w:sz w:val="20"/>
                <w:szCs w:val="20"/>
              </w:rPr>
              <w:t>%21</w:t>
            </w:r>
            <w:r w:rsidRPr="00946A4E">
              <w:rPr>
                <w:rFonts w:hint="cs"/>
                <w:sz w:val="20"/>
                <w:szCs w:val="20"/>
                <w:rtl/>
              </w:rPr>
              <w:t xml:space="preserve"> </w:t>
            </w:r>
            <w:r w:rsidRPr="00946A4E">
              <w:rPr>
                <w:sz w:val="20"/>
                <w:szCs w:val="20"/>
              </w:rPr>
              <w:t>(4|15)</w:t>
            </w:r>
          </w:p>
        </w:tc>
        <w:tc>
          <w:tcPr>
            <w:tcW w:w="2670" w:type="dxa"/>
          </w:tcPr>
          <w:p w14:paraId="7C511274" w14:textId="13DC70DC" w:rsidR="00FC1D99" w:rsidRPr="00946A4E" w:rsidRDefault="00FC1D99" w:rsidP="00FC1D99">
            <w:pPr>
              <w:spacing w:before="40" w:after="40" w:line="240" w:lineRule="exact"/>
              <w:rPr>
                <w:sz w:val="20"/>
                <w:szCs w:val="20"/>
              </w:rPr>
            </w:pPr>
            <w:r w:rsidRPr="00946A4E">
              <w:rPr>
                <w:sz w:val="20"/>
                <w:szCs w:val="20"/>
              </w:rPr>
              <w:t>15,9</w:t>
            </w:r>
          </w:p>
        </w:tc>
      </w:tr>
      <w:tr w:rsidR="00FC1D99" w:rsidRPr="00946A4E" w14:paraId="03DAD1EA" w14:textId="77777777" w:rsidTr="00FC1D99">
        <w:trPr>
          <w:jc w:val="right"/>
        </w:trPr>
        <w:tc>
          <w:tcPr>
            <w:tcW w:w="2319" w:type="dxa"/>
          </w:tcPr>
          <w:p w14:paraId="58426483" w14:textId="77777777" w:rsidR="00FC1D99" w:rsidRPr="00946A4E" w:rsidRDefault="00FC1D99" w:rsidP="00FC1D99">
            <w:pPr>
              <w:spacing w:before="40" w:after="40" w:line="240" w:lineRule="exact"/>
              <w:rPr>
                <w:sz w:val="20"/>
                <w:szCs w:val="20"/>
              </w:rPr>
            </w:pPr>
            <w:bookmarkStart w:id="3" w:name="lt_pId128"/>
            <w:r w:rsidRPr="00946A4E">
              <w:rPr>
                <w:sz w:val="20"/>
                <w:szCs w:val="20"/>
              </w:rPr>
              <w:t>P5</w:t>
            </w:r>
            <w:bookmarkEnd w:id="3"/>
          </w:p>
        </w:tc>
        <w:tc>
          <w:tcPr>
            <w:tcW w:w="2320" w:type="dxa"/>
          </w:tcPr>
          <w:p w14:paraId="0616DEA5" w14:textId="3659DB1F" w:rsidR="00FC1D99" w:rsidRPr="00946A4E" w:rsidRDefault="00FC1D99" w:rsidP="00FC1D99">
            <w:pPr>
              <w:spacing w:before="40" w:after="40" w:line="240" w:lineRule="exact"/>
              <w:rPr>
                <w:sz w:val="20"/>
                <w:szCs w:val="20"/>
              </w:rPr>
            </w:pPr>
            <w:r w:rsidRPr="00946A4E">
              <w:rPr>
                <w:sz w:val="20"/>
                <w:szCs w:val="20"/>
              </w:rPr>
              <w:t>%30,3</w:t>
            </w:r>
            <w:r w:rsidRPr="00946A4E">
              <w:rPr>
                <w:rFonts w:hint="cs"/>
                <w:sz w:val="20"/>
                <w:szCs w:val="20"/>
                <w:rtl/>
              </w:rPr>
              <w:t xml:space="preserve"> </w:t>
            </w:r>
            <w:r w:rsidRPr="00946A4E">
              <w:rPr>
                <w:sz w:val="20"/>
                <w:szCs w:val="20"/>
              </w:rPr>
              <w:t>(23|53)</w:t>
            </w:r>
          </w:p>
        </w:tc>
        <w:tc>
          <w:tcPr>
            <w:tcW w:w="2320" w:type="dxa"/>
          </w:tcPr>
          <w:p w14:paraId="36680661" w14:textId="4A040DD3" w:rsidR="00FC1D99" w:rsidRPr="00946A4E" w:rsidRDefault="00FC1D99" w:rsidP="00FC1D99">
            <w:pPr>
              <w:spacing w:before="40" w:after="40" w:line="240" w:lineRule="exact"/>
              <w:rPr>
                <w:sz w:val="20"/>
                <w:szCs w:val="20"/>
              </w:rPr>
            </w:pPr>
            <w:r w:rsidRPr="00946A4E">
              <w:rPr>
                <w:sz w:val="20"/>
                <w:szCs w:val="20"/>
              </w:rPr>
              <w:t>%33,8</w:t>
            </w:r>
            <w:r w:rsidRPr="00946A4E">
              <w:rPr>
                <w:rFonts w:hint="cs"/>
                <w:sz w:val="20"/>
                <w:szCs w:val="20"/>
                <w:rtl/>
              </w:rPr>
              <w:t xml:space="preserve"> </w:t>
            </w:r>
            <w:r w:rsidRPr="00946A4E">
              <w:rPr>
                <w:sz w:val="20"/>
                <w:szCs w:val="20"/>
              </w:rPr>
              <w:t>(26|52)</w:t>
            </w:r>
          </w:p>
        </w:tc>
        <w:tc>
          <w:tcPr>
            <w:tcW w:w="2670" w:type="dxa"/>
          </w:tcPr>
          <w:p w14:paraId="4FC9980C" w14:textId="1970E389" w:rsidR="00FC1D99" w:rsidRPr="00946A4E" w:rsidRDefault="00FC1D99" w:rsidP="00FC1D99">
            <w:pPr>
              <w:spacing w:before="40" w:after="40" w:line="240" w:lineRule="exact"/>
              <w:rPr>
                <w:sz w:val="20"/>
                <w:szCs w:val="20"/>
              </w:rPr>
            </w:pPr>
            <w:r w:rsidRPr="00946A4E">
              <w:rPr>
                <w:sz w:val="20"/>
                <w:szCs w:val="20"/>
              </w:rPr>
              <w:t>3,5</w:t>
            </w:r>
          </w:p>
        </w:tc>
      </w:tr>
      <w:tr w:rsidR="00FC1D99" w:rsidRPr="00946A4E" w14:paraId="3096AB75" w14:textId="77777777" w:rsidTr="00FC1D99">
        <w:trPr>
          <w:jc w:val="right"/>
        </w:trPr>
        <w:tc>
          <w:tcPr>
            <w:tcW w:w="2319" w:type="dxa"/>
          </w:tcPr>
          <w:p w14:paraId="7CB3B168" w14:textId="77777777" w:rsidR="00FC1D99" w:rsidRPr="00946A4E" w:rsidRDefault="00FC1D99" w:rsidP="00FC1D99">
            <w:pPr>
              <w:spacing w:before="40" w:after="40" w:line="240" w:lineRule="exact"/>
              <w:rPr>
                <w:sz w:val="20"/>
                <w:szCs w:val="20"/>
              </w:rPr>
            </w:pPr>
            <w:bookmarkStart w:id="4" w:name="lt_pId132"/>
            <w:r w:rsidRPr="00946A4E">
              <w:rPr>
                <w:sz w:val="20"/>
                <w:szCs w:val="20"/>
              </w:rPr>
              <w:t>P4</w:t>
            </w:r>
            <w:bookmarkEnd w:id="4"/>
          </w:p>
        </w:tc>
        <w:tc>
          <w:tcPr>
            <w:tcW w:w="2320" w:type="dxa"/>
          </w:tcPr>
          <w:p w14:paraId="14A9D3DA" w14:textId="3BC865EF" w:rsidR="00FC1D99" w:rsidRPr="00946A4E" w:rsidRDefault="00FC1D99" w:rsidP="00FC1D99">
            <w:pPr>
              <w:spacing w:before="40" w:after="40" w:line="240" w:lineRule="exact"/>
              <w:rPr>
                <w:sz w:val="20"/>
                <w:szCs w:val="20"/>
              </w:rPr>
            </w:pPr>
            <w:r w:rsidRPr="00946A4E">
              <w:rPr>
                <w:sz w:val="20"/>
                <w:szCs w:val="20"/>
              </w:rPr>
              <w:t>%39,3</w:t>
            </w:r>
            <w:r w:rsidRPr="00946A4E">
              <w:rPr>
                <w:rFonts w:hint="cs"/>
                <w:sz w:val="20"/>
                <w:szCs w:val="20"/>
                <w:rtl/>
              </w:rPr>
              <w:t xml:space="preserve"> </w:t>
            </w:r>
            <w:r w:rsidRPr="00946A4E">
              <w:rPr>
                <w:sz w:val="20"/>
                <w:szCs w:val="20"/>
              </w:rPr>
              <w:t>(46|71)</w:t>
            </w:r>
          </w:p>
        </w:tc>
        <w:tc>
          <w:tcPr>
            <w:tcW w:w="2320" w:type="dxa"/>
          </w:tcPr>
          <w:p w14:paraId="5231096B" w14:textId="24B0EA33" w:rsidR="00FC1D99" w:rsidRPr="00946A4E" w:rsidRDefault="00FC1D99" w:rsidP="00FC1D99">
            <w:pPr>
              <w:spacing w:before="40" w:after="40" w:line="240" w:lineRule="exact"/>
              <w:rPr>
                <w:sz w:val="20"/>
                <w:szCs w:val="20"/>
              </w:rPr>
            </w:pPr>
            <w:r w:rsidRPr="00946A4E">
              <w:rPr>
                <w:sz w:val="20"/>
                <w:szCs w:val="20"/>
              </w:rPr>
              <w:t>%40,8</w:t>
            </w:r>
            <w:r w:rsidRPr="00946A4E">
              <w:rPr>
                <w:rFonts w:hint="cs"/>
                <w:sz w:val="20"/>
                <w:szCs w:val="20"/>
                <w:rtl/>
              </w:rPr>
              <w:t xml:space="preserve"> </w:t>
            </w:r>
            <w:r w:rsidRPr="00946A4E">
              <w:rPr>
                <w:sz w:val="20"/>
                <w:szCs w:val="20"/>
              </w:rPr>
              <w:t>(58|84)</w:t>
            </w:r>
          </w:p>
        </w:tc>
        <w:tc>
          <w:tcPr>
            <w:tcW w:w="2670" w:type="dxa"/>
          </w:tcPr>
          <w:p w14:paraId="3E4322B1" w14:textId="2104C2C1" w:rsidR="00FC1D99" w:rsidRPr="00946A4E" w:rsidRDefault="00FC1D99" w:rsidP="00FC1D99">
            <w:pPr>
              <w:spacing w:before="40" w:after="40" w:line="240" w:lineRule="exact"/>
              <w:rPr>
                <w:sz w:val="20"/>
                <w:szCs w:val="20"/>
              </w:rPr>
            </w:pPr>
            <w:r w:rsidRPr="00946A4E">
              <w:rPr>
                <w:sz w:val="20"/>
                <w:szCs w:val="20"/>
              </w:rPr>
              <w:t>1,5</w:t>
            </w:r>
          </w:p>
        </w:tc>
      </w:tr>
      <w:tr w:rsidR="00FC1D99" w:rsidRPr="00946A4E" w14:paraId="43C57EAC" w14:textId="77777777" w:rsidTr="00FC1D99">
        <w:trPr>
          <w:jc w:val="right"/>
        </w:trPr>
        <w:tc>
          <w:tcPr>
            <w:tcW w:w="2319" w:type="dxa"/>
          </w:tcPr>
          <w:p w14:paraId="1F3C621A" w14:textId="77777777" w:rsidR="00FC1D99" w:rsidRPr="00946A4E" w:rsidRDefault="00FC1D99" w:rsidP="00FC1D99">
            <w:pPr>
              <w:spacing w:before="40" w:after="40" w:line="240" w:lineRule="exact"/>
              <w:rPr>
                <w:sz w:val="20"/>
                <w:szCs w:val="20"/>
              </w:rPr>
            </w:pPr>
            <w:bookmarkStart w:id="5" w:name="lt_pId136"/>
            <w:r w:rsidRPr="00946A4E">
              <w:rPr>
                <w:sz w:val="20"/>
                <w:szCs w:val="20"/>
              </w:rPr>
              <w:t>P3</w:t>
            </w:r>
            <w:bookmarkEnd w:id="5"/>
          </w:p>
        </w:tc>
        <w:tc>
          <w:tcPr>
            <w:tcW w:w="2320" w:type="dxa"/>
          </w:tcPr>
          <w:p w14:paraId="6A8C3491" w14:textId="32F37253" w:rsidR="00FC1D99" w:rsidRPr="00946A4E" w:rsidRDefault="00FC1D99" w:rsidP="00FC1D99">
            <w:pPr>
              <w:spacing w:before="40" w:after="40" w:line="240" w:lineRule="exact"/>
              <w:rPr>
                <w:sz w:val="20"/>
                <w:szCs w:val="20"/>
              </w:rPr>
            </w:pPr>
            <w:r w:rsidRPr="00946A4E">
              <w:rPr>
                <w:sz w:val="20"/>
                <w:szCs w:val="20"/>
              </w:rPr>
              <w:t>%44,5</w:t>
            </w:r>
            <w:r w:rsidRPr="00946A4E">
              <w:rPr>
                <w:rFonts w:hint="cs"/>
                <w:sz w:val="20"/>
                <w:szCs w:val="20"/>
                <w:rtl/>
              </w:rPr>
              <w:t xml:space="preserve"> </w:t>
            </w:r>
            <w:r w:rsidRPr="00946A4E">
              <w:rPr>
                <w:sz w:val="20"/>
                <w:szCs w:val="20"/>
              </w:rPr>
              <w:t>(49|61)</w:t>
            </w:r>
          </w:p>
        </w:tc>
        <w:tc>
          <w:tcPr>
            <w:tcW w:w="2320" w:type="dxa"/>
          </w:tcPr>
          <w:p w14:paraId="1FC99690" w14:textId="3CBDB619" w:rsidR="00FC1D99" w:rsidRPr="00946A4E" w:rsidRDefault="00FC1D99" w:rsidP="00FC1D99">
            <w:pPr>
              <w:spacing w:before="40" w:after="40" w:line="240" w:lineRule="exact"/>
              <w:rPr>
                <w:sz w:val="20"/>
                <w:szCs w:val="20"/>
              </w:rPr>
            </w:pPr>
            <w:r w:rsidRPr="00946A4E">
              <w:rPr>
                <w:sz w:val="20"/>
                <w:szCs w:val="20"/>
              </w:rPr>
              <w:t>%45,6</w:t>
            </w:r>
            <w:r w:rsidRPr="00946A4E">
              <w:rPr>
                <w:rFonts w:hint="cs"/>
                <w:sz w:val="20"/>
                <w:szCs w:val="20"/>
                <w:rtl/>
              </w:rPr>
              <w:t xml:space="preserve"> </w:t>
            </w:r>
            <w:r w:rsidRPr="00946A4E">
              <w:rPr>
                <w:sz w:val="20"/>
                <w:szCs w:val="20"/>
              </w:rPr>
              <w:t>(62|73)</w:t>
            </w:r>
          </w:p>
        </w:tc>
        <w:tc>
          <w:tcPr>
            <w:tcW w:w="2670" w:type="dxa"/>
          </w:tcPr>
          <w:p w14:paraId="13A1DDC5" w14:textId="40CC60FE" w:rsidR="00FC1D99" w:rsidRPr="00946A4E" w:rsidRDefault="00FC1D99" w:rsidP="00FC1D99">
            <w:pPr>
              <w:spacing w:before="40" w:after="40" w:line="240" w:lineRule="exact"/>
              <w:rPr>
                <w:sz w:val="20"/>
                <w:szCs w:val="20"/>
              </w:rPr>
            </w:pPr>
            <w:r w:rsidRPr="00946A4E">
              <w:rPr>
                <w:sz w:val="20"/>
                <w:szCs w:val="20"/>
              </w:rPr>
              <w:t>1,1</w:t>
            </w:r>
          </w:p>
        </w:tc>
      </w:tr>
      <w:tr w:rsidR="00FC1D99" w:rsidRPr="00946A4E" w14:paraId="1B35AA67" w14:textId="77777777" w:rsidTr="00FC1D99">
        <w:trPr>
          <w:jc w:val="right"/>
        </w:trPr>
        <w:tc>
          <w:tcPr>
            <w:tcW w:w="2319" w:type="dxa"/>
          </w:tcPr>
          <w:p w14:paraId="0A99577E" w14:textId="77777777" w:rsidR="00FC1D99" w:rsidRPr="00946A4E" w:rsidRDefault="00FC1D99" w:rsidP="00FC1D99">
            <w:pPr>
              <w:spacing w:before="40" w:after="40" w:line="240" w:lineRule="exact"/>
              <w:rPr>
                <w:sz w:val="20"/>
                <w:szCs w:val="20"/>
              </w:rPr>
            </w:pPr>
            <w:bookmarkStart w:id="6" w:name="lt_pId140"/>
            <w:r w:rsidRPr="00946A4E">
              <w:rPr>
                <w:sz w:val="20"/>
                <w:szCs w:val="20"/>
              </w:rPr>
              <w:t>P2</w:t>
            </w:r>
            <w:bookmarkEnd w:id="6"/>
          </w:p>
        </w:tc>
        <w:tc>
          <w:tcPr>
            <w:tcW w:w="2320" w:type="dxa"/>
          </w:tcPr>
          <w:p w14:paraId="37BE296E" w14:textId="74B7992B" w:rsidR="00FC1D99" w:rsidRPr="00946A4E" w:rsidRDefault="00FC1D99" w:rsidP="00FC1D99">
            <w:pPr>
              <w:spacing w:before="40" w:after="40" w:line="240" w:lineRule="exact"/>
              <w:rPr>
                <w:sz w:val="20"/>
                <w:szCs w:val="20"/>
              </w:rPr>
            </w:pPr>
            <w:r w:rsidRPr="00946A4E">
              <w:rPr>
                <w:sz w:val="20"/>
                <w:szCs w:val="20"/>
              </w:rPr>
              <w:t>%50</w:t>
            </w:r>
            <w:r w:rsidRPr="00946A4E">
              <w:rPr>
                <w:rFonts w:hint="cs"/>
                <w:sz w:val="20"/>
                <w:szCs w:val="20"/>
                <w:rtl/>
              </w:rPr>
              <w:t xml:space="preserve"> </w:t>
            </w:r>
            <w:r w:rsidRPr="00946A4E">
              <w:rPr>
                <w:sz w:val="20"/>
                <w:szCs w:val="20"/>
              </w:rPr>
              <w:t>(29|29)</w:t>
            </w:r>
          </w:p>
        </w:tc>
        <w:tc>
          <w:tcPr>
            <w:tcW w:w="2320" w:type="dxa"/>
          </w:tcPr>
          <w:p w14:paraId="154844B2" w14:textId="45BC9DE1" w:rsidR="00FC1D99" w:rsidRPr="00946A4E" w:rsidRDefault="00FC1D99" w:rsidP="00FC1D99">
            <w:pPr>
              <w:spacing w:before="40" w:after="40" w:line="240" w:lineRule="exact"/>
              <w:rPr>
                <w:sz w:val="20"/>
                <w:szCs w:val="20"/>
              </w:rPr>
            </w:pPr>
            <w:r w:rsidRPr="00946A4E">
              <w:rPr>
                <w:sz w:val="20"/>
                <w:szCs w:val="20"/>
              </w:rPr>
              <w:t>%53,5</w:t>
            </w:r>
            <w:r w:rsidRPr="00946A4E">
              <w:rPr>
                <w:rFonts w:hint="cs"/>
                <w:sz w:val="20"/>
                <w:szCs w:val="20"/>
                <w:rtl/>
              </w:rPr>
              <w:t xml:space="preserve"> </w:t>
            </w:r>
            <w:r w:rsidRPr="00946A4E">
              <w:rPr>
                <w:sz w:val="20"/>
                <w:szCs w:val="20"/>
              </w:rPr>
              <w:t>(38|32)</w:t>
            </w:r>
          </w:p>
        </w:tc>
        <w:tc>
          <w:tcPr>
            <w:tcW w:w="2670" w:type="dxa"/>
          </w:tcPr>
          <w:p w14:paraId="10800B14" w14:textId="0A654911" w:rsidR="00FC1D99" w:rsidRPr="00946A4E" w:rsidRDefault="00FC1D99" w:rsidP="00FC1D99">
            <w:pPr>
              <w:spacing w:before="40" w:after="40" w:line="240" w:lineRule="exact"/>
              <w:rPr>
                <w:sz w:val="20"/>
                <w:szCs w:val="20"/>
              </w:rPr>
            </w:pPr>
            <w:r w:rsidRPr="00946A4E">
              <w:rPr>
                <w:sz w:val="20"/>
                <w:szCs w:val="20"/>
                <w:rtl/>
              </w:rPr>
              <w:t>–</w:t>
            </w:r>
            <w:r w:rsidRPr="00946A4E">
              <w:rPr>
                <w:sz w:val="20"/>
                <w:szCs w:val="20"/>
              </w:rPr>
              <w:t>3,5</w:t>
            </w:r>
          </w:p>
        </w:tc>
      </w:tr>
      <w:tr w:rsidR="00FC1D99" w:rsidRPr="00946A4E" w14:paraId="40E0B6E9" w14:textId="77777777" w:rsidTr="00FC1D99">
        <w:trPr>
          <w:jc w:val="right"/>
        </w:trPr>
        <w:tc>
          <w:tcPr>
            <w:tcW w:w="2319" w:type="dxa"/>
          </w:tcPr>
          <w:p w14:paraId="74D6E45E" w14:textId="77777777" w:rsidR="00FC1D99" w:rsidRPr="00946A4E" w:rsidRDefault="00FC1D99" w:rsidP="00FC1D99">
            <w:pPr>
              <w:spacing w:before="40" w:after="40" w:line="240" w:lineRule="exact"/>
              <w:rPr>
                <w:sz w:val="20"/>
                <w:szCs w:val="20"/>
              </w:rPr>
            </w:pPr>
            <w:bookmarkStart w:id="7" w:name="lt_pId144"/>
            <w:r w:rsidRPr="00946A4E">
              <w:rPr>
                <w:sz w:val="20"/>
                <w:szCs w:val="20"/>
              </w:rPr>
              <w:t>P1</w:t>
            </w:r>
            <w:bookmarkEnd w:id="7"/>
          </w:p>
        </w:tc>
        <w:tc>
          <w:tcPr>
            <w:tcW w:w="2320" w:type="dxa"/>
          </w:tcPr>
          <w:p w14:paraId="7303D7C4" w14:textId="123B5C45" w:rsidR="00FC1D99" w:rsidRPr="00946A4E" w:rsidRDefault="00FC1D99" w:rsidP="00FC1D99">
            <w:pPr>
              <w:spacing w:before="40" w:after="40" w:line="240" w:lineRule="exact"/>
              <w:rPr>
                <w:sz w:val="20"/>
                <w:szCs w:val="20"/>
              </w:rPr>
            </w:pPr>
            <w:r w:rsidRPr="00946A4E">
              <w:rPr>
                <w:sz w:val="20"/>
                <w:szCs w:val="20"/>
              </w:rPr>
              <w:t>%83,3</w:t>
            </w:r>
            <w:r w:rsidRPr="00946A4E">
              <w:rPr>
                <w:rFonts w:hint="cs"/>
                <w:sz w:val="20"/>
                <w:szCs w:val="20"/>
                <w:rtl/>
              </w:rPr>
              <w:t xml:space="preserve"> </w:t>
            </w:r>
            <w:r w:rsidRPr="00946A4E">
              <w:rPr>
                <w:sz w:val="20"/>
                <w:szCs w:val="20"/>
              </w:rPr>
              <w:t>(5|1)</w:t>
            </w:r>
          </w:p>
        </w:tc>
        <w:tc>
          <w:tcPr>
            <w:tcW w:w="2320" w:type="dxa"/>
          </w:tcPr>
          <w:p w14:paraId="75797083" w14:textId="418857C6" w:rsidR="00FC1D99" w:rsidRPr="00946A4E" w:rsidRDefault="00FC1D99" w:rsidP="00FC1D99">
            <w:pPr>
              <w:spacing w:before="40" w:after="40" w:line="240" w:lineRule="exact"/>
              <w:rPr>
                <w:sz w:val="20"/>
                <w:szCs w:val="20"/>
              </w:rPr>
            </w:pPr>
            <w:r w:rsidRPr="00946A4E">
              <w:rPr>
                <w:sz w:val="20"/>
                <w:szCs w:val="20"/>
              </w:rPr>
              <w:t>%60</w:t>
            </w:r>
            <w:r w:rsidRPr="00946A4E">
              <w:rPr>
                <w:rFonts w:hint="cs"/>
                <w:sz w:val="20"/>
                <w:szCs w:val="20"/>
                <w:rtl/>
              </w:rPr>
              <w:t xml:space="preserve"> </w:t>
            </w:r>
            <w:r w:rsidRPr="00946A4E">
              <w:rPr>
                <w:sz w:val="20"/>
                <w:szCs w:val="20"/>
              </w:rPr>
              <w:t>(3|2)</w:t>
            </w:r>
          </w:p>
        </w:tc>
        <w:tc>
          <w:tcPr>
            <w:tcW w:w="2670" w:type="dxa"/>
          </w:tcPr>
          <w:p w14:paraId="4EDE4A99" w14:textId="59D92A42" w:rsidR="00FC1D99" w:rsidRPr="00946A4E" w:rsidRDefault="00FC1D99" w:rsidP="00FC1D99">
            <w:pPr>
              <w:spacing w:before="40" w:after="40" w:line="240" w:lineRule="exact"/>
              <w:rPr>
                <w:sz w:val="20"/>
                <w:szCs w:val="20"/>
              </w:rPr>
            </w:pPr>
            <w:r w:rsidRPr="00946A4E">
              <w:rPr>
                <w:sz w:val="20"/>
                <w:szCs w:val="20"/>
                <w:rtl/>
              </w:rPr>
              <w:t>–</w:t>
            </w:r>
            <w:r w:rsidRPr="00946A4E">
              <w:rPr>
                <w:sz w:val="20"/>
                <w:szCs w:val="20"/>
              </w:rPr>
              <w:t>23,3</w:t>
            </w:r>
          </w:p>
        </w:tc>
      </w:tr>
      <w:tr w:rsidR="00FC1D99" w:rsidRPr="00946A4E" w14:paraId="65132925" w14:textId="77777777" w:rsidTr="00FC1D99">
        <w:trPr>
          <w:jc w:val="right"/>
        </w:trPr>
        <w:tc>
          <w:tcPr>
            <w:tcW w:w="2319" w:type="dxa"/>
          </w:tcPr>
          <w:p w14:paraId="07D5CEA2" w14:textId="36A73ADA" w:rsidR="00FC1D99" w:rsidRPr="00946A4E" w:rsidRDefault="00FC0D91" w:rsidP="00946A4E">
            <w:pPr>
              <w:spacing w:before="40" w:after="40" w:line="240" w:lineRule="exact"/>
              <w:jc w:val="left"/>
              <w:rPr>
                <w:sz w:val="20"/>
                <w:szCs w:val="20"/>
              </w:rPr>
            </w:pPr>
            <w:r w:rsidRPr="00946A4E">
              <w:rPr>
                <w:rFonts w:hint="cs"/>
                <w:sz w:val="20"/>
                <w:szCs w:val="20"/>
                <w:rtl/>
              </w:rPr>
              <w:t xml:space="preserve">مجموع </w:t>
            </w:r>
            <w:r w:rsidRPr="00946A4E">
              <w:rPr>
                <w:sz w:val="20"/>
                <w:szCs w:val="20"/>
                <w:rtl/>
              </w:rPr>
              <w:t>الوظائف المهنية والعليا</w:t>
            </w:r>
          </w:p>
        </w:tc>
        <w:tc>
          <w:tcPr>
            <w:tcW w:w="2320" w:type="dxa"/>
          </w:tcPr>
          <w:p w14:paraId="3064C2FE" w14:textId="08AD3ED7" w:rsidR="00FC1D99" w:rsidRPr="00946A4E" w:rsidRDefault="00FC1D99" w:rsidP="00FC1D99">
            <w:pPr>
              <w:spacing w:before="40" w:after="40" w:line="240" w:lineRule="exact"/>
              <w:rPr>
                <w:sz w:val="20"/>
                <w:szCs w:val="20"/>
              </w:rPr>
            </w:pPr>
            <w:r w:rsidRPr="00946A4E">
              <w:rPr>
                <w:sz w:val="20"/>
                <w:szCs w:val="20"/>
              </w:rPr>
              <w:t>39,8</w:t>
            </w:r>
            <w:r w:rsidRPr="00946A4E">
              <w:rPr>
                <w:sz w:val="20"/>
                <w:szCs w:val="20"/>
                <w:rtl/>
              </w:rPr>
              <w:t>%</w:t>
            </w:r>
          </w:p>
        </w:tc>
        <w:tc>
          <w:tcPr>
            <w:tcW w:w="2320" w:type="dxa"/>
          </w:tcPr>
          <w:p w14:paraId="24994F36" w14:textId="21470E97" w:rsidR="00FC1D99" w:rsidRPr="00946A4E" w:rsidRDefault="00FC1D99" w:rsidP="00FC1D99">
            <w:pPr>
              <w:spacing w:before="40" w:after="40" w:line="240" w:lineRule="exact"/>
              <w:rPr>
                <w:sz w:val="20"/>
                <w:szCs w:val="20"/>
              </w:rPr>
            </w:pPr>
            <w:r w:rsidRPr="00946A4E">
              <w:rPr>
                <w:sz w:val="20"/>
                <w:szCs w:val="20"/>
              </w:rPr>
              <w:t>42,5</w:t>
            </w:r>
            <w:r w:rsidRPr="00946A4E">
              <w:rPr>
                <w:sz w:val="20"/>
                <w:szCs w:val="20"/>
                <w:rtl/>
              </w:rPr>
              <w:t>%</w:t>
            </w:r>
          </w:p>
        </w:tc>
        <w:tc>
          <w:tcPr>
            <w:tcW w:w="2670" w:type="dxa"/>
          </w:tcPr>
          <w:p w14:paraId="2880824A" w14:textId="013AA567" w:rsidR="00FC1D99" w:rsidRPr="00946A4E" w:rsidRDefault="00FC0D91" w:rsidP="00946A4E">
            <w:pPr>
              <w:spacing w:before="40" w:after="40" w:line="240" w:lineRule="exact"/>
              <w:jc w:val="left"/>
              <w:rPr>
                <w:sz w:val="20"/>
                <w:szCs w:val="20"/>
              </w:rPr>
            </w:pPr>
            <w:r w:rsidRPr="00946A4E">
              <w:rPr>
                <w:sz w:val="20"/>
                <w:szCs w:val="20"/>
                <w:lang w:val="en-US"/>
              </w:rPr>
              <w:t>2,7</w:t>
            </w:r>
            <w:r w:rsidRPr="00946A4E">
              <w:rPr>
                <w:rFonts w:hint="cs"/>
                <w:sz w:val="20"/>
                <w:szCs w:val="20"/>
                <w:rtl/>
                <w:lang w:val="en-US" w:bidi="ar-EG"/>
              </w:rPr>
              <w:t xml:space="preserve"> في خمس سنوات = </w:t>
            </w:r>
            <w:r w:rsidRPr="00946A4E">
              <w:rPr>
                <w:sz w:val="20"/>
                <w:szCs w:val="20"/>
                <w:lang w:val="en-US" w:bidi="ar-EG"/>
              </w:rPr>
              <w:t>0,54</w:t>
            </w:r>
            <w:r w:rsidRPr="00946A4E">
              <w:rPr>
                <w:rFonts w:hint="cs"/>
                <w:sz w:val="20"/>
                <w:szCs w:val="20"/>
                <w:rtl/>
                <w:lang w:val="en-US" w:bidi="ar-EG"/>
              </w:rPr>
              <w:t xml:space="preserve"> في</w:t>
            </w:r>
            <w:r w:rsidR="00946A4E">
              <w:rPr>
                <w:rFonts w:hint="eastAsia"/>
                <w:sz w:val="20"/>
                <w:szCs w:val="20"/>
                <w:rtl/>
                <w:lang w:val="en-US" w:bidi="ar-EG"/>
              </w:rPr>
              <w:t> </w:t>
            </w:r>
            <w:r w:rsidRPr="00946A4E">
              <w:rPr>
                <w:rFonts w:hint="cs"/>
                <w:sz w:val="20"/>
                <w:szCs w:val="20"/>
                <w:rtl/>
                <w:lang w:val="en-US" w:bidi="ar-EG"/>
              </w:rPr>
              <w:t>السنة</w:t>
            </w:r>
            <w:r w:rsidR="00FC1D99" w:rsidRPr="00946A4E">
              <w:rPr>
                <w:rFonts w:hint="cs"/>
                <w:sz w:val="20"/>
                <w:szCs w:val="20"/>
                <w:rtl/>
              </w:rPr>
              <w:t xml:space="preserve"> </w:t>
            </w:r>
          </w:p>
        </w:tc>
      </w:tr>
    </w:tbl>
    <w:p w14:paraId="65F029E0" w14:textId="4AA11198" w:rsidR="0010082F" w:rsidRDefault="00277AAD" w:rsidP="007557FC">
      <w:pPr>
        <w:spacing w:before="240"/>
        <w:rPr>
          <w:rtl/>
          <w:lang w:bidi="ar-EG"/>
        </w:rPr>
      </w:pPr>
      <w:r w:rsidRPr="00277AAD">
        <w:rPr>
          <w:rtl/>
          <w:lang w:bidi="ar-EG"/>
        </w:rPr>
        <w:t xml:space="preserve">عملت خطة </w:t>
      </w:r>
      <w:r>
        <w:rPr>
          <w:rFonts w:hint="cs"/>
          <w:rtl/>
          <w:lang w:bidi="ar-EG"/>
        </w:rPr>
        <w:t>ال</w:t>
      </w:r>
      <w:r w:rsidRPr="00277AAD">
        <w:rPr>
          <w:rtl/>
          <w:lang w:bidi="ar-EG"/>
        </w:rPr>
        <w:t xml:space="preserve">عمل </w:t>
      </w:r>
      <w:r>
        <w:rPr>
          <w:lang w:bidi="ar-EG"/>
        </w:rPr>
        <w:t>UN-SWAP</w:t>
      </w:r>
      <w:r w:rsidRPr="00277AAD">
        <w:rPr>
          <w:rtl/>
          <w:lang w:bidi="ar-EG"/>
        </w:rPr>
        <w:t xml:space="preserve"> كإطار هيكلي هام وأداة للدعوة لتعميم </w:t>
      </w:r>
      <w:r>
        <w:rPr>
          <w:rFonts w:hint="cs"/>
          <w:rtl/>
          <w:lang w:bidi="ar-EG"/>
        </w:rPr>
        <w:t>منظور المساواة بين الجنسين</w:t>
      </w:r>
      <w:r w:rsidRPr="00277AAD">
        <w:rPr>
          <w:rtl/>
          <w:lang w:bidi="ar-EG"/>
        </w:rPr>
        <w:t>؛ ومع ذلك، يتطلب الإبلاغ الذاتي مزيدا</w:t>
      </w:r>
      <w:r>
        <w:rPr>
          <w:rFonts w:hint="cs"/>
          <w:rtl/>
          <w:lang w:bidi="ar-EG"/>
        </w:rPr>
        <w:t>ً</w:t>
      </w:r>
      <w:r w:rsidRPr="00277AAD">
        <w:rPr>
          <w:rtl/>
          <w:lang w:bidi="ar-EG"/>
        </w:rPr>
        <w:t xml:space="preserve"> من الإشراف مع </w:t>
      </w:r>
      <w:r>
        <w:rPr>
          <w:rFonts w:hint="cs"/>
          <w:rtl/>
          <w:lang w:bidi="ar-EG"/>
        </w:rPr>
        <w:t>عُرى</w:t>
      </w:r>
      <w:r w:rsidRPr="00277AAD">
        <w:rPr>
          <w:rtl/>
          <w:lang w:bidi="ar-EG"/>
        </w:rPr>
        <w:t xml:space="preserve"> التغذية الراجعة والمساءلة على مستوى أعلى لمعالجة أوجه القصور.</w:t>
      </w:r>
    </w:p>
    <w:p w14:paraId="25BED366" w14:textId="2A2CC8F1" w:rsidR="00974BEB" w:rsidRDefault="00E42476" w:rsidP="00E42476">
      <w:pPr>
        <w:pStyle w:val="Figure"/>
        <w:rPr>
          <w:rtl/>
        </w:rPr>
      </w:pPr>
      <w:r w:rsidRPr="00E42476">
        <w:rPr>
          <w:rtl/>
        </w:rPr>
        <w:lastRenderedPageBreak/>
        <w:drawing>
          <wp:inline distT="0" distB="0" distL="0" distR="0" wp14:anchorId="5CB89AC9" wp14:editId="0729FBFE">
            <wp:extent cx="6120765" cy="3498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498215"/>
                    </a:xfrm>
                    <a:prstGeom prst="rect">
                      <a:avLst/>
                    </a:prstGeom>
                    <a:noFill/>
                    <a:ln>
                      <a:noFill/>
                    </a:ln>
                  </pic:spPr>
                </pic:pic>
              </a:graphicData>
            </a:graphic>
          </wp:inline>
        </w:drawing>
      </w:r>
    </w:p>
    <w:p w14:paraId="6A2AC7BB" w14:textId="3F17DCEA" w:rsidR="00974BEB" w:rsidRDefault="00277AAD" w:rsidP="00E42476">
      <w:pPr>
        <w:rPr>
          <w:rtl/>
        </w:rPr>
      </w:pPr>
      <w:r>
        <w:rPr>
          <w:rFonts w:hint="cs"/>
          <w:rtl/>
          <w:lang w:bidi="ar-EG"/>
        </w:rPr>
        <w:t>انتهى</w:t>
      </w:r>
      <w:r w:rsidRPr="00277AAD">
        <w:rPr>
          <w:rtl/>
        </w:rPr>
        <w:t xml:space="preserve"> الاتحاد </w:t>
      </w:r>
      <w:r>
        <w:rPr>
          <w:rFonts w:hint="cs"/>
          <w:rtl/>
        </w:rPr>
        <w:t>من تبليغه</w:t>
      </w:r>
      <w:r w:rsidRPr="00277AAD">
        <w:rPr>
          <w:rtl/>
        </w:rPr>
        <w:t xml:space="preserve"> لعام 2022 في فبراير 2023 بامتثال</w:t>
      </w:r>
      <w:r>
        <w:rPr>
          <w:rFonts w:hint="cs"/>
          <w:rtl/>
        </w:rPr>
        <w:t xml:space="preserve"> بنسبة</w:t>
      </w:r>
      <w:r w:rsidRPr="00277AAD">
        <w:rPr>
          <w:rtl/>
        </w:rPr>
        <w:t xml:space="preserve"> 47 بالمائة. </w:t>
      </w:r>
      <w:r>
        <w:rPr>
          <w:rFonts w:hint="cs"/>
          <w:rtl/>
        </w:rPr>
        <w:t>و</w:t>
      </w:r>
      <w:r w:rsidRPr="00277AAD">
        <w:rPr>
          <w:rtl/>
        </w:rPr>
        <w:t>من المتوقع تقديم بطاقة التقرير في وقت لاحق من هذا العام. وتعزيزاً للتقدم العام، ي</w:t>
      </w:r>
      <w:r>
        <w:rPr>
          <w:rFonts w:hint="cs"/>
          <w:rtl/>
        </w:rPr>
        <w:t xml:space="preserve">حتاج </w:t>
      </w:r>
      <w:r w:rsidRPr="00277AAD">
        <w:rPr>
          <w:rtl/>
        </w:rPr>
        <w:t>الاتحاد إلى تخصيص مناسب للموارد، حيث تم تخصيص 1</w:t>
      </w:r>
      <w:r w:rsidR="00E42476">
        <w:rPr>
          <w:rFonts w:hint="cs"/>
          <w:rtl/>
        </w:rPr>
        <w:t>%</w:t>
      </w:r>
      <w:r w:rsidRPr="00277AAD">
        <w:rPr>
          <w:rtl/>
        </w:rPr>
        <w:t xml:space="preserve"> فقط من إجمالي ميزانية</w:t>
      </w:r>
      <w:r w:rsidR="00082162">
        <w:rPr>
          <w:rFonts w:hint="cs"/>
          <w:rtl/>
        </w:rPr>
        <w:t> </w:t>
      </w:r>
      <w:r w:rsidRPr="00277AAD">
        <w:rPr>
          <w:rtl/>
        </w:rPr>
        <w:t xml:space="preserve">2022 لمبادرات المساواة بين الجنسين وتكاليف الموظفين، ومعظمها من </w:t>
      </w:r>
      <w:r>
        <w:rPr>
          <w:rFonts w:hint="cs"/>
          <w:rtl/>
        </w:rPr>
        <w:t>اعتمادات من خارج</w:t>
      </w:r>
      <w:r w:rsidRPr="00277AAD">
        <w:rPr>
          <w:rtl/>
        </w:rPr>
        <w:t xml:space="preserve"> الميزانية.</w:t>
      </w:r>
    </w:p>
    <w:p w14:paraId="789180A5" w14:textId="06AECB0A" w:rsidR="00974BEB" w:rsidRDefault="00974BEB" w:rsidP="00974BEB">
      <w:pPr>
        <w:pStyle w:val="Heading1"/>
        <w:rPr>
          <w:rtl/>
          <w:lang w:bidi="ar-SY"/>
        </w:rPr>
      </w:pPr>
      <w:r>
        <w:t>5</w:t>
      </w:r>
      <w:r>
        <w:rPr>
          <w:rtl/>
          <w:lang w:bidi="ar-SY"/>
        </w:rPr>
        <w:tab/>
      </w:r>
      <w:r w:rsidR="00433826">
        <w:rPr>
          <w:rFonts w:hint="cs"/>
          <w:rtl/>
          <w:lang w:bidi="ar-SY"/>
        </w:rPr>
        <w:t>الخطوات التالية</w:t>
      </w:r>
    </w:p>
    <w:p w14:paraId="4A66F48E" w14:textId="31936561" w:rsidR="00974BEB" w:rsidRDefault="007317F0" w:rsidP="00E528B0">
      <w:pPr>
        <w:rPr>
          <w:rtl/>
        </w:rPr>
      </w:pPr>
      <w:r w:rsidRPr="007317F0">
        <w:rPr>
          <w:rtl/>
        </w:rPr>
        <w:t xml:space="preserve">في سياق الانتشار الرقمي، </w:t>
      </w:r>
      <w:r>
        <w:rPr>
          <w:rFonts w:hint="cs"/>
          <w:rtl/>
        </w:rPr>
        <w:t>يضطلع الاتحاد بدور رئيسي</w:t>
      </w:r>
      <w:r w:rsidRPr="007317F0">
        <w:rPr>
          <w:rtl/>
        </w:rPr>
        <w:t xml:space="preserve"> في دفع جهود المساواة بين الجنسين إلى الأمام؛ ومع ذلك، هناك فجوة واضحة بين الجهود والتغيير المستدام </w:t>
      </w:r>
      <w:r>
        <w:rPr>
          <w:rFonts w:hint="cs"/>
          <w:rtl/>
        </w:rPr>
        <w:t>المستهدف</w:t>
      </w:r>
      <w:r w:rsidRPr="007317F0">
        <w:rPr>
          <w:rtl/>
        </w:rPr>
        <w:t xml:space="preserve"> تحقيقه. </w:t>
      </w:r>
      <w:r>
        <w:rPr>
          <w:rFonts w:hint="cs"/>
          <w:rtl/>
        </w:rPr>
        <w:t>و</w:t>
      </w:r>
      <w:r w:rsidRPr="007317F0">
        <w:rPr>
          <w:rtl/>
        </w:rPr>
        <w:t>يتطلب سد الفجوات بين الجنسين التزاما</w:t>
      </w:r>
      <w:r>
        <w:rPr>
          <w:rFonts w:hint="cs"/>
          <w:rtl/>
        </w:rPr>
        <w:t>ً</w:t>
      </w:r>
      <w:r w:rsidRPr="007317F0">
        <w:rPr>
          <w:rtl/>
        </w:rPr>
        <w:t xml:space="preserve"> وتعاونا</w:t>
      </w:r>
      <w:r>
        <w:rPr>
          <w:rFonts w:hint="cs"/>
          <w:rtl/>
        </w:rPr>
        <w:t>ً</w:t>
      </w:r>
      <w:r w:rsidRPr="007317F0">
        <w:rPr>
          <w:rtl/>
        </w:rPr>
        <w:t xml:space="preserve"> مستمرين من جميع أصحاب المصلحة. </w:t>
      </w:r>
      <w:r>
        <w:rPr>
          <w:rFonts w:hint="cs"/>
          <w:rtl/>
        </w:rPr>
        <w:t>و</w:t>
      </w:r>
      <w:r w:rsidRPr="007317F0">
        <w:rPr>
          <w:rtl/>
        </w:rPr>
        <w:t>يتطلب تحسين المساواة بين الجنسين في عمل الاتحاد مستوى عالٍ من التماسك الاستراتيجي.</w:t>
      </w:r>
    </w:p>
    <w:p w14:paraId="6210C4E7" w14:textId="137315F0" w:rsidR="007317F0" w:rsidRDefault="007317F0" w:rsidP="00E528B0">
      <w:pPr>
        <w:rPr>
          <w:rtl/>
        </w:rPr>
      </w:pPr>
      <w:r>
        <w:rPr>
          <w:rFonts w:hint="cs"/>
          <w:rtl/>
        </w:rPr>
        <w:t>و</w:t>
      </w:r>
      <w:r>
        <w:rPr>
          <w:rtl/>
        </w:rPr>
        <w:t>من الأهمية بمكان</w:t>
      </w:r>
      <w:r>
        <w:rPr>
          <w:rFonts w:hint="cs"/>
          <w:rtl/>
        </w:rPr>
        <w:t xml:space="preserve"> وجود</w:t>
      </w:r>
      <w:r>
        <w:rPr>
          <w:rtl/>
        </w:rPr>
        <w:t xml:space="preserve"> هيكل فعال يجمع المبادرات الحالية، ويعزز التآزر والتعاون، ويسهل محادثات جمع الأموال، ويعمل كنقطة دخول واحدة للمانحين المهتمين.</w:t>
      </w:r>
    </w:p>
    <w:p w14:paraId="5E41FD14" w14:textId="0D9C5CC6" w:rsidR="00974BEB" w:rsidRDefault="007317F0" w:rsidP="00E528B0">
      <w:pPr>
        <w:rPr>
          <w:rtl/>
        </w:rPr>
      </w:pPr>
      <w:r>
        <w:rPr>
          <w:rFonts w:hint="cs"/>
          <w:rtl/>
        </w:rPr>
        <w:t>و</w:t>
      </w:r>
      <w:r>
        <w:rPr>
          <w:rtl/>
        </w:rPr>
        <w:t xml:space="preserve">تسلط الأمانة الضوء على الحاجة إلى استراتيجية "اتحاد واحد" </w:t>
      </w:r>
      <w:r>
        <w:rPr>
          <w:rFonts w:hint="cs"/>
          <w:rtl/>
        </w:rPr>
        <w:t xml:space="preserve">تكون </w:t>
      </w:r>
      <w:r>
        <w:rPr>
          <w:rtl/>
        </w:rPr>
        <w:t xml:space="preserve">أفضل تنسيقاً وتزويداً بالموارد. </w:t>
      </w:r>
      <w:r>
        <w:rPr>
          <w:rFonts w:hint="cs"/>
          <w:rtl/>
        </w:rPr>
        <w:t>و</w:t>
      </w:r>
      <w:r>
        <w:rPr>
          <w:rtl/>
        </w:rPr>
        <w:t>تشمل المجالات ذات الأولوية ما يلي:</w:t>
      </w:r>
    </w:p>
    <w:p w14:paraId="7B58BA89" w14:textId="05966B0B" w:rsidR="007317F0" w:rsidRDefault="00974BEB" w:rsidP="007317F0">
      <w:pPr>
        <w:pStyle w:val="enumlev1"/>
        <w:rPr>
          <w:rtl/>
        </w:rPr>
      </w:pPr>
      <w:r>
        <w:t>1</w:t>
      </w:r>
      <w:r>
        <w:rPr>
          <w:rtl/>
        </w:rPr>
        <w:tab/>
      </w:r>
      <w:r w:rsidR="005B3F2C">
        <w:rPr>
          <w:rFonts w:hint="cs"/>
          <w:rtl/>
        </w:rPr>
        <w:t>وضع ميزانية</w:t>
      </w:r>
      <w:r w:rsidR="007317F0">
        <w:rPr>
          <w:rtl/>
        </w:rPr>
        <w:t xml:space="preserve"> مراعية </w:t>
      </w:r>
      <w:r w:rsidR="007317F0">
        <w:rPr>
          <w:rFonts w:hint="cs"/>
          <w:rtl/>
        </w:rPr>
        <w:t>لمنظور المساواة بين الجنسين</w:t>
      </w:r>
      <w:r w:rsidR="007317F0">
        <w:rPr>
          <w:rtl/>
        </w:rPr>
        <w:t xml:space="preserve"> ومعيار مالي لدعم العمل؛</w:t>
      </w:r>
    </w:p>
    <w:p w14:paraId="73992C1C" w14:textId="45ACCA18" w:rsidR="00974BEB" w:rsidRDefault="00974BEB" w:rsidP="00974BEB">
      <w:pPr>
        <w:pStyle w:val="enumlev1"/>
        <w:rPr>
          <w:rtl/>
        </w:rPr>
      </w:pPr>
      <w:r>
        <w:t>2</w:t>
      </w:r>
      <w:r>
        <w:rPr>
          <w:rtl/>
        </w:rPr>
        <w:tab/>
      </w:r>
      <w:r w:rsidR="007317F0" w:rsidRPr="007317F0">
        <w:rPr>
          <w:rtl/>
        </w:rPr>
        <w:t>بيانات وتحليلات أكثر قوة وواضحة وقابلة للفهم؛</w:t>
      </w:r>
    </w:p>
    <w:p w14:paraId="02AF284E" w14:textId="39CE7E46" w:rsidR="00974BEB" w:rsidRDefault="00974BEB" w:rsidP="00974BEB">
      <w:pPr>
        <w:pStyle w:val="enumlev1"/>
        <w:rPr>
          <w:rtl/>
        </w:rPr>
      </w:pPr>
      <w:r>
        <w:t>3</w:t>
      </w:r>
      <w:r>
        <w:rPr>
          <w:rtl/>
        </w:rPr>
        <w:tab/>
      </w:r>
      <w:r w:rsidR="007317F0" w:rsidRPr="007317F0">
        <w:rPr>
          <w:rtl/>
        </w:rPr>
        <w:t>ال</w:t>
      </w:r>
      <w:r w:rsidR="007317F0">
        <w:rPr>
          <w:rFonts w:hint="cs"/>
          <w:rtl/>
        </w:rPr>
        <w:t>سلامة</w:t>
      </w:r>
      <w:r w:rsidR="007317F0" w:rsidRPr="007317F0">
        <w:rPr>
          <w:rtl/>
        </w:rPr>
        <w:t xml:space="preserve"> على الإنترنت، بما في ذلك الت</w:t>
      </w:r>
      <w:r w:rsidR="007317F0">
        <w:rPr>
          <w:rFonts w:hint="cs"/>
          <w:rtl/>
        </w:rPr>
        <w:t>كنولوجيات</w:t>
      </w:r>
      <w:r w:rsidR="007317F0" w:rsidRPr="007317F0">
        <w:rPr>
          <w:rtl/>
        </w:rPr>
        <w:t xml:space="preserve"> الجديدة؛</w:t>
      </w:r>
    </w:p>
    <w:p w14:paraId="56D81B19" w14:textId="54E03E9A" w:rsidR="00974BEB" w:rsidRDefault="00974BEB" w:rsidP="00974BEB">
      <w:pPr>
        <w:pStyle w:val="enumlev1"/>
        <w:rPr>
          <w:rtl/>
        </w:rPr>
      </w:pPr>
      <w:r>
        <w:t>4</w:t>
      </w:r>
      <w:r>
        <w:rPr>
          <w:rtl/>
        </w:rPr>
        <w:tab/>
      </w:r>
      <w:r w:rsidR="007317F0" w:rsidRPr="007317F0">
        <w:rPr>
          <w:rtl/>
        </w:rPr>
        <w:t>تنمية القدرات لجميع أصحاب المصلحة من أجل فهم أفضل للقضية وآثارها؛</w:t>
      </w:r>
    </w:p>
    <w:p w14:paraId="7E52C165" w14:textId="324BFD2E" w:rsidR="007317F0" w:rsidRDefault="00974BEB" w:rsidP="007317F0">
      <w:pPr>
        <w:pStyle w:val="enumlev1"/>
        <w:rPr>
          <w:rtl/>
        </w:rPr>
      </w:pPr>
      <w:r>
        <w:t>5</w:t>
      </w:r>
      <w:r>
        <w:rPr>
          <w:rtl/>
        </w:rPr>
        <w:tab/>
      </w:r>
      <w:r w:rsidR="007317F0">
        <w:rPr>
          <w:rtl/>
        </w:rPr>
        <w:t>نهج مركز على تحقيق نتائج تحويلية</w:t>
      </w:r>
      <w:r w:rsidR="00DB4F11">
        <w:rPr>
          <w:rStyle w:val="FootnoteReference"/>
          <w:rtl/>
        </w:rPr>
        <w:footnoteReference w:id="5"/>
      </w:r>
      <w:r w:rsidR="007317F0">
        <w:rPr>
          <w:rtl/>
        </w:rPr>
        <w:t>؛</w:t>
      </w:r>
    </w:p>
    <w:p w14:paraId="0CC0730E" w14:textId="41CF2596" w:rsidR="00974BEB" w:rsidRDefault="00974BEB" w:rsidP="00974BEB">
      <w:pPr>
        <w:pStyle w:val="enumlev1"/>
        <w:rPr>
          <w:rtl/>
        </w:rPr>
      </w:pPr>
      <w:r>
        <w:t>6</w:t>
      </w:r>
      <w:r>
        <w:rPr>
          <w:rtl/>
        </w:rPr>
        <w:tab/>
      </w:r>
      <w:r w:rsidR="00DB4F11" w:rsidRPr="00DB4F11">
        <w:rPr>
          <w:rtl/>
        </w:rPr>
        <w:t>تحسين مساءلة القيادة؛</w:t>
      </w:r>
    </w:p>
    <w:p w14:paraId="5846EA59" w14:textId="30F67B1C" w:rsidR="00974BEB" w:rsidRDefault="00974BEB" w:rsidP="00974BEB">
      <w:pPr>
        <w:pStyle w:val="enumlev1"/>
        <w:rPr>
          <w:rtl/>
        </w:rPr>
      </w:pPr>
      <w:r>
        <w:t>7</w:t>
      </w:r>
      <w:r>
        <w:rPr>
          <w:rtl/>
        </w:rPr>
        <w:tab/>
      </w:r>
      <w:r w:rsidR="00DB4F11" w:rsidRPr="00DB4F11">
        <w:rPr>
          <w:rtl/>
        </w:rPr>
        <w:t>آليات المراقبة و</w:t>
      </w:r>
      <w:r w:rsidR="00DB4F11">
        <w:rPr>
          <w:rFonts w:hint="cs"/>
          <w:rtl/>
        </w:rPr>
        <w:t>عُرى</w:t>
      </w:r>
      <w:r w:rsidR="00DB4F11" w:rsidRPr="00DB4F11">
        <w:rPr>
          <w:rtl/>
        </w:rPr>
        <w:t xml:space="preserve"> التغذية الراجعة الفعالة لتتبع النتائج والإنصاف.</w:t>
      </w:r>
      <w:r>
        <w:rPr>
          <w:rFonts w:hint="cs"/>
          <w:rtl/>
        </w:rPr>
        <w:t xml:space="preserve"> </w:t>
      </w:r>
    </w:p>
    <w:p w14:paraId="466DE78B" w14:textId="11FA7C2A" w:rsidR="00716721" w:rsidRDefault="00716721" w:rsidP="00716721">
      <w:pPr>
        <w:rPr>
          <w:rtl/>
          <w:lang w:bidi="ar-SY"/>
        </w:rPr>
      </w:pPr>
      <w:r>
        <w:rPr>
          <w:rFonts w:hint="cs"/>
          <w:rtl/>
          <w:lang w:bidi="ar-SY"/>
        </w:rPr>
        <w:lastRenderedPageBreak/>
        <w:t>و</w:t>
      </w:r>
      <w:r>
        <w:rPr>
          <w:rtl/>
          <w:lang w:bidi="ar-SY"/>
        </w:rPr>
        <w:t xml:space="preserve">قد ترغب الدول الأعضاء في النظر في تخصيص الأموال من خلال المساهمات الطوعية والإعارة. </w:t>
      </w:r>
      <w:r>
        <w:rPr>
          <w:rFonts w:hint="cs"/>
          <w:rtl/>
          <w:lang w:bidi="ar-SY"/>
        </w:rPr>
        <w:t>و</w:t>
      </w:r>
      <w:r>
        <w:rPr>
          <w:rtl/>
          <w:lang w:bidi="ar-SY"/>
        </w:rPr>
        <w:t xml:space="preserve">ستدعم الأموال وظيفة </w:t>
      </w:r>
      <w:r>
        <w:rPr>
          <w:rFonts w:hint="cs"/>
          <w:rtl/>
          <w:lang w:bidi="ar-SY"/>
        </w:rPr>
        <w:t>المساواة بين الجنسين</w:t>
      </w:r>
      <w:r>
        <w:rPr>
          <w:rtl/>
          <w:lang w:bidi="ar-SY"/>
        </w:rPr>
        <w:t xml:space="preserve"> وتعالج الأولويات المذكورة أعلاه وتعزز تنفيذ القرار </w:t>
      </w:r>
      <w:r>
        <w:rPr>
          <w:rFonts w:hint="cs"/>
          <w:rtl/>
          <w:lang w:bidi="ar-SY"/>
        </w:rPr>
        <w:t>70 (المراج</w:t>
      </w:r>
      <w:r w:rsidR="00E528B0">
        <w:rPr>
          <w:rFonts w:hint="cs"/>
          <w:rtl/>
          <w:lang w:bidi="ar-SY"/>
        </w:rPr>
        <w:t>َ</w:t>
      </w:r>
      <w:r>
        <w:rPr>
          <w:rFonts w:hint="cs"/>
          <w:rtl/>
          <w:lang w:bidi="ar-SY"/>
        </w:rPr>
        <w:t>ع في بوخارست، 2022)</w:t>
      </w:r>
      <w:r>
        <w:rPr>
          <w:rtl/>
          <w:lang w:bidi="ar-SY"/>
        </w:rPr>
        <w:t xml:space="preserve"> لضمان دمج منظور </w:t>
      </w:r>
      <w:r>
        <w:rPr>
          <w:rFonts w:hint="cs"/>
          <w:rtl/>
          <w:lang w:bidi="ar-SY"/>
        </w:rPr>
        <w:t>المساواة بين الجنسين</w:t>
      </w:r>
      <w:r>
        <w:rPr>
          <w:rtl/>
          <w:lang w:bidi="ar-SY"/>
        </w:rPr>
        <w:t xml:space="preserve"> في برامج العمل والموارد البشرية ونهج الإدارة في الاتحاد.</w:t>
      </w:r>
    </w:p>
    <w:p w14:paraId="66010AAB" w14:textId="0158A2DB" w:rsidR="00716721" w:rsidRDefault="00716721" w:rsidP="00716721">
      <w:pPr>
        <w:rPr>
          <w:rtl/>
          <w:lang w:bidi="ar-SY"/>
        </w:rPr>
      </w:pPr>
      <w:r>
        <w:rPr>
          <w:rtl/>
          <w:lang w:bidi="ar-SY"/>
        </w:rPr>
        <w:t>وتنوه الأمانة مع التقدير بالمساهمات السابقة للدول الأعضاء.</w:t>
      </w:r>
    </w:p>
    <w:p w14:paraId="475E73CE" w14:textId="5240A617" w:rsidR="008B4F62" w:rsidRDefault="00974BEB" w:rsidP="00E528B0">
      <w:pPr>
        <w:spacing w:before="600"/>
      </w:pPr>
      <w:r w:rsidRPr="00974BEB">
        <w:rPr>
          <w:rFonts w:hint="cs"/>
          <w:b/>
          <w:bCs/>
          <w:rtl/>
        </w:rPr>
        <w:t>الملحق</w:t>
      </w:r>
      <w:r w:rsidR="00716721">
        <w:rPr>
          <w:rFonts w:hint="cs"/>
          <w:b/>
          <w:bCs/>
          <w:rtl/>
        </w:rPr>
        <w:t>ات</w:t>
      </w:r>
      <w:r w:rsidRPr="00974BEB">
        <w:rPr>
          <w:rFonts w:hint="cs"/>
          <w:b/>
          <w:bCs/>
          <w:rtl/>
        </w:rPr>
        <w:t>:</w:t>
      </w:r>
      <w:r>
        <w:rPr>
          <w:rFonts w:hint="cs"/>
          <w:rtl/>
        </w:rPr>
        <w:t xml:space="preserve"> </w:t>
      </w:r>
      <w:r>
        <w:t>1</w:t>
      </w:r>
    </w:p>
    <w:p w14:paraId="3AA257C8" w14:textId="05B15662" w:rsidR="008B4F62" w:rsidRDefault="008B4F62" w:rsidP="008B4F62">
      <w:pPr>
        <w:rPr>
          <w:rtl/>
          <w:lang w:bidi="ar-SY"/>
        </w:rPr>
      </w:pPr>
      <w:r>
        <w:rPr>
          <w:rtl/>
          <w:lang w:bidi="ar-SY"/>
        </w:rPr>
        <w:br w:type="page"/>
      </w:r>
    </w:p>
    <w:p w14:paraId="7F4BA216" w14:textId="12625EA6" w:rsidR="00974BEB" w:rsidRPr="00A32E34" w:rsidRDefault="00821800" w:rsidP="00A32E34">
      <w:pPr>
        <w:pStyle w:val="AnnexNo"/>
        <w:rPr>
          <w:rtl/>
        </w:rPr>
      </w:pPr>
      <w:r w:rsidRPr="00A32E34">
        <w:rPr>
          <w:rFonts w:hint="cs"/>
          <w:rtl/>
        </w:rPr>
        <w:lastRenderedPageBreak/>
        <w:t>الملحق</w:t>
      </w:r>
    </w:p>
    <w:p w14:paraId="7779B003" w14:textId="0ABE60C2" w:rsidR="00821800" w:rsidRDefault="004D160F" w:rsidP="00821800">
      <w:pPr>
        <w:pStyle w:val="Annextitle"/>
        <w:rPr>
          <w:rtl/>
        </w:rPr>
      </w:pPr>
      <w:r w:rsidRPr="004D160F">
        <w:rPr>
          <w:rtl/>
        </w:rPr>
        <w:t>مقتطف من</w:t>
      </w:r>
      <w:r w:rsidR="00821800">
        <w:rPr>
          <w:rFonts w:hint="cs"/>
          <w:rtl/>
        </w:rPr>
        <w:t xml:space="preserve"> </w:t>
      </w:r>
      <w:hyperlink r:id="rId24" w:history="1">
        <w:r w:rsidR="00821800" w:rsidRPr="00821800">
          <w:rPr>
            <w:rStyle w:val="Hyperlink"/>
            <w:rFonts w:hint="cs"/>
            <w:rtl/>
          </w:rPr>
          <w:t xml:space="preserve">القرار </w:t>
        </w:r>
        <w:r w:rsidR="00821800" w:rsidRPr="00821800">
          <w:rPr>
            <w:rStyle w:val="Hyperlink"/>
          </w:rPr>
          <w:t>70</w:t>
        </w:r>
      </w:hyperlink>
      <w:r w:rsidR="00821800">
        <w:rPr>
          <w:rFonts w:hint="cs"/>
          <w:rtl/>
        </w:rPr>
        <w:t xml:space="preserve"> (المراجَع في بوخارست، </w:t>
      </w:r>
      <w:r w:rsidR="00821800">
        <w:t>2022</w:t>
      </w:r>
      <w:r w:rsidR="00821800">
        <w:rPr>
          <w:rFonts w:hint="cs"/>
          <w:rtl/>
        </w:rPr>
        <w:t xml:space="preserve">) لمؤتمر المندوبين المفوضين </w:t>
      </w:r>
      <w:r w:rsidR="001E7D38">
        <w:rPr>
          <w:rtl/>
        </w:rPr>
        <w:br/>
      </w:r>
      <w:r>
        <w:rPr>
          <w:rFonts w:hint="cs"/>
          <w:rtl/>
        </w:rPr>
        <w:t xml:space="preserve">يتناول </w:t>
      </w:r>
      <w:r w:rsidR="00B47026" w:rsidRPr="00B47026">
        <w:rPr>
          <w:rtl/>
        </w:rPr>
        <w:t>التوظيف والترقية</w:t>
      </w:r>
    </w:p>
    <w:p w14:paraId="742CB2CE" w14:textId="4507DBF0" w:rsidR="00821800" w:rsidRPr="00E62C58" w:rsidRDefault="00E62C58" w:rsidP="00821800">
      <w:pPr>
        <w:pStyle w:val="Normalaftertitle"/>
        <w:rPr>
          <w:i/>
          <w:iCs/>
          <w:snapToGrid w:val="0"/>
          <w:rtl/>
        </w:rPr>
      </w:pPr>
      <w:r w:rsidRPr="00E62C58">
        <w:rPr>
          <w:rFonts w:hint="cs"/>
          <w:i/>
          <w:iCs/>
          <w:snapToGrid w:val="0"/>
          <w:rtl/>
        </w:rPr>
        <w:t>"</w:t>
      </w:r>
      <w:r w:rsidR="00821800" w:rsidRPr="00E62C58">
        <w:rPr>
          <w:i/>
          <w:iCs/>
          <w:snapToGrid w:val="0"/>
          <w:rtl/>
        </w:rPr>
        <w:t>إن مؤتمر المندوبين المفوضين للاتحاد الدولي للاتصالات (</w:t>
      </w:r>
      <w:r w:rsidR="00821800" w:rsidRPr="00E62C58">
        <w:rPr>
          <w:rFonts w:hint="cs"/>
          <w:i/>
          <w:iCs/>
          <w:snapToGrid w:val="0"/>
          <w:rtl/>
        </w:rPr>
        <w:t xml:space="preserve">بوخارست، </w:t>
      </w:r>
      <w:r w:rsidR="00821800" w:rsidRPr="00E62C58">
        <w:rPr>
          <w:i/>
          <w:iCs/>
          <w:snapToGrid w:val="0"/>
        </w:rPr>
        <w:t>2022</w:t>
      </w:r>
      <w:r w:rsidR="00821800" w:rsidRPr="00E62C58">
        <w:rPr>
          <w:i/>
          <w:iCs/>
          <w:snapToGrid w:val="0"/>
          <w:rtl/>
        </w:rPr>
        <w:t>)،</w:t>
      </w:r>
    </w:p>
    <w:p w14:paraId="73DB8FFC" w14:textId="7863B219" w:rsidR="00821800" w:rsidRDefault="00821800" w:rsidP="00821800">
      <w:pPr>
        <w:rPr>
          <w:rtl/>
        </w:rPr>
      </w:pPr>
      <w:r>
        <w:rPr>
          <w:rFonts w:hint="cs"/>
          <w:rtl/>
        </w:rPr>
        <w:t xml:space="preserve">... </w:t>
      </w:r>
    </w:p>
    <w:p w14:paraId="430EB6C1" w14:textId="77777777" w:rsidR="00E62C58" w:rsidRPr="0091349E" w:rsidRDefault="00E62C58" w:rsidP="00E62C58">
      <w:pPr>
        <w:pStyle w:val="Call"/>
        <w:rPr>
          <w:rtl/>
        </w:rPr>
      </w:pPr>
      <w:r w:rsidRPr="0091349E">
        <w:rPr>
          <w:rtl/>
        </w:rPr>
        <w:t>يكلف الأمين العام</w:t>
      </w:r>
    </w:p>
    <w:p w14:paraId="7AFC7B2F" w14:textId="79F646C8" w:rsidR="00E62C58" w:rsidRDefault="00E62C58" w:rsidP="00821800">
      <w:pPr>
        <w:rPr>
          <w:rtl/>
        </w:rPr>
      </w:pPr>
      <w:r>
        <w:rPr>
          <w:rFonts w:hint="cs"/>
          <w:rtl/>
        </w:rPr>
        <w:t xml:space="preserve">... </w:t>
      </w:r>
    </w:p>
    <w:p w14:paraId="611A6B0D" w14:textId="77777777" w:rsidR="00E62C58" w:rsidRPr="00E62C58" w:rsidRDefault="00E62C58" w:rsidP="00E62C58">
      <w:pPr>
        <w:rPr>
          <w:i/>
          <w:iCs/>
          <w:rtl/>
        </w:rPr>
      </w:pPr>
      <w:r w:rsidRPr="00E62C58">
        <w:rPr>
          <w:i/>
          <w:iCs/>
        </w:rPr>
        <w:t>3</w:t>
      </w:r>
      <w:r w:rsidRPr="00E62C58">
        <w:rPr>
          <w:i/>
          <w:iCs/>
          <w:rtl/>
        </w:rPr>
        <w:tab/>
      </w:r>
      <w:r w:rsidRPr="00E62C58">
        <w:rPr>
          <w:rFonts w:hint="cs"/>
          <w:i/>
          <w:iCs/>
          <w:rtl/>
        </w:rPr>
        <w:t>بأن</w:t>
      </w:r>
      <w:r w:rsidRPr="00E62C58">
        <w:rPr>
          <w:i/>
          <w:iCs/>
          <w:rtl/>
        </w:rPr>
        <w:t xml:space="preserve"> </w:t>
      </w:r>
      <w:r w:rsidRPr="00E62C58">
        <w:rPr>
          <w:rFonts w:hint="cs"/>
          <w:i/>
          <w:iCs/>
          <w:rtl/>
        </w:rPr>
        <w:t>يولي</w:t>
      </w:r>
      <w:r w:rsidRPr="00E62C58">
        <w:rPr>
          <w:i/>
          <w:iCs/>
          <w:rtl/>
        </w:rPr>
        <w:t xml:space="preserve"> </w:t>
      </w:r>
      <w:r w:rsidRPr="00E62C58">
        <w:rPr>
          <w:rFonts w:hint="cs"/>
          <w:i/>
          <w:iCs/>
          <w:rtl/>
        </w:rPr>
        <w:t>الأولوية للتكافؤ</w:t>
      </w:r>
      <w:r w:rsidRPr="00E62C58">
        <w:rPr>
          <w:i/>
          <w:iCs/>
          <w:rtl/>
        </w:rPr>
        <w:t xml:space="preserve"> </w:t>
      </w:r>
      <w:r w:rsidRPr="00E62C58">
        <w:rPr>
          <w:rFonts w:hint="cs"/>
          <w:i/>
          <w:iCs/>
          <w:rtl/>
        </w:rPr>
        <w:t>بين</w:t>
      </w:r>
      <w:r w:rsidRPr="00E62C58">
        <w:rPr>
          <w:i/>
          <w:iCs/>
          <w:rtl/>
        </w:rPr>
        <w:t xml:space="preserve"> </w:t>
      </w:r>
      <w:r w:rsidRPr="00E62C58">
        <w:rPr>
          <w:rFonts w:hint="cs"/>
          <w:i/>
          <w:iCs/>
          <w:rtl/>
        </w:rPr>
        <w:t>الجنسين</w:t>
      </w:r>
      <w:r w:rsidRPr="00E62C58">
        <w:rPr>
          <w:i/>
          <w:iCs/>
          <w:rtl/>
        </w:rPr>
        <w:t xml:space="preserve"> </w:t>
      </w:r>
      <w:r w:rsidRPr="00E62C58">
        <w:rPr>
          <w:rFonts w:hint="cs"/>
          <w:i/>
          <w:iCs/>
          <w:rtl/>
        </w:rPr>
        <w:t>في</w:t>
      </w:r>
      <w:r w:rsidRPr="00E62C58">
        <w:rPr>
          <w:rFonts w:hint="eastAsia"/>
          <w:i/>
          <w:iCs/>
          <w:rtl/>
        </w:rPr>
        <w:t> </w:t>
      </w:r>
      <w:r w:rsidRPr="00E62C58">
        <w:rPr>
          <w:rFonts w:hint="cs"/>
          <w:i/>
          <w:iCs/>
          <w:rtl/>
        </w:rPr>
        <w:t>تولي</w:t>
      </w:r>
      <w:r w:rsidRPr="00E62C58">
        <w:rPr>
          <w:i/>
          <w:iCs/>
          <w:rtl/>
        </w:rPr>
        <w:t xml:space="preserve"> </w:t>
      </w:r>
      <w:r w:rsidRPr="00E62C58">
        <w:rPr>
          <w:rFonts w:hint="cs"/>
          <w:i/>
          <w:iCs/>
          <w:rtl/>
        </w:rPr>
        <w:t>مناصب</w:t>
      </w:r>
      <w:r w:rsidRPr="00E62C58">
        <w:rPr>
          <w:i/>
          <w:iCs/>
          <w:rtl/>
        </w:rPr>
        <w:t xml:space="preserve"> </w:t>
      </w:r>
      <w:r w:rsidRPr="00E62C58">
        <w:rPr>
          <w:rFonts w:hint="cs"/>
          <w:i/>
          <w:iCs/>
          <w:rtl/>
        </w:rPr>
        <w:t>الفئة</w:t>
      </w:r>
      <w:r w:rsidRPr="00E62C58">
        <w:rPr>
          <w:i/>
          <w:iCs/>
          <w:rtl/>
        </w:rPr>
        <w:t xml:space="preserve"> </w:t>
      </w:r>
      <w:r w:rsidRPr="00E62C58">
        <w:rPr>
          <w:rFonts w:hint="cs"/>
          <w:i/>
          <w:iCs/>
          <w:rtl/>
        </w:rPr>
        <w:t>الفنية</w:t>
      </w:r>
      <w:r w:rsidRPr="00E62C58">
        <w:rPr>
          <w:i/>
          <w:iCs/>
          <w:rtl/>
        </w:rPr>
        <w:t xml:space="preserve"> </w:t>
      </w:r>
      <w:r w:rsidRPr="00E62C58">
        <w:rPr>
          <w:rFonts w:hint="cs"/>
          <w:i/>
          <w:iCs/>
          <w:rtl/>
        </w:rPr>
        <w:t>والفئات</w:t>
      </w:r>
      <w:r w:rsidRPr="00E62C58">
        <w:rPr>
          <w:i/>
          <w:iCs/>
          <w:rtl/>
        </w:rPr>
        <w:t xml:space="preserve"> </w:t>
      </w:r>
      <w:r w:rsidRPr="00E62C58">
        <w:rPr>
          <w:rFonts w:hint="cs"/>
          <w:i/>
          <w:iCs/>
          <w:rtl/>
        </w:rPr>
        <w:t>العليا</w:t>
      </w:r>
      <w:r w:rsidRPr="00E62C58">
        <w:rPr>
          <w:i/>
          <w:iCs/>
          <w:rtl/>
        </w:rPr>
        <w:t xml:space="preserve"> </w:t>
      </w:r>
      <w:r w:rsidRPr="00E62C58">
        <w:rPr>
          <w:rFonts w:hint="cs"/>
          <w:i/>
          <w:iCs/>
          <w:rtl/>
        </w:rPr>
        <w:t>في</w:t>
      </w:r>
      <w:r w:rsidRPr="00E62C58">
        <w:rPr>
          <w:rFonts w:hint="eastAsia"/>
          <w:i/>
          <w:iCs/>
          <w:rtl/>
        </w:rPr>
        <w:t> </w:t>
      </w:r>
      <w:r w:rsidRPr="00E62C58">
        <w:rPr>
          <w:rFonts w:hint="cs"/>
          <w:i/>
          <w:iCs/>
          <w:rtl/>
        </w:rPr>
        <w:t>الاتحاد،</w:t>
      </w:r>
      <w:r w:rsidRPr="00E62C58">
        <w:rPr>
          <w:i/>
          <w:iCs/>
          <w:rtl/>
        </w:rPr>
        <w:t xml:space="preserve"> </w:t>
      </w:r>
      <w:r w:rsidRPr="00E62C58">
        <w:rPr>
          <w:rFonts w:hint="cs"/>
          <w:i/>
          <w:iCs/>
          <w:rtl/>
        </w:rPr>
        <w:t>وخاصةً</w:t>
      </w:r>
      <w:r w:rsidRPr="00E62C58">
        <w:rPr>
          <w:i/>
          <w:iCs/>
          <w:rtl/>
        </w:rPr>
        <w:t xml:space="preserve"> </w:t>
      </w:r>
      <w:r w:rsidRPr="00E62C58">
        <w:rPr>
          <w:rFonts w:hint="cs"/>
          <w:i/>
          <w:iCs/>
          <w:rtl/>
        </w:rPr>
        <w:t>المناصب</w:t>
      </w:r>
      <w:r w:rsidRPr="00E62C58">
        <w:rPr>
          <w:i/>
          <w:iCs/>
          <w:rtl/>
        </w:rPr>
        <w:t xml:space="preserve"> </w:t>
      </w:r>
      <w:r w:rsidRPr="00E62C58">
        <w:rPr>
          <w:rFonts w:hint="cs"/>
          <w:i/>
          <w:iCs/>
          <w:rtl/>
        </w:rPr>
        <w:t>العليا، تماشياً مع استراتيجية التكافؤ بين الجنسين التي وضعها الأمين العام للأمم المتحدة؛</w:t>
      </w:r>
    </w:p>
    <w:p w14:paraId="4D89AF88" w14:textId="77777777" w:rsidR="00E62C58" w:rsidRPr="00E62C58" w:rsidRDefault="00E62C58" w:rsidP="00E62C58">
      <w:pPr>
        <w:rPr>
          <w:i/>
          <w:iCs/>
          <w:rtl/>
        </w:rPr>
      </w:pPr>
      <w:r w:rsidRPr="00E62C58">
        <w:rPr>
          <w:i/>
          <w:iCs/>
        </w:rPr>
        <w:t>4</w:t>
      </w:r>
      <w:r w:rsidRPr="00E62C58">
        <w:rPr>
          <w:i/>
          <w:iCs/>
          <w:rtl/>
        </w:rPr>
        <w:tab/>
        <w:t>بأن يعطي الأولوية المناسبة للتكافؤ بين الجنسين عند</w:t>
      </w:r>
      <w:r w:rsidRPr="00E62C58">
        <w:rPr>
          <w:rFonts w:hint="cs"/>
          <w:i/>
          <w:iCs/>
          <w:rtl/>
        </w:rPr>
        <w:t xml:space="preserve"> اختيار</w:t>
      </w:r>
      <w:r w:rsidRPr="00E62C58">
        <w:rPr>
          <w:i/>
          <w:iCs/>
          <w:rtl/>
        </w:rPr>
        <w:t xml:space="preserve"> مرشحين</w:t>
      </w:r>
      <w:r w:rsidRPr="00E62C58">
        <w:rPr>
          <w:rFonts w:hint="cs"/>
          <w:i/>
          <w:iCs/>
          <w:rtl/>
        </w:rPr>
        <w:t xml:space="preserve"> </w:t>
      </w:r>
      <w:r w:rsidRPr="00E62C58">
        <w:rPr>
          <w:i/>
          <w:iCs/>
          <w:rtl/>
        </w:rPr>
        <w:t>لديهم مؤهلات متساوية مع مراعاة التوزيع الجغرافي (الرقم</w:t>
      </w:r>
      <w:r w:rsidRPr="00E62C58">
        <w:rPr>
          <w:rFonts w:hint="eastAsia"/>
          <w:i/>
          <w:iCs/>
          <w:rtl/>
        </w:rPr>
        <w:t> </w:t>
      </w:r>
      <w:r w:rsidRPr="00E62C58">
        <w:rPr>
          <w:i/>
          <w:iCs/>
        </w:rPr>
        <w:t>154</w:t>
      </w:r>
      <w:r w:rsidRPr="00E62C58">
        <w:rPr>
          <w:i/>
          <w:iCs/>
          <w:rtl/>
        </w:rPr>
        <w:t xml:space="preserve"> من دستور الاتحاد) والتوازن بين</w:t>
      </w:r>
      <w:r w:rsidRPr="00E62C58">
        <w:rPr>
          <w:rFonts w:hint="cs"/>
          <w:i/>
          <w:iCs/>
          <w:rtl/>
        </w:rPr>
        <w:t xml:space="preserve"> الجنسين؛</w:t>
      </w:r>
    </w:p>
    <w:p w14:paraId="361FDE22" w14:textId="77777777" w:rsidR="00E62C58" w:rsidRPr="00E62C58" w:rsidRDefault="00E62C58" w:rsidP="00E62C58">
      <w:pPr>
        <w:rPr>
          <w:i/>
          <w:iCs/>
          <w:spacing w:val="-4"/>
          <w:rtl/>
        </w:rPr>
      </w:pPr>
      <w:r w:rsidRPr="00E62C58">
        <w:rPr>
          <w:i/>
          <w:iCs/>
        </w:rPr>
        <w:t>5</w:t>
      </w:r>
      <w:r w:rsidRPr="00E62C58">
        <w:rPr>
          <w:i/>
          <w:iCs/>
        </w:rPr>
        <w:tab/>
      </w:r>
      <w:r w:rsidRPr="00E62C58">
        <w:rPr>
          <w:rFonts w:hint="cs"/>
          <w:i/>
          <w:iCs/>
          <w:rtl/>
        </w:rPr>
        <w:t>بتعديل إجراءات الاتحاد الخاصة بالتعيين لضمان أن تكون في كل مرحلة من مراحل التعيين نسبة</w:t>
      </w:r>
      <w:r w:rsidRPr="00E62C58">
        <w:rPr>
          <w:rFonts w:hint="eastAsia"/>
          <w:i/>
          <w:iCs/>
          <w:rtl/>
        </w:rPr>
        <w:t> </w:t>
      </w:r>
      <w:r w:rsidRPr="00E62C58">
        <w:rPr>
          <w:i/>
          <w:iCs/>
        </w:rPr>
        <w:t>50</w:t>
      </w:r>
      <w:r w:rsidRPr="00E62C58">
        <w:rPr>
          <w:rFonts w:hint="eastAsia"/>
          <w:i/>
          <w:iCs/>
          <w:rtl/>
        </w:rPr>
        <w:t> </w:t>
      </w:r>
      <w:r w:rsidRPr="00E62C58">
        <w:rPr>
          <w:rFonts w:hint="cs"/>
          <w:i/>
          <w:iCs/>
          <w:rtl/>
        </w:rPr>
        <w:t>في</w:t>
      </w:r>
      <w:r w:rsidRPr="00E62C58">
        <w:rPr>
          <w:rFonts w:hint="eastAsia"/>
          <w:i/>
          <w:iCs/>
          <w:rtl/>
        </w:rPr>
        <w:t> </w:t>
      </w:r>
      <w:r w:rsidRPr="00E62C58">
        <w:rPr>
          <w:rFonts w:hint="cs"/>
          <w:i/>
          <w:iCs/>
          <w:rtl/>
        </w:rPr>
        <w:t>المائة</w:t>
      </w:r>
      <w:r w:rsidRPr="00E62C58">
        <w:rPr>
          <w:rFonts w:hint="cs"/>
          <w:i/>
          <w:iCs/>
          <w:spacing w:val="-4"/>
          <w:rtl/>
        </w:rPr>
        <w:t xml:space="preserve"> على الأقل من المرشحين الذين ينتقلون إلى المرحلة التالية من النساء، باعتبار ذلك هدفاً؛</w:t>
      </w:r>
    </w:p>
    <w:p w14:paraId="6D31C88F" w14:textId="77777777" w:rsidR="00E62C58" w:rsidRDefault="00E62C58" w:rsidP="00E62C58">
      <w:pPr>
        <w:rPr>
          <w:rtl/>
        </w:rPr>
      </w:pPr>
      <w:r>
        <w:rPr>
          <w:rFonts w:hint="cs"/>
          <w:rtl/>
        </w:rPr>
        <w:t xml:space="preserve">... </w:t>
      </w:r>
    </w:p>
    <w:p w14:paraId="3E62B029" w14:textId="250FE0DA" w:rsidR="00E62C58" w:rsidRPr="00E62C58" w:rsidRDefault="00E62C58" w:rsidP="00E62C58">
      <w:pPr>
        <w:rPr>
          <w:i/>
          <w:iCs/>
          <w:rtl/>
        </w:rPr>
      </w:pPr>
      <w:r w:rsidRPr="00E62C58">
        <w:rPr>
          <w:rFonts w:hint="cs"/>
          <w:i/>
          <w:iCs/>
          <w:rtl/>
        </w:rPr>
        <w:t>7</w:t>
      </w:r>
      <w:r w:rsidRPr="00E62C58">
        <w:rPr>
          <w:i/>
          <w:iCs/>
          <w:rtl/>
        </w:rPr>
        <w:tab/>
        <w:t>بأن يقدم تقريراً إلى مؤتمر المندوبين المفوضين المقبل بشأن ما تحقق من نتائج وتقدم في إدخال منظور المساواة بين الجنسين في أعمال الاتحاد وفي تنفيذ هذا</w:t>
      </w:r>
      <w:r w:rsidRPr="00E62C58">
        <w:rPr>
          <w:rFonts w:hint="cs"/>
          <w:i/>
          <w:iCs/>
          <w:rtl/>
        </w:rPr>
        <w:t> </w:t>
      </w:r>
      <w:r w:rsidRPr="00E62C58">
        <w:rPr>
          <w:i/>
          <w:iCs/>
          <w:rtl/>
        </w:rPr>
        <w:t>القرار؛</w:t>
      </w:r>
    </w:p>
    <w:p w14:paraId="6B0CE5E4" w14:textId="598D54C9" w:rsidR="00E62C58" w:rsidRPr="00E62C58" w:rsidRDefault="00E62C58" w:rsidP="00E62C58">
      <w:pPr>
        <w:rPr>
          <w:i/>
          <w:iCs/>
          <w:rtl/>
          <w:lang w:bidi="ar-SY"/>
        </w:rPr>
      </w:pPr>
      <w:r w:rsidRPr="00E62C58">
        <w:rPr>
          <w:rFonts w:hint="cs"/>
          <w:i/>
          <w:iCs/>
          <w:rtl/>
        </w:rPr>
        <w:t>8</w:t>
      </w:r>
      <w:r w:rsidRPr="00E62C58">
        <w:rPr>
          <w:i/>
          <w:iCs/>
        </w:rPr>
        <w:tab/>
      </w:r>
      <w:r w:rsidRPr="00E62C58">
        <w:rPr>
          <w:i/>
          <w:iCs/>
          <w:rtl/>
          <w:lang w:bidi="ar-SY"/>
        </w:rPr>
        <w:t>بأن يتأكد من أن كل قائمة من قوائم الاختيار المسبق المقدمة إلى الأمين العام من أجل التعيين، تتضمن</w:t>
      </w:r>
      <w:r w:rsidRPr="00E62C58">
        <w:rPr>
          <w:rFonts w:hint="cs"/>
          <w:i/>
          <w:iCs/>
          <w:rtl/>
          <w:lang w:bidi="ar-SY"/>
        </w:rPr>
        <w:t xml:space="preserve"> ا</w:t>
      </w:r>
      <w:r w:rsidRPr="00E62C58">
        <w:rPr>
          <w:i/>
          <w:iCs/>
          <w:rtl/>
          <w:lang w:bidi="ar-SY"/>
        </w:rPr>
        <w:t>مرأة واحدة على الأقل بين المرشحين؛</w:t>
      </w:r>
      <w:r>
        <w:rPr>
          <w:rFonts w:hint="cs"/>
          <w:i/>
          <w:iCs/>
          <w:rtl/>
          <w:lang w:bidi="ar-SY"/>
        </w:rPr>
        <w:t>"</w:t>
      </w:r>
    </w:p>
    <w:p w14:paraId="5AE48B17" w14:textId="7E1FA254" w:rsidR="00E62C58" w:rsidRDefault="00E62C58" w:rsidP="00E62C58">
      <w:pPr>
        <w:rPr>
          <w:rtl/>
          <w:lang w:bidi="ar-SY"/>
        </w:rPr>
      </w:pPr>
      <w:r>
        <w:rPr>
          <w:rtl/>
          <w:lang w:bidi="ar-SY"/>
        </w:rPr>
        <w:br w:type="page"/>
      </w:r>
    </w:p>
    <w:p w14:paraId="1EA37B0F" w14:textId="5B9B7060" w:rsidR="00821800" w:rsidRDefault="007F2F1D" w:rsidP="007F2F1D">
      <w:pPr>
        <w:pStyle w:val="Heading1"/>
        <w:rPr>
          <w:rtl/>
        </w:rPr>
      </w:pPr>
      <w:r>
        <w:rPr>
          <w:lang w:bidi="ar-SY"/>
        </w:rPr>
        <w:lastRenderedPageBreak/>
        <w:t>2</w:t>
      </w:r>
      <w:r>
        <w:rPr>
          <w:rtl/>
          <w:lang w:bidi="ar-SY"/>
        </w:rPr>
        <w:tab/>
      </w:r>
      <w:r w:rsidRPr="0091349E">
        <w:rPr>
          <w:rFonts w:hint="cs"/>
          <w:rtl/>
        </w:rPr>
        <w:t>التكافؤ</w:t>
      </w:r>
      <w:r w:rsidRPr="0091349E">
        <w:rPr>
          <w:rtl/>
        </w:rPr>
        <w:t xml:space="preserve"> </w:t>
      </w:r>
      <w:r w:rsidRPr="0091349E">
        <w:rPr>
          <w:rFonts w:hint="cs"/>
          <w:rtl/>
        </w:rPr>
        <w:t>بين</w:t>
      </w:r>
      <w:r w:rsidRPr="0091349E">
        <w:rPr>
          <w:rtl/>
        </w:rPr>
        <w:t xml:space="preserve"> </w:t>
      </w:r>
      <w:r w:rsidRPr="0091349E">
        <w:rPr>
          <w:rFonts w:hint="cs"/>
          <w:rtl/>
        </w:rPr>
        <w:t>الجنسين</w:t>
      </w:r>
      <w:r w:rsidRPr="0091349E">
        <w:rPr>
          <w:rtl/>
        </w:rPr>
        <w:t xml:space="preserve"> </w:t>
      </w:r>
      <w:r w:rsidRPr="0091349E">
        <w:rPr>
          <w:rFonts w:hint="cs"/>
          <w:rtl/>
        </w:rPr>
        <w:t>في</w:t>
      </w:r>
      <w:r w:rsidRPr="0091349E">
        <w:rPr>
          <w:rFonts w:hint="eastAsia"/>
          <w:rtl/>
        </w:rPr>
        <w:t> </w:t>
      </w:r>
      <w:r w:rsidRPr="0091349E">
        <w:rPr>
          <w:rFonts w:hint="cs"/>
          <w:rtl/>
        </w:rPr>
        <w:t>تشكيل</w:t>
      </w:r>
      <w:r w:rsidRPr="0091349E">
        <w:rPr>
          <w:rtl/>
        </w:rPr>
        <w:t xml:space="preserve"> </w:t>
      </w:r>
      <w:r w:rsidRPr="0091349E">
        <w:rPr>
          <w:rFonts w:hint="cs"/>
          <w:rtl/>
        </w:rPr>
        <w:t>اللجان</w:t>
      </w:r>
      <w:r w:rsidRPr="0091349E">
        <w:rPr>
          <w:rtl/>
        </w:rPr>
        <w:t xml:space="preserve"> </w:t>
      </w:r>
      <w:r w:rsidRPr="0091349E">
        <w:rPr>
          <w:rFonts w:hint="cs"/>
          <w:rtl/>
        </w:rPr>
        <w:t>النظامية</w:t>
      </w:r>
      <w:r w:rsidRPr="0091349E">
        <w:rPr>
          <w:rtl/>
        </w:rPr>
        <w:t xml:space="preserve"> </w:t>
      </w:r>
      <w:r w:rsidRPr="0091349E">
        <w:rPr>
          <w:rFonts w:hint="cs"/>
          <w:rtl/>
        </w:rPr>
        <w:t>التابعة</w:t>
      </w:r>
      <w:r w:rsidRPr="0091349E">
        <w:rPr>
          <w:rtl/>
        </w:rPr>
        <w:t xml:space="preserve"> </w:t>
      </w:r>
      <w:r w:rsidRPr="0091349E">
        <w:rPr>
          <w:rFonts w:hint="cs"/>
          <w:rtl/>
        </w:rPr>
        <w:t>للاتحاد</w:t>
      </w:r>
    </w:p>
    <w:p w14:paraId="7BFAAA80" w14:textId="5D1B10EC" w:rsidR="007F2F1D" w:rsidRDefault="0068269B" w:rsidP="0068269B">
      <w:pPr>
        <w:pStyle w:val="Figure"/>
        <w:rPr>
          <w:rtl/>
        </w:rPr>
      </w:pPr>
      <w:r w:rsidRPr="0068269B">
        <w:drawing>
          <wp:inline distT="0" distB="0" distL="0" distR="0" wp14:anchorId="38954AC0" wp14:editId="69397A70">
            <wp:extent cx="3164205" cy="4285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4205" cy="4285615"/>
                    </a:xfrm>
                    <a:prstGeom prst="rect">
                      <a:avLst/>
                    </a:prstGeom>
                    <a:noFill/>
                  </pic:spPr>
                </pic:pic>
              </a:graphicData>
            </a:graphic>
          </wp:inline>
        </w:drawing>
      </w:r>
    </w:p>
    <w:p w14:paraId="59A4D10C" w14:textId="70CFE0AF" w:rsidR="007F2F1D" w:rsidRDefault="007F2F1D" w:rsidP="0068269B">
      <w:pPr>
        <w:pStyle w:val="Heading1"/>
        <w:rPr>
          <w:rtl/>
        </w:rPr>
      </w:pPr>
      <w:r w:rsidRPr="0068269B">
        <w:t>3</w:t>
      </w:r>
      <w:r w:rsidRPr="0068269B">
        <w:rPr>
          <w:rtl/>
        </w:rPr>
        <w:tab/>
      </w:r>
      <w:r w:rsidR="003767D1" w:rsidRPr="0068269B">
        <w:rPr>
          <w:rFonts w:hint="cs"/>
          <w:rtl/>
        </w:rPr>
        <w:t>تمثيل الجنسين في عملية التعيين على مستوى المدراء</w:t>
      </w:r>
    </w:p>
    <w:p w14:paraId="512AC868" w14:textId="47231C69" w:rsidR="0068269B" w:rsidRDefault="0068269B" w:rsidP="0068269B">
      <w:pPr>
        <w:pStyle w:val="Figure"/>
        <w:rPr>
          <w:rtl/>
        </w:rPr>
      </w:pPr>
      <w:r>
        <w:drawing>
          <wp:inline distT="0" distB="0" distL="0" distR="0" wp14:anchorId="5DB1AEDE" wp14:editId="45116381">
            <wp:extent cx="5779770" cy="31216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9770" cy="3121660"/>
                    </a:xfrm>
                    <a:prstGeom prst="rect">
                      <a:avLst/>
                    </a:prstGeom>
                    <a:noFill/>
                  </pic:spPr>
                </pic:pic>
              </a:graphicData>
            </a:graphic>
          </wp:inline>
        </w:drawing>
      </w:r>
    </w:p>
    <w:p w14:paraId="74C7A374" w14:textId="7EE0403B" w:rsidR="007F2F1D" w:rsidRPr="0068269B" w:rsidRDefault="007F2F1D" w:rsidP="0068269B">
      <w:pPr>
        <w:pStyle w:val="Heading1"/>
        <w:rPr>
          <w:rtl/>
        </w:rPr>
      </w:pPr>
      <w:r w:rsidRPr="0068269B">
        <w:lastRenderedPageBreak/>
        <w:t>4</w:t>
      </w:r>
      <w:r w:rsidRPr="0068269B">
        <w:rPr>
          <w:rtl/>
        </w:rPr>
        <w:tab/>
      </w:r>
      <w:r w:rsidR="008D1CF4" w:rsidRPr="0068269B">
        <w:rPr>
          <w:rtl/>
        </w:rPr>
        <w:t xml:space="preserve">تمثيل الجنسين في عملية التعيين على مستوى </w:t>
      </w:r>
      <w:r w:rsidR="0068275E" w:rsidRPr="0068269B">
        <w:rPr>
          <w:rFonts w:hint="cs"/>
          <w:rtl/>
        </w:rPr>
        <w:t xml:space="preserve">الفئة </w:t>
      </w:r>
      <w:r w:rsidR="00BB764B" w:rsidRPr="0068269B">
        <w:rPr>
          <w:rFonts w:hint="cs"/>
          <w:rtl/>
        </w:rPr>
        <w:t>المهنية</w:t>
      </w:r>
    </w:p>
    <w:p w14:paraId="705729AE" w14:textId="613391B7" w:rsidR="00F50E3F" w:rsidRDefault="007D26A8" w:rsidP="007D26A8">
      <w:pPr>
        <w:pStyle w:val="Figure"/>
        <w:rPr>
          <w:rtl/>
        </w:rPr>
      </w:pPr>
      <w:r w:rsidRPr="007D26A8">
        <w:drawing>
          <wp:inline distT="0" distB="0" distL="0" distR="0" wp14:anchorId="5A638D82" wp14:editId="5D8F6571">
            <wp:extent cx="5779770" cy="30727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9770" cy="3072765"/>
                    </a:xfrm>
                    <a:prstGeom prst="rect">
                      <a:avLst/>
                    </a:prstGeom>
                    <a:noFill/>
                  </pic:spPr>
                </pic:pic>
              </a:graphicData>
            </a:graphic>
          </wp:inline>
        </w:drawing>
      </w:r>
    </w:p>
    <w:p w14:paraId="5AE6DC64" w14:textId="04ACC6E3"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DF80" w14:textId="77777777" w:rsidR="002D36B5" w:rsidRDefault="002D36B5" w:rsidP="006C3242">
      <w:pPr>
        <w:spacing w:before="0" w:line="240" w:lineRule="auto"/>
      </w:pPr>
      <w:r>
        <w:separator/>
      </w:r>
    </w:p>
  </w:endnote>
  <w:endnote w:type="continuationSeparator" w:id="0">
    <w:p w14:paraId="16B96305" w14:textId="77777777" w:rsidR="002D36B5" w:rsidRDefault="002D36B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53A230C" w14:textId="77777777" w:rsidTr="00357086">
      <w:trPr>
        <w:jc w:val="center"/>
      </w:trPr>
      <w:tc>
        <w:tcPr>
          <w:tcW w:w="868" w:type="pct"/>
          <w:vAlign w:val="center"/>
        </w:tcPr>
        <w:p w14:paraId="69CAEC66" w14:textId="0C4BE716"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2D36B5" w:rsidRPr="002D36B5">
            <w:rPr>
              <w:rFonts w:ascii="Calibri" w:hAnsi="Calibri" w:cs="Arial"/>
              <w:sz w:val="18"/>
              <w:szCs w:val="14"/>
            </w:rPr>
            <w:t>520356</w:t>
          </w:r>
        </w:p>
      </w:tc>
      <w:tc>
        <w:tcPr>
          <w:tcW w:w="3912" w:type="pct"/>
        </w:tcPr>
        <w:p w14:paraId="28DC0196" w14:textId="1FE0FF74"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46D18">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35ACFD"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25F8BF4" w14:textId="22D51E2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8F0EEB">
      <w:rPr>
        <w:color w:val="F2F2F2" w:themeColor="background1" w:themeShade="F2"/>
        <w:sz w:val="16"/>
        <w:szCs w:val="16"/>
        <w:lang w:val="fr-FR"/>
      </w:rPr>
      <w:fldChar w:fldCharType="begin"/>
    </w:r>
    <w:r w:rsidRPr="008F0EEB">
      <w:rPr>
        <w:color w:val="F2F2F2" w:themeColor="background1" w:themeShade="F2"/>
        <w:sz w:val="16"/>
        <w:szCs w:val="16"/>
        <w:lang w:val="fr-FR"/>
      </w:rPr>
      <w:instrText xml:space="preserve"> FILENAME \p \* MERGEFORMAT </w:instrText>
    </w:r>
    <w:r w:rsidRPr="008F0EEB">
      <w:rPr>
        <w:color w:val="F2F2F2" w:themeColor="background1" w:themeShade="F2"/>
        <w:sz w:val="16"/>
        <w:szCs w:val="16"/>
        <w:lang w:val="fr-FR"/>
      </w:rPr>
      <w:fldChar w:fldCharType="separate"/>
    </w:r>
    <w:r w:rsidR="0096465B" w:rsidRPr="008F0EEB">
      <w:rPr>
        <w:noProof/>
        <w:color w:val="F2F2F2" w:themeColor="background1" w:themeShade="F2"/>
        <w:sz w:val="16"/>
        <w:szCs w:val="16"/>
        <w:lang w:val="fr-FR"/>
      </w:rPr>
      <w:t>P:\ARA\SG\CONSEIL\C23\000\006A.docx</w:t>
    </w:r>
    <w:r w:rsidRPr="008F0EEB">
      <w:rPr>
        <w:color w:val="F2F2F2" w:themeColor="background1" w:themeShade="F2"/>
        <w:sz w:val="16"/>
        <w:szCs w:val="16"/>
      </w:rPr>
      <w:fldChar w:fldCharType="end"/>
    </w:r>
    <w:r w:rsidRPr="008F0EEB">
      <w:rPr>
        <w:color w:val="F2F2F2" w:themeColor="background1" w:themeShade="F2"/>
        <w:sz w:val="16"/>
        <w:szCs w:val="16"/>
        <w:lang w:val="fr-FR"/>
      </w:rPr>
      <w:t xml:space="preserve">   (</w:t>
    </w:r>
    <w:r w:rsidR="002D36B5" w:rsidRPr="008F0EEB">
      <w:rPr>
        <w:color w:val="F2F2F2" w:themeColor="background1" w:themeShade="F2"/>
        <w:sz w:val="16"/>
        <w:szCs w:val="16"/>
        <w:lang w:val="fr-FR"/>
      </w:rPr>
      <w:t>520356</w:t>
    </w:r>
    <w:r w:rsidRPr="008F0EE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F52AFB5" w14:textId="77777777" w:rsidTr="00F50E3F">
      <w:trPr>
        <w:jc w:val="center"/>
      </w:trPr>
      <w:tc>
        <w:tcPr>
          <w:tcW w:w="868" w:type="pct"/>
          <w:vAlign w:val="center"/>
        </w:tcPr>
        <w:p w14:paraId="71E830CA" w14:textId="77777777" w:rsidR="007B0AA0" w:rsidRPr="007B0AA0" w:rsidRDefault="00490D88"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3A49E34" w14:textId="724ED84F"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46D18">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D563598"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22B8207" w14:textId="529CF592" w:rsidR="0006468A" w:rsidRPr="00B41FDE" w:rsidRDefault="0006468A" w:rsidP="0006468A">
    <w:pPr>
      <w:pStyle w:val="Footer"/>
      <w:tabs>
        <w:tab w:val="clear" w:pos="4153"/>
        <w:tab w:val="clear" w:pos="8306"/>
        <w:tab w:val="center" w:pos="5103"/>
        <w:tab w:val="right" w:pos="9639"/>
      </w:tabs>
      <w:spacing w:before="120"/>
      <w:rPr>
        <w:sz w:val="16"/>
        <w:szCs w:val="16"/>
        <w:lang w:val="fr-FR"/>
      </w:rPr>
    </w:pPr>
    <w:r w:rsidRPr="008F0EEB">
      <w:rPr>
        <w:color w:val="F2F2F2" w:themeColor="background1" w:themeShade="F2"/>
        <w:sz w:val="16"/>
        <w:szCs w:val="16"/>
        <w:lang w:val="fr-FR"/>
      </w:rPr>
      <w:fldChar w:fldCharType="begin"/>
    </w:r>
    <w:r w:rsidRPr="008F0EEB">
      <w:rPr>
        <w:color w:val="F2F2F2" w:themeColor="background1" w:themeShade="F2"/>
        <w:sz w:val="16"/>
        <w:szCs w:val="16"/>
        <w:lang w:val="fr-FR"/>
      </w:rPr>
      <w:instrText xml:space="preserve"> FILENAME \p \* MERGEFORMAT </w:instrText>
    </w:r>
    <w:r w:rsidRPr="008F0EEB">
      <w:rPr>
        <w:color w:val="F2F2F2" w:themeColor="background1" w:themeShade="F2"/>
        <w:sz w:val="16"/>
        <w:szCs w:val="16"/>
        <w:lang w:val="fr-FR"/>
      </w:rPr>
      <w:fldChar w:fldCharType="separate"/>
    </w:r>
    <w:r w:rsidR="0096465B" w:rsidRPr="008F0EEB">
      <w:rPr>
        <w:noProof/>
        <w:color w:val="F2F2F2" w:themeColor="background1" w:themeShade="F2"/>
        <w:sz w:val="16"/>
        <w:szCs w:val="16"/>
        <w:lang w:val="fr-FR"/>
      </w:rPr>
      <w:t>P:\ARA\SG\CONSEIL\C23\000\006A.docx</w:t>
    </w:r>
    <w:r w:rsidRPr="008F0EEB">
      <w:rPr>
        <w:color w:val="F2F2F2" w:themeColor="background1" w:themeShade="F2"/>
        <w:sz w:val="16"/>
        <w:szCs w:val="16"/>
      </w:rPr>
      <w:fldChar w:fldCharType="end"/>
    </w:r>
    <w:r w:rsidRPr="008F0EEB">
      <w:rPr>
        <w:color w:val="F2F2F2" w:themeColor="background1" w:themeShade="F2"/>
        <w:sz w:val="16"/>
        <w:szCs w:val="16"/>
        <w:lang w:val="fr-FR"/>
      </w:rPr>
      <w:t xml:space="preserve">   (</w:t>
    </w:r>
    <w:r w:rsidR="002D36B5" w:rsidRPr="008F0EEB">
      <w:rPr>
        <w:color w:val="F2F2F2" w:themeColor="background1" w:themeShade="F2"/>
        <w:sz w:val="16"/>
        <w:szCs w:val="16"/>
        <w:lang w:val="fr-FR"/>
      </w:rPr>
      <w:t>520356</w:t>
    </w:r>
    <w:r w:rsidRPr="008F0EEB">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BC9F" w14:textId="77777777" w:rsidR="002D36B5" w:rsidRDefault="002D36B5" w:rsidP="006C3242">
      <w:pPr>
        <w:spacing w:before="0" w:line="240" w:lineRule="auto"/>
      </w:pPr>
      <w:r>
        <w:separator/>
      </w:r>
    </w:p>
  </w:footnote>
  <w:footnote w:type="continuationSeparator" w:id="0">
    <w:p w14:paraId="62EA23BA" w14:textId="77777777" w:rsidR="002D36B5" w:rsidRDefault="002D36B5" w:rsidP="006C3242">
      <w:pPr>
        <w:spacing w:before="0" w:line="240" w:lineRule="auto"/>
      </w:pPr>
      <w:r>
        <w:continuationSeparator/>
      </w:r>
    </w:p>
  </w:footnote>
  <w:footnote w:id="1">
    <w:p w14:paraId="52AE2520" w14:textId="6F5EDCDE" w:rsidR="009224B7" w:rsidRPr="006D74D5" w:rsidRDefault="009224B7" w:rsidP="003D46CE">
      <w:pPr>
        <w:pStyle w:val="FootnoteText"/>
        <w:tabs>
          <w:tab w:val="clear" w:pos="794"/>
          <w:tab w:val="left" w:pos="283"/>
        </w:tabs>
        <w:rPr>
          <w:sz w:val="18"/>
          <w:szCs w:val="18"/>
          <w:lang w:bidi="ar-SY"/>
        </w:rPr>
      </w:pPr>
      <w:r w:rsidRPr="006D74D5">
        <w:rPr>
          <w:rStyle w:val="FootnoteReference"/>
        </w:rPr>
        <w:footnoteRef/>
      </w:r>
      <w:r w:rsidRPr="006D74D5">
        <w:rPr>
          <w:sz w:val="18"/>
          <w:szCs w:val="18"/>
          <w:rtl/>
          <w:lang w:bidi="ar-SY"/>
        </w:rPr>
        <w:tab/>
      </w:r>
      <w:hyperlink r:id="rId1" w:history="1">
        <w:r w:rsidR="00887B9F" w:rsidRPr="006D74D5">
          <w:rPr>
            <w:rStyle w:val="Hyperlink"/>
            <w:rFonts w:hint="cs"/>
            <w:sz w:val="18"/>
            <w:szCs w:val="18"/>
            <w:rtl/>
          </w:rPr>
          <w:t>دستور الاتحاد الدولي للاتصالات</w:t>
        </w:r>
      </w:hyperlink>
      <w:r w:rsidR="00887B9F" w:rsidRPr="006D74D5">
        <w:rPr>
          <w:rFonts w:hint="cs"/>
          <w:sz w:val="18"/>
          <w:szCs w:val="18"/>
          <w:rtl/>
        </w:rPr>
        <w:t>، المادة 1.د.</w:t>
      </w:r>
    </w:p>
  </w:footnote>
  <w:footnote w:id="2">
    <w:p w14:paraId="4DEB3CAD" w14:textId="0BE06E0A" w:rsidR="0010082F" w:rsidRPr="006D74D5" w:rsidRDefault="0010082F" w:rsidP="003D46CE">
      <w:pPr>
        <w:pStyle w:val="FootnoteText"/>
        <w:tabs>
          <w:tab w:val="clear" w:pos="794"/>
          <w:tab w:val="left" w:pos="283"/>
        </w:tabs>
        <w:rPr>
          <w:sz w:val="18"/>
          <w:szCs w:val="18"/>
          <w:rtl/>
          <w:lang w:bidi="ar-SY"/>
        </w:rPr>
      </w:pPr>
      <w:r w:rsidRPr="006D74D5">
        <w:rPr>
          <w:rStyle w:val="FootnoteReference"/>
        </w:rPr>
        <w:footnoteRef/>
      </w:r>
      <w:r w:rsidRPr="006D74D5">
        <w:rPr>
          <w:sz w:val="18"/>
          <w:szCs w:val="18"/>
          <w:rtl/>
          <w:lang w:bidi="ar-SY"/>
        </w:rPr>
        <w:tab/>
      </w:r>
      <w:r w:rsidRPr="006D74D5">
        <w:rPr>
          <w:rFonts w:hint="cs"/>
          <w:i/>
          <w:iCs/>
          <w:sz w:val="18"/>
          <w:szCs w:val="18"/>
          <w:rtl/>
        </w:rPr>
        <w:t xml:space="preserve">انظر فقرة </w:t>
      </w:r>
      <w:r w:rsidR="005B3F2C" w:rsidRPr="006D74D5">
        <w:rPr>
          <w:rFonts w:hint="cs"/>
          <w:sz w:val="18"/>
          <w:szCs w:val="18"/>
          <w:rtl/>
        </w:rPr>
        <w:t>"</w:t>
      </w:r>
      <w:r w:rsidRPr="006D74D5">
        <w:rPr>
          <w:rFonts w:hint="cs"/>
          <w:i/>
          <w:iCs/>
          <w:sz w:val="18"/>
          <w:szCs w:val="18"/>
          <w:rtl/>
        </w:rPr>
        <w:t>يكلف الأمين العام</w:t>
      </w:r>
      <w:r w:rsidR="005B3F2C" w:rsidRPr="006D74D5">
        <w:rPr>
          <w:rFonts w:hint="cs"/>
          <w:sz w:val="18"/>
          <w:szCs w:val="18"/>
          <w:rtl/>
        </w:rPr>
        <w:t>"</w:t>
      </w:r>
      <w:r w:rsidRPr="006D74D5">
        <w:rPr>
          <w:rFonts w:hint="cs"/>
          <w:sz w:val="18"/>
          <w:szCs w:val="18"/>
          <w:rtl/>
        </w:rPr>
        <w:t xml:space="preserve">، </w:t>
      </w:r>
      <w:hyperlink r:id="rId2" w:history="1">
        <w:r w:rsidRPr="006D74D5">
          <w:rPr>
            <w:rStyle w:val="Hyperlink"/>
            <w:rFonts w:hint="cs"/>
            <w:sz w:val="18"/>
            <w:szCs w:val="18"/>
            <w:rtl/>
            <w:lang w:bidi="ar-SY"/>
          </w:rPr>
          <w:t xml:space="preserve">القرار </w:t>
        </w:r>
        <w:r w:rsidRPr="006D74D5">
          <w:rPr>
            <w:rStyle w:val="Hyperlink"/>
            <w:sz w:val="18"/>
            <w:szCs w:val="18"/>
            <w:lang w:bidi="ar-SY"/>
          </w:rPr>
          <w:t>70</w:t>
        </w:r>
      </w:hyperlink>
      <w:r w:rsidRPr="006D74D5">
        <w:rPr>
          <w:rFonts w:hint="cs"/>
          <w:sz w:val="18"/>
          <w:szCs w:val="18"/>
          <w:rtl/>
        </w:rPr>
        <w:t xml:space="preserve"> (المراجَع في بوخارست، </w:t>
      </w:r>
      <w:r w:rsidRPr="006D74D5">
        <w:rPr>
          <w:sz w:val="18"/>
          <w:szCs w:val="18"/>
        </w:rPr>
        <w:t>2022</w:t>
      </w:r>
      <w:r w:rsidRPr="006D74D5">
        <w:rPr>
          <w:rFonts w:hint="cs"/>
          <w:sz w:val="18"/>
          <w:szCs w:val="18"/>
          <w:rtl/>
        </w:rPr>
        <w:t>).</w:t>
      </w:r>
    </w:p>
  </w:footnote>
  <w:footnote w:id="3">
    <w:p w14:paraId="105F4427" w14:textId="75359429" w:rsidR="0010082F" w:rsidRPr="006D74D5" w:rsidRDefault="0010082F" w:rsidP="003D46CE">
      <w:pPr>
        <w:pStyle w:val="FootnoteText"/>
        <w:tabs>
          <w:tab w:val="clear" w:pos="794"/>
          <w:tab w:val="left" w:pos="283"/>
        </w:tabs>
        <w:rPr>
          <w:sz w:val="18"/>
          <w:szCs w:val="18"/>
          <w:lang w:bidi="ar-SY"/>
        </w:rPr>
      </w:pPr>
      <w:r w:rsidRPr="006D74D5">
        <w:rPr>
          <w:rStyle w:val="FootnoteReference"/>
        </w:rPr>
        <w:footnoteRef/>
      </w:r>
      <w:r w:rsidRPr="006D74D5">
        <w:rPr>
          <w:sz w:val="18"/>
          <w:szCs w:val="18"/>
          <w:rtl/>
        </w:rPr>
        <w:t xml:space="preserve"> </w:t>
      </w:r>
      <w:r w:rsidRPr="006D74D5">
        <w:rPr>
          <w:sz w:val="18"/>
          <w:szCs w:val="18"/>
          <w:rtl/>
        </w:rPr>
        <w:tab/>
      </w:r>
      <w:hyperlink r:id="rId3" w:history="1">
        <w:r w:rsidRPr="006D74D5">
          <w:rPr>
            <w:rStyle w:val="Hyperlink"/>
            <w:rFonts w:hint="cs"/>
            <w:sz w:val="18"/>
            <w:szCs w:val="18"/>
            <w:rtl/>
            <w:lang w:bidi="ar-SY"/>
          </w:rPr>
          <w:t xml:space="preserve">القرار </w:t>
        </w:r>
        <w:r w:rsidRPr="006D74D5">
          <w:rPr>
            <w:rStyle w:val="Hyperlink"/>
            <w:sz w:val="18"/>
            <w:szCs w:val="18"/>
            <w:lang w:bidi="ar-SY"/>
          </w:rPr>
          <w:t>70</w:t>
        </w:r>
      </w:hyperlink>
      <w:r w:rsidRPr="006D74D5">
        <w:rPr>
          <w:rFonts w:hint="cs"/>
          <w:sz w:val="18"/>
          <w:szCs w:val="18"/>
          <w:rtl/>
        </w:rPr>
        <w:t xml:space="preserve"> (المراجَع في بوخارست، </w:t>
      </w:r>
      <w:r w:rsidRPr="006D74D5">
        <w:rPr>
          <w:sz w:val="18"/>
          <w:szCs w:val="18"/>
        </w:rPr>
        <w:t>2022</w:t>
      </w:r>
      <w:r w:rsidRPr="006D74D5">
        <w:rPr>
          <w:rFonts w:hint="cs"/>
          <w:sz w:val="18"/>
          <w:szCs w:val="18"/>
          <w:rtl/>
        </w:rPr>
        <w:t>).</w:t>
      </w:r>
    </w:p>
  </w:footnote>
  <w:footnote w:id="4">
    <w:p w14:paraId="037654D7" w14:textId="4E4454D8" w:rsidR="00974BEB" w:rsidRPr="006D74D5" w:rsidRDefault="00974BEB" w:rsidP="003D46CE">
      <w:pPr>
        <w:pStyle w:val="FootnoteText"/>
        <w:tabs>
          <w:tab w:val="clear" w:pos="794"/>
          <w:tab w:val="left" w:pos="283"/>
        </w:tabs>
        <w:rPr>
          <w:sz w:val="18"/>
          <w:szCs w:val="18"/>
          <w:lang w:bidi="ar-SY"/>
        </w:rPr>
      </w:pPr>
      <w:r w:rsidRPr="006D74D5">
        <w:rPr>
          <w:rStyle w:val="FootnoteReference"/>
        </w:rPr>
        <w:footnoteRef/>
      </w:r>
      <w:r w:rsidRPr="006D74D5">
        <w:rPr>
          <w:sz w:val="18"/>
          <w:szCs w:val="18"/>
          <w:rtl/>
        </w:rPr>
        <w:tab/>
      </w:r>
      <w:hyperlink r:id="rId4" w:history="1">
        <w:r w:rsidR="002613BF" w:rsidRPr="006D74D5">
          <w:rPr>
            <w:rStyle w:val="Hyperlink"/>
            <w:sz w:val="18"/>
            <w:szCs w:val="18"/>
            <w:rtl/>
          </w:rPr>
          <w:t>تمثيل المرأة في فئات الوظائف المهنية والعليا</w:t>
        </w:r>
      </w:hyperlink>
      <w:r w:rsidR="002613BF" w:rsidRPr="006D74D5">
        <w:rPr>
          <w:rFonts w:hint="cs"/>
          <w:sz w:val="18"/>
          <w:szCs w:val="18"/>
          <w:rtl/>
        </w:rPr>
        <w:t>، صفحة 4.</w:t>
      </w:r>
      <w:r w:rsidRPr="006D74D5">
        <w:rPr>
          <w:rFonts w:hint="cs"/>
          <w:sz w:val="18"/>
          <w:szCs w:val="18"/>
          <w:rtl/>
          <w:lang w:bidi="ar-SY"/>
        </w:rPr>
        <w:t xml:space="preserve"> </w:t>
      </w:r>
    </w:p>
  </w:footnote>
  <w:footnote w:id="5">
    <w:p w14:paraId="283C8AEE" w14:textId="4BBE7035" w:rsidR="00DB4F11" w:rsidRPr="006D74D5" w:rsidRDefault="00DB4F11" w:rsidP="003D46CE">
      <w:pPr>
        <w:pStyle w:val="FootnoteText"/>
        <w:tabs>
          <w:tab w:val="clear" w:pos="794"/>
          <w:tab w:val="left" w:pos="283"/>
        </w:tabs>
        <w:rPr>
          <w:sz w:val="18"/>
          <w:szCs w:val="18"/>
          <w:lang w:bidi="ar-EG"/>
        </w:rPr>
      </w:pPr>
      <w:r w:rsidRPr="006D74D5">
        <w:rPr>
          <w:rStyle w:val="FootnoteReference"/>
        </w:rPr>
        <w:footnoteRef/>
      </w:r>
      <w:r w:rsidR="00E528B0" w:rsidRPr="006D74D5">
        <w:rPr>
          <w:sz w:val="18"/>
          <w:szCs w:val="18"/>
          <w:rtl/>
        </w:rPr>
        <w:tab/>
      </w:r>
      <w:r w:rsidR="001E7D38">
        <w:rPr>
          <w:rFonts w:hint="cs"/>
          <w:sz w:val="18"/>
          <w:szCs w:val="18"/>
          <w:rtl/>
        </w:rPr>
        <w:t xml:space="preserve">انظر </w:t>
      </w:r>
      <w:hyperlink r:id="rId5" w:history="1">
        <w:r w:rsidRPr="006D74D5">
          <w:rPr>
            <w:rStyle w:val="Hyperlink"/>
            <w:sz w:val="18"/>
            <w:szCs w:val="18"/>
            <w:rtl/>
          </w:rPr>
          <w:t>مقياس نتائج فعالية النوع الاجتماعي التابع لبرنامج الأمم المتحدة الإنمائي</w:t>
        </w:r>
      </w:hyperlink>
      <w:r w:rsidRPr="006D74D5">
        <w:rPr>
          <w:rFonts w:hint="cs"/>
          <w:sz w:val="18"/>
          <w:szCs w:val="18"/>
          <w:rtl/>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5C90" w14:textId="77777777" w:rsidR="007B0AA0" w:rsidRDefault="00D13941" w:rsidP="007B0AA0">
    <w:pPr>
      <w:pStyle w:val="Header"/>
      <w:spacing w:before="120" w:after="240"/>
    </w:pPr>
    <w:r>
      <w:rPr>
        <w:noProof/>
      </w:rPr>
      <w:drawing>
        <wp:inline distT="0" distB="0" distL="0" distR="0" wp14:anchorId="771D8DFA" wp14:editId="43DC9FC3">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593988"/>
    <w:multiLevelType w:val="hybridMultilevel"/>
    <w:tmpl w:val="FCA84FDE"/>
    <w:lvl w:ilvl="0" w:tplc="FF7E15E2">
      <w:start w:val="2"/>
      <w:numFmt w:val="bullet"/>
      <w:lvlText w:val=""/>
      <w:lvlJc w:val="left"/>
      <w:pPr>
        <w:ind w:left="720" w:hanging="360"/>
      </w:pPr>
      <w:rPr>
        <w:rFonts w:ascii="Symbol" w:eastAsiaTheme="maj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373623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B5"/>
    <w:rsid w:val="0002661D"/>
    <w:rsid w:val="00062830"/>
    <w:rsid w:val="0006468A"/>
    <w:rsid w:val="00082162"/>
    <w:rsid w:val="00090574"/>
    <w:rsid w:val="000933EF"/>
    <w:rsid w:val="000C1C0E"/>
    <w:rsid w:val="000C548A"/>
    <w:rsid w:val="0010082F"/>
    <w:rsid w:val="00160F94"/>
    <w:rsid w:val="001C0169"/>
    <w:rsid w:val="001D1D50"/>
    <w:rsid w:val="001D6745"/>
    <w:rsid w:val="001E446E"/>
    <w:rsid w:val="001E7D38"/>
    <w:rsid w:val="002154EE"/>
    <w:rsid w:val="002276D2"/>
    <w:rsid w:val="0023283D"/>
    <w:rsid w:val="002475B4"/>
    <w:rsid w:val="002613BF"/>
    <w:rsid w:val="0026373E"/>
    <w:rsid w:val="00271C43"/>
    <w:rsid w:val="00277AAD"/>
    <w:rsid w:val="00290728"/>
    <w:rsid w:val="002978F4"/>
    <w:rsid w:val="002B028D"/>
    <w:rsid w:val="002D060B"/>
    <w:rsid w:val="002D36B5"/>
    <w:rsid w:val="002D62C7"/>
    <w:rsid w:val="002E6541"/>
    <w:rsid w:val="00306086"/>
    <w:rsid w:val="00327E7A"/>
    <w:rsid w:val="00334924"/>
    <w:rsid w:val="003409BC"/>
    <w:rsid w:val="0034490E"/>
    <w:rsid w:val="0035484A"/>
    <w:rsid w:val="00357185"/>
    <w:rsid w:val="003767D1"/>
    <w:rsid w:val="00383829"/>
    <w:rsid w:val="003862F2"/>
    <w:rsid w:val="003D46CE"/>
    <w:rsid w:val="003D7DBF"/>
    <w:rsid w:val="003E5DD8"/>
    <w:rsid w:val="003F4B29"/>
    <w:rsid w:val="00406AD2"/>
    <w:rsid w:val="00411CD4"/>
    <w:rsid w:val="0042686F"/>
    <w:rsid w:val="004317D8"/>
    <w:rsid w:val="00433826"/>
    <w:rsid w:val="00434183"/>
    <w:rsid w:val="00443869"/>
    <w:rsid w:val="00447F32"/>
    <w:rsid w:val="00474AA6"/>
    <w:rsid w:val="00490D88"/>
    <w:rsid w:val="00494E95"/>
    <w:rsid w:val="00497CA3"/>
    <w:rsid w:val="004B7334"/>
    <w:rsid w:val="004C2873"/>
    <w:rsid w:val="004D160F"/>
    <w:rsid w:val="004E11DC"/>
    <w:rsid w:val="00502B2D"/>
    <w:rsid w:val="00525DDD"/>
    <w:rsid w:val="005409AC"/>
    <w:rsid w:val="0055516A"/>
    <w:rsid w:val="005624C1"/>
    <w:rsid w:val="0058491B"/>
    <w:rsid w:val="00592EA5"/>
    <w:rsid w:val="00594CA9"/>
    <w:rsid w:val="005A3170"/>
    <w:rsid w:val="005B3F2C"/>
    <w:rsid w:val="005C160D"/>
    <w:rsid w:val="005C3FFF"/>
    <w:rsid w:val="005E6B77"/>
    <w:rsid w:val="00677396"/>
    <w:rsid w:val="0068269B"/>
    <w:rsid w:val="0068275E"/>
    <w:rsid w:val="0069200F"/>
    <w:rsid w:val="006A65CB"/>
    <w:rsid w:val="006C3242"/>
    <w:rsid w:val="006C438A"/>
    <w:rsid w:val="006C7CC0"/>
    <w:rsid w:val="006D74D5"/>
    <w:rsid w:val="006E52B3"/>
    <w:rsid w:val="006F63F7"/>
    <w:rsid w:val="007025C7"/>
    <w:rsid w:val="00706D7A"/>
    <w:rsid w:val="00716721"/>
    <w:rsid w:val="00722F0D"/>
    <w:rsid w:val="007317F0"/>
    <w:rsid w:val="0074420E"/>
    <w:rsid w:val="00750D58"/>
    <w:rsid w:val="007557FC"/>
    <w:rsid w:val="007802D2"/>
    <w:rsid w:val="007826D7"/>
    <w:rsid w:val="00783E26"/>
    <w:rsid w:val="007B0AA0"/>
    <w:rsid w:val="007C3BC7"/>
    <w:rsid w:val="007C3BCD"/>
    <w:rsid w:val="007D26A8"/>
    <w:rsid w:val="007D4ACF"/>
    <w:rsid w:val="007E6BAF"/>
    <w:rsid w:val="007F0787"/>
    <w:rsid w:val="007F2F1D"/>
    <w:rsid w:val="007F6EDB"/>
    <w:rsid w:val="00810B7B"/>
    <w:rsid w:val="00816A83"/>
    <w:rsid w:val="00821800"/>
    <w:rsid w:val="0082358A"/>
    <w:rsid w:val="008235CD"/>
    <w:rsid w:val="008247DE"/>
    <w:rsid w:val="008339C0"/>
    <w:rsid w:val="00834CE3"/>
    <w:rsid w:val="00840B10"/>
    <w:rsid w:val="008513CB"/>
    <w:rsid w:val="00875F5F"/>
    <w:rsid w:val="00887B9F"/>
    <w:rsid w:val="008A7F84"/>
    <w:rsid w:val="008B4F62"/>
    <w:rsid w:val="008D1CF4"/>
    <w:rsid w:val="008E7717"/>
    <w:rsid w:val="008F0EEB"/>
    <w:rsid w:val="0091702E"/>
    <w:rsid w:val="009224B7"/>
    <w:rsid w:val="00923B0C"/>
    <w:rsid w:val="0094021C"/>
    <w:rsid w:val="00946A4E"/>
    <w:rsid w:val="00952F86"/>
    <w:rsid w:val="0096465B"/>
    <w:rsid w:val="00967BAD"/>
    <w:rsid w:val="00974BEB"/>
    <w:rsid w:val="00982B28"/>
    <w:rsid w:val="009D157D"/>
    <w:rsid w:val="009D1E1E"/>
    <w:rsid w:val="009D313F"/>
    <w:rsid w:val="009D634F"/>
    <w:rsid w:val="00A32E34"/>
    <w:rsid w:val="00A46C4E"/>
    <w:rsid w:val="00A47A5A"/>
    <w:rsid w:val="00A62536"/>
    <w:rsid w:val="00A6683B"/>
    <w:rsid w:val="00A8325D"/>
    <w:rsid w:val="00A97F94"/>
    <w:rsid w:val="00AA7EA2"/>
    <w:rsid w:val="00AE7C55"/>
    <w:rsid w:val="00B01BEC"/>
    <w:rsid w:val="00B03099"/>
    <w:rsid w:val="00B05BC8"/>
    <w:rsid w:val="00B0737A"/>
    <w:rsid w:val="00B41FDE"/>
    <w:rsid w:val="00B47026"/>
    <w:rsid w:val="00B56F59"/>
    <w:rsid w:val="00B64B47"/>
    <w:rsid w:val="00B7103A"/>
    <w:rsid w:val="00B74B7E"/>
    <w:rsid w:val="00B81068"/>
    <w:rsid w:val="00B91346"/>
    <w:rsid w:val="00B95654"/>
    <w:rsid w:val="00BB764B"/>
    <w:rsid w:val="00C002DE"/>
    <w:rsid w:val="00C53BF8"/>
    <w:rsid w:val="00C66157"/>
    <w:rsid w:val="00C674FE"/>
    <w:rsid w:val="00C67501"/>
    <w:rsid w:val="00C73ACC"/>
    <w:rsid w:val="00C75633"/>
    <w:rsid w:val="00CA5E95"/>
    <w:rsid w:val="00CC2D24"/>
    <w:rsid w:val="00CE2EE1"/>
    <w:rsid w:val="00CE3349"/>
    <w:rsid w:val="00CE36E5"/>
    <w:rsid w:val="00CF27F5"/>
    <w:rsid w:val="00CF3FFD"/>
    <w:rsid w:val="00D10CCF"/>
    <w:rsid w:val="00D13941"/>
    <w:rsid w:val="00D46D18"/>
    <w:rsid w:val="00D63735"/>
    <w:rsid w:val="00D77D0F"/>
    <w:rsid w:val="00DA1CF0"/>
    <w:rsid w:val="00DB4F11"/>
    <w:rsid w:val="00DC1E02"/>
    <w:rsid w:val="00DC24B4"/>
    <w:rsid w:val="00DC5FB0"/>
    <w:rsid w:val="00DF16DC"/>
    <w:rsid w:val="00E21411"/>
    <w:rsid w:val="00E42476"/>
    <w:rsid w:val="00E45211"/>
    <w:rsid w:val="00E473C5"/>
    <w:rsid w:val="00E528B0"/>
    <w:rsid w:val="00E61BE8"/>
    <w:rsid w:val="00E62C58"/>
    <w:rsid w:val="00E92863"/>
    <w:rsid w:val="00EB796D"/>
    <w:rsid w:val="00F058DC"/>
    <w:rsid w:val="00F24FC4"/>
    <w:rsid w:val="00F2676C"/>
    <w:rsid w:val="00F363FE"/>
    <w:rsid w:val="00F42324"/>
    <w:rsid w:val="00F50E3F"/>
    <w:rsid w:val="00F64D81"/>
    <w:rsid w:val="00F6541D"/>
    <w:rsid w:val="00F84366"/>
    <w:rsid w:val="00F85089"/>
    <w:rsid w:val="00F974C5"/>
    <w:rsid w:val="00FA5B88"/>
    <w:rsid w:val="00FA6F46"/>
    <w:rsid w:val="00FC0D91"/>
    <w:rsid w:val="00FC1D99"/>
    <w:rsid w:val="00FC4592"/>
    <w:rsid w:val="00FD4397"/>
    <w:rsid w:val="00FD527F"/>
    <w:rsid w:val="00FE4DF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2D0E"/>
  <w15:chartTrackingRefBased/>
  <w15:docId w15:val="{E0276B7F-540D-4E50-8B5E-48ADA298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fL????,fL?级,超????,超??级链,超??级链Ú,超?级链,超级链接,超链接1,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D18"/>
    <w:rPr>
      <w:color w:val="605E5C"/>
      <w:shd w:val="clear" w:color="auto" w:fill="E1DFDD"/>
    </w:rPr>
  </w:style>
  <w:style w:type="paragraph" w:customStyle="1" w:styleId="Figure">
    <w:name w:val="Figure"/>
    <w:basedOn w:val="Normal"/>
    <w:qFormat/>
    <w:rsid w:val="00974BEB"/>
    <w:pPr>
      <w:spacing w:before="100" w:beforeAutospacing="1" w:after="100" w:afterAutospacing="1" w:line="360" w:lineRule="auto"/>
      <w:jc w:val="center"/>
    </w:pPr>
    <w:rPr>
      <w:noProof/>
      <w:lang w:bidi="ar-EG"/>
    </w:rPr>
  </w:style>
  <w:style w:type="character" w:customStyle="1" w:styleId="CallChar">
    <w:name w:val="Call Char"/>
    <w:basedOn w:val="DefaultParagraphFont"/>
    <w:link w:val="Call"/>
    <w:locked/>
    <w:rsid w:val="00E62C58"/>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0-A.pdf" TargetMode="External"/><Relationship Id="rId13" Type="http://schemas.openxmlformats.org/officeDocument/2006/relationships/hyperlink" Target="https://www.equalsintech.org/awards" TargetMode="External"/><Relationship Id="rId18" Type="http://schemas.openxmlformats.org/officeDocument/2006/relationships/hyperlink" Target="https://www.itu.int/en/ITU-D/Digital-Inclusion/Pages/EIF-Regional-Project-.asp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itu.int/genderdashboard" TargetMode="External"/><Relationship Id="rId7" Type="http://schemas.openxmlformats.org/officeDocument/2006/relationships/endnotes" Target="endnotes.xml"/><Relationship Id="rId12" Type="http://schemas.openxmlformats.org/officeDocument/2006/relationships/hyperlink" Target="http://www.equalsintech.org" TargetMode="External"/><Relationship Id="rId17" Type="http://schemas.openxmlformats.org/officeDocument/2006/relationships/hyperlink" Target="http://www.wsis.org/"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D/Cybersecurity/Pages/Women-in-Cyber/Women-in-Cyber-Mentorship-Programme.aspx" TargetMode="External"/><Relationship Id="rId20" Type="http://schemas.openxmlformats.org/officeDocument/2006/relationships/hyperlink" Target="https://www.unwomen.org/en/how-we-work/un-system-coordination/promoting-un-accountabi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observances/list-days-weeks" TargetMode="External"/><Relationship Id="rId24" Type="http://schemas.openxmlformats.org/officeDocument/2006/relationships/hyperlink" Target="https://www.itu.int/en/council/Documents/basic-texts-2023/RES-070-A.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gkYUlpgasoo"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hyperlink" Target="https://www.itu.int/women-and-girls/girls-in-ict/" TargetMode="External"/><Relationship Id="rId19" Type="http://schemas.openxmlformats.org/officeDocument/2006/relationships/hyperlink" Target="https://genderchampions.com/commitment?CommitmentSearch%5bchampion_ids%5d%5b%5d=230&amp;CommitmentSearch%5bcategory_id%5d=&amp;CommitmentSearch%5bchapter_id%5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INF-0002/en" TargetMode="External"/><Relationship Id="rId14" Type="http://schemas.openxmlformats.org/officeDocument/2006/relationships/hyperlink" Target="https://www.itu.int/en/ITU-D/Regional-Presence/Africa/Pages/African-Girls-Can-Code-Initiative-%28AGCCI%29-II.aspx" TargetMode="External"/><Relationship Id="rId22" Type="http://schemas.openxmlformats.org/officeDocument/2006/relationships/hyperlink" Target="https://app.powerbi.com/view?r=eyJrIjoiOWJmNjg1MTktOWM4NC00ZmRmLWFiZTYtYWY3NGNkOGI0MmY4IiwidCI6IjIzZTQ2NGQ3LTA0ZTYtNGI4Ny05MTNjLTI0YmQ4OTIxOWZkMyIsImMiOjl9" TargetMode="External"/><Relationship Id="rId27" Type="http://schemas.openxmlformats.org/officeDocument/2006/relationships/image" Target="media/image4.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Documents/basic-texts-2023/RES-070-A.pdf" TargetMode="External"/><Relationship Id="rId2" Type="http://schemas.openxmlformats.org/officeDocument/2006/relationships/hyperlink" Target="https://www.itu.int/en/council/Documents/basic-texts-2023/RES-070-A.pdf" TargetMode="External"/><Relationship Id="rId1" Type="http://schemas.openxmlformats.org/officeDocument/2006/relationships/hyperlink" Target="https://www.itu.int/en/council/Documents/basic-texts/Constitution-E.pdf" TargetMode="External"/><Relationship Id="rId5" Type="http://schemas.openxmlformats.org/officeDocument/2006/relationships/hyperlink" Target="http://web.undp.org/evaluation/documents/guidance/gender/GRES_English.pdf" TargetMode="External"/><Relationship Id="rId4" Type="http://schemas.openxmlformats.org/officeDocument/2006/relationships/hyperlink" Target="https://app.powerbi.com/view?r=eyJrIjoiOWJmNjg1MTktOWM4NC00ZmRmLWFiZTYtYWY3NGNkOGI0MmY4IiwidCI6IjIzZTQ2NGQ3LTA0ZTYtNGI4Ny05MTNjLTI0YmQ4OTIxOWZkMyIsImMiOjl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years of ITU's work programme on gender equality</dc:title>
  <dc:subject>Council 2023</dc:subject>
  <dc:creator>Arabic-AAM</dc:creator>
  <cp:keywords>C2023, C23, Council-23</cp:keywords>
  <dc:description/>
  <cp:lastModifiedBy>Xue, Kun</cp:lastModifiedBy>
  <cp:revision>4</cp:revision>
  <dcterms:created xsi:type="dcterms:W3CDTF">2023-07-06T15:09:00Z</dcterms:created>
  <dcterms:modified xsi:type="dcterms:W3CDTF">2023-07-06T15:10:00Z</dcterms:modified>
  <cp:category>Conference document</cp:category>
</cp:coreProperties>
</file>