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7517BC55" w14:textId="77777777" w:rsidTr="00C538FC">
        <w:trPr>
          <w:cantSplit/>
          <w:trHeight w:val="23"/>
        </w:trPr>
        <w:tc>
          <w:tcPr>
            <w:tcW w:w="3969" w:type="dxa"/>
            <w:vMerge w:val="restart"/>
            <w:tcMar>
              <w:left w:w="0" w:type="dxa"/>
            </w:tcMar>
          </w:tcPr>
          <w:p w14:paraId="3C6FFA15" w14:textId="12FE363F" w:rsidR="00FE57F6" w:rsidRPr="00E85629" w:rsidRDefault="001F3771" w:rsidP="00C538FC">
            <w:pPr>
              <w:tabs>
                <w:tab w:val="left" w:pos="851"/>
              </w:tabs>
              <w:spacing w:before="0" w:line="240" w:lineRule="atLeast"/>
              <w:rPr>
                <w:b/>
              </w:rPr>
            </w:pPr>
            <w:bookmarkStart w:id="0" w:name="_Hlk133421839"/>
            <w:r w:rsidRPr="006332CA">
              <w:rPr>
                <w:b/>
              </w:rPr>
              <w:t>Punto del orden del día: PL 3</w:t>
            </w:r>
          </w:p>
        </w:tc>
        <w:tc>
          <w:tcPr>
            <w:tcW w:w="5245" w:type="dxa"/>
          </w:tcPr>
          <w:p w14:paraId="2ED9D045" w14:textId="7355E653"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1F3771">
              <w:rPr>
                <w:b/>
              </w:rPr>
              <w:t>4</w:t>
            </w:r>
            <w:r>
              <w:rPr>
                <w:b/>
              </w:rPr>
              <w:t>-</w:t>
            </w:r>
            <w:r w:rsidR="00F24B71">
              <w:rPr>
                <w:b/>
              </w:rPr>
              <w:t>S</w:t>
            </w:r>
          </w:p>
        </w:tc>
      </w:tr>
      <w:tr w:rsidR="00FE57F6" w:rsidRPr="00813E5E" w14:paraId="446503A2" w14:textId="77777777" w:rsidTr="00C538FC">
        <w:trPr>
          <w:cantSplit/>
        </w:trPr>
        <w:tc>
          <w:tcPr>
            <w:tcW w:w="3969" w:type="dxa"/>
            <w:vMerge/>
          </w:tcPr>
          <w:p w14:paraId="2AA0FDD8" w14:textId="77777777" w:rsidR="00FE57F6" w:rsidRPr="00813E5E" w:rsidRDefault="00FE57F6" w:rsidP="00C538FC">
            <w:pPr>
              <w:tabs>
                <w:tab w:val="left" w:pos="851"/>
              </w:tabs>
              <w:spacing w:line="240" w:lineRule="atLeast"/>
              <w:rPr>
                <w:b/>
              </w:rPr>
            </w:pPr>
          </w:p>
        </w:tc>
        <w:tc>
          <w:tcPr>
            <w:tcW w:w="5245" w:type="dxa"/>
          </w:tcPr>
          <w:p w14:paraId="7D370FC5" w14:textId="62293DB9" w:rsidR="00FE57F6" w:rsidRPr="00E85629" w:rsidRDefault="001F3771" w:rsidP="00C538FC">
            <w:pPr>
              <w:tabs>
                <w:tab w:val="left" w:pos="851"/>
              </w:tabs>
              <w:spacing w:before="0"/>
              <w:jc w:val="right"/>
              <w:rPr>
                <w:b/>
              </w:rPr>
            </w:pPr>
            <w:r w:rsidRPr="006332CA">
              <w:rPr>
                <w:b/>
              </w:rPr>
              <w:t>2</w:t>
            </w:r>
            <w:r w:rsidR="00C91EE2">
              <w:rPr>
                <w:b/>
              </w:rPr>
              <w:t>5</w:t>
            </w:r>
            <w:r w:rsidRPr="006332CA">
              <w:rPr>
                <w:b/>
              </w:rPr>
              <w:t xml:space="preserve"> de mayo de 2023</w:t>
            </w:r>
          </w:p>
        </w:tc>
      </w:tr>
      <w:tr w:rsidR="00FE57F6" w:rsidRPr="00F24B71" w14:paraId="33186D00" w14:textId="77777777" w:rsidTr="00C538FC">
        <w:trPr>
          <w:cantSplit/>
          <w:trHeight w:val="23"/>
        </w:trPr>
        <w:tc>
          <w:tcPr>
            <w:tcW w:w="3969" w:type="dxa"/>
            <w:vMerge/>
          </w:tcPr>
          <w:p w14:paraId="72493C7C" w14:textId="77777777" w:rsidR="00FE57F6" w:rsidRPr="00813E5E" w:rsidRDefault="00FE57F6" w:rsidP="00C538FC">
            <w:pPr>
              <w:tabs>
                <w:tab w:val="left" w:pos="851"/>
              </w:tabs>
              <w:spacing w:line="240" w:lineRule="atLeast"/>
              <w:rPr>
                <w:b/>
              </w:rPr>
            </w:pPr>
          </w:p>
        </w:tc>
        <w:tc>
          <w:tcPr>
            <w:tcW w:w="5245" w:type="dxa"/>
          </w:tcPr>
          <w:p w14:paraId="7EA24AB1"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49C8442D" w14:textId="77777777" w:rsidTr="00C538FC">
        <w:trPr>
          <w:cantSplit/>
          <w:trHeight w:val="23"/>
        </w:trPr>
        <w:tc>
          <w:tcPr>
            <w:tcW w:w="3969" w:type="dxa"/>
          </w:tcPr>
          <w:p w14:paraId="4B1A66DA" w14:textId="77777777" w:rsidR="00FE57F6" w:rsidRPr="00813E5E" w:rsidRDefault="00FE57F6" w:rsidP="00C538FC">
            <w:pPr>
              <w:tabs>
                <w:tab w:val="left" w:pos="851"/>
              </w:tabs>
              <w:spacing w:line="240" w:lineRule="atLeast"/>
              <w:rPr>
                <w:b/>
              </w:rPr>
            </w:pPr>
          </w:p>
        </w:tc>
        <w:tc>
          <w:tcPr>
            <w:tcW w:w="5245" w:type="dxa"/>
          </w:tcPr>
          <w:p w14:paraId="4EE88878" w14:textId="77777777" w:rsidR="00FE57F6" w:rsidRDefault="00FE57F6" w:rsidP="00C538FC">
            <w:pPr>
              <w:tabs>
                <w:tab w:val="left" w:pos="851"/>
              </w:tabs>
              <w:spacing w:before="0" w:line="240" w:lineRule="atLeast"/>
              <w:jc w:val="right"/>
              <w:rPr>
                <w:b/>
              </w:rPr>
            </w:pPr>
          </w:p>
        </w:tc>
      </w:tr>
      <w:tr w:rsidR="00FE57F6" w:rsidRPr="00FE57F6" w14:paraId="5EF9F62F" w14:textId="77777777" w:rsidTr="00C538FC">
        <w:trPr>
          <w:cantSplit/>
        </w:trPr>
        <w:tc>
          <w:tcPr>
            <w:tcW w:w="9214" w:type="dxa"/>
            <w:gridSpan w:val="2"/>
            <w:tcMar>
              <w:left w:w="0" w:type="dxa"/>
            </w:tcMar>
          </w:tcPr>
          <w:p w14:paraId="22EC515C"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0F71D688" w14:textId="77777777" w:rsidTr="00C538FC">
        <w:trPr>
          <w:cantSplit/>
        </w:trPr>
        <w:tc>
          <w:tcPr>
            <w:tcW w:w="9214" w:type="dxa"/>
            <w:gridSpan w:val="2"/>
            <w:tcMar>
              <w:left w:w="0" w:type="dxa"/>
            </w:tcMar>
          </w:tcPr>
          <w:p w14:paraId="36665905" w14:textId="12B6E74B" w:rsidR="00FE57F6" w:rsidRPr="001F3771" w:rsidRDefault="001F3771" w:rsidP="00C538FC">
            <w:pPr>
              <w:pStyle w:val="Subtitle"/>
              <w:framePr w:hSpace="0" w:wrap="auto" w:hAnchor="text" w:xAlign="left" w:yAlign="inline"/>
              <w:rPr>
                <w:lang w:val="es-ES"/>
              </w:rPr>
            </w:pPr>
            <w:bookmarkStart w:id="1" w:name="_Hlk137712738"/>
            <w:r w:rsidRPr="006332CA">
              <w:rPr>
                <w:lang w:val="es-ES_tradnl"/>
              </w:rPr>
              <w:t>INFORME SOBRE LA 21ª CONFERENCIA DE PLENIPOTENCIARIOS (PP-22)</w:t>
            </w:r>
            <w:bookmarkEnd w:id="1"/>
          </w:p>
        </w:tc>
      </w:tr>
      <w:tr w:rsidR="00FE57F6" w:rsidRPr="00813E5E" w14:paraId="22DD818C" w14:textId="77777777" w:rsidTr="00C538FC">
        <w:trPr>
          <w:cantSplit/>
        </w:trPr>
        <w:tc>
          <w:tcPr>
            <w:tcW w:w="9214" w:type="dxa"/>
            <w:gridSpan w:val="2"/>
            <w:tcBorders>
              <w:top w:val="single" w:sz="4" w:space="0" w:color="auto"/>
              <w:bottom w:val="single" w:sz="4" w:space="0" w:color="auto"/>
            </w:tcBorders>
            <w:tcMar>
              <w:left w:w="0" w:type="dxa"/>
            </w:tcMar>
          </w:tcPr>
          <w:p w14:paraId="1D3FDE59" w14:textId="19A431CD" w:rsidR="00FE57F6" w:rsidRPr="00F24B71" w:rsidRDefault="00F24B71" w:rsidP="00C538FC">
            <w:pPr>
              <w:spacing w:before="160"/>
              <w:rPr>
                <w:b/>
                <w:bCs/>
                <w:sz w:val="26"/>
                <w:szCs w:val="26"/>
                <w:lang w:val="es-ES"/>
              </w:rPr>
            </w:pPr>
            <w:r w:rsidRPr="00F24B71">
              <w:rPr>
                <w:b/>
                <w:bCs/>
                <w:sz w:val="26"/>
                <w:szCs w:val="26"/>
                <w:lang w:val="es-ES"/>
              </w:rPr>
              <w:t>Finalidad</w:t>
            </w:r>
          </w:p>
          <w:p w14:paraId="3641C5FD" w14:textId="1AAF148F" w:rsidR="00FE57F6" w:rsidRPr="00F24B71" w:rsidRDefault="001F3771" w:rsidP="00C538FC">
            <w:pPr>
              <w:rPr>
                <w:lang w:val="es-ES"/>
              </w:rPr>
            </w:pPr>
            <w:r w:rsidRPr="006332CA">
              <w:t>En virtud de lo dispuesto en la Resolución 77 (Rev. Dubái, 2018) de la Conferencia de Plenipotenciarios y en el Acuerdo 610 (C19) del Consejo de la UIT, y previa consulta con los Estados Miembros (</w:t>
            </w:r>
            <w:hyperlink r:id="rId7" w:history="1">
              <w:r w:rsidRPr="006332CA">
                <w:rPr>
                  <w:rStyle w:val="Hyperlink"/>
                </w:rPr>
                <w:t>CL-19/33</w:t>
              </w:r>
            </w:hyperlink>
            <w:r w:rsidRPr="006332CA">
              <w:t xml:space="preserve"> y </w:t>
            </w:r>
            <w:hyperlink r:id="rId8" w:history="1">
              <w:r w:rsidRPr="006332CA">
                <w:rPr>
                  <w:rStyle w:val="Hyperlink"/>
                </w:rPr>
                <w:t>CL-19/45</w:t>
              </w:r>
            </w:hyperlink>
            <w:r w:rsidRPr="006332CA">
              <w:t>), la 21ª Conferencia de Plenipotenciarios se celebró en Bucarest (Rumania) del 26 de septiembre al 14 de octubre de 2022. El presente documento facilita información sobre los preparativos, el desarrollo y los resultados de la Conferencia.</w:t>
            </w:r>
          </w:p>
          <w:p w14:paraId="14554398"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60ED90A" w14:textId="09D237CF" w:rsidR="00FE57F6" w:rsidRPr="00F24B71" w:rsidRDefault="001F3771" w:rsidP="00C538FC">
            <w:pPr>
              <w:rPr>
                <w:lang w:val="es-ES"/>
              </w:rPr>
            </w:pPr>
            <w:r w:rsidRPr="006332CA">
              <w:t xml:space="preserve">Se invita al Consejo a </w:t>
            </w:r>
            <w:r w:rsidRPr="006332CA">
              <w:rPr>
                <w:b/>
                <w:bCs/>
              </w:rPr>
              <w:t xml:space="preserve">tomar nota </w:t>
            </w:r>
            <w:r w:rsidRPr="006332CA">
              <w:t xml:space="preserve">del presente informe y </w:t>
            </w:r>
            <w:r>
              <w:t>del hecho de que</w:t>
            </w:r>
            <w:r w:rsidRPr="006332CA">
              <w:t xml:space="preserve"> la Conferencia de Plenipotenciarios (Bucarest, 2022)</w:t>
            </w:r>
            <w:r>
              <w:t xml:space="preserve"> encargó</w:t>
            </w:r>
            <w:r w:rsidRPr="006332CA">
              <w:t xml:space="preserve"> al Consejo </w:t>
            </w:r>
            <w:r>
              <w:t>qu</w:t>
            </w:r>
            <w:r w:rsidRPr="006332CA">
              <w:t>e examina</w:t>
            </w:r>
            <w:r>
              <w:t>se</w:t>
            </w:r>
            <w:r w:rsidRPr="006332CA">
              <w:t xml:space="preserve"> la realización de </w:t>
            </w:r>
            <w:r>
              <w:t xml:space="preserve">las </w:t>
            </w:r>
            <w:r w:rsidRPr="006332CA">
              <w:t>campañas electorales y</w:t>
            </w:r>
            <w:r>
              <w:t xml:space="preserve"> los</w:t>
            </w:r>
            <w:r w:rsidRPr="006332CA">
              <w:t xml:space="preserve"> procedimientos de elección del Secretario General, el Vicesecretario General, los Directores de las Oficinas de los Sectores y los miembros de la Junta del Reglamento de Radiocomunicaciones antes de que finalizase su reunión de 2024.</w:t>
            </w:r>
          </w:p>
          <w:p w14:paraId="22A91EAA"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4D0A24EB" w14:textId="31294D21" w:rsidR="00FE57F6" w:rsidRPr="00F24B71" w:rsidRDefault="001F3771" w:rsidP="00C538FC">
            <w:pPr>
              <w:rPr>
                <w:lang w:val="es-ES"/>
              </w:rPr>
            </w:pPr>
            <w:r w:rsidRPr="006332CA">
              <w:t>Plataformas de encuentro, asociación y cooperación internacional.</w:t>
            </w:r>
          </w:p>
          <w:p w14:paraId="1FD18133" w14:textId="0A30EAA1" w:rsidR="001F3771" w:rsidRDefault="00F24B71" w:rsidP="00C538FC">
            <w:pPr>
              <w:spacing w:before="160"/>
              <w:rPr>
                <w:b/>
                <w:bCs/>
                <w:sz w:val="26"/>
                <w:szCs w:val="26"/>
              </w:rPr>
            </w:pPr>
            <w:r w:rsidRPr="00F24B71">
              <w:rPr>
                <w:b/>
                <w:bCs/>
                <w:sz w:val="26"/>
                <w:szCs w:val="26"/>
              </w:rPr>
              <w:t>Repercusiones financieras:</w:t>
            </w:r>
          </w:p>
          <w:p w14:paraId="193717F3" w14:textId="5BD2A7A2" w:rsidR="00FE57F6" w:rsidRDefault="001F3771" w:rsidP="00C538FC">
            <w:pPr>
              <w:spacing w:before="160"/>
              <w:rPr>
                <w:b/>
                <w:bCs/>
                <w:sz w:val="26"/>
                <w:szCs w:val="26"/>
              </w:rPr>
            </w:pPr>
            <w:r w:rsidRPr="006332CA">
              <w:rPr>
                <w:sz w:val="26"/>
                <w:szCs w:val="26"/>
              </w:rPr>
              <w:t>Ninguna</w:t>
            </w:r>
            <w:r>
              <w:rPr>
                <w:sz w:val="26"/>
                <w:szCs w:val="26"/>
              </w:rPr>
              <w:t>.</w:t>
            </w:r>
          </w:p>
          <w:p w14:paraId="719E912D" w14:textId="77777777" w:rsidR="00FE57F6" w:rsidRPr="00813E5E" w:rsidRDefault="00FE57F6" w:rsidP="00C538FC">
            <w:pPr>
              <w:spacing w:before="160"/>
              <w:rPr>
                <w:caps/>
                <w:sz w:val="22"/>
              </w:rPr>
            </w:pPr>
            <w:r w:rsidRPr="00813E5E">
              <w:rPr>
                <w:sz w:val="22"/>
              </w:rPr>
              <w:t>____________</w:t>
            </w:r>
            <w:r>
              <w:rPr>
                <w:sz w:val="22"/>
              </w:rPr>
              <w:t>______</w:t>
            </w:r>
          </w:p>
          <w:p w14:paraId="6B346B9F" w14:textId="2677DA2A" w:rsidR="00FE57F6" w:rsidRDefault="00F24B71" w:rsidP="00C538FC">
            <w:pPr>
              <w:spacing w:before="160"/>
              <w:rPr>
                <w:b/>
                <w:bCs/>
                <w:sz w:val="26"/>
                <w:szCs w:val="26"/>
              </w:rPr>
            </w:pPr>
            <w:r w:rsidRPr="00F24B71">
              <w:rPr>
                <w:b/>
                <w:bCs/>
                <w:sz w:val="26"/>
                <w:szCs w:val="26"/>
              </w:rPr>
              <w:t>Referencia</w:t>
            </w:r>
            <w:r w:rsidR="001F3771">
              <w:rPr>
                <w:b/>
                <w:bCs/>
                <w:sz w:val="26"/>
                <w:szCs w:val="26"/>
              </w:rPr>
              <w:t>s</w:t>
            </w:r>
          </w:p>
          <w:p w14:paraId="5511B1C4" w14:textId="42978842" w:rsidR="00FE57F6" w:rsidRDefault="00C91EE2" w:rsidP="00C538FC">
            <w:pPr>
              <w:spacing w:after="160"/>
            </w:pPr>
            <w:hyperlink r:id="rId9" w:history="1">
              <w:r w:rsidR="001F3771" w:rsidRPr="006332CA">
                <w:rPr>
                  <w:rStyle w:val="Hyperlink"/>
                  <w:i/>
                  <w:iCs/>
                </w:rPr>
                <w:t>Resolución 77</w:t>
              </w:r>
            </w:hyperlink>
            <w:r w:rsidR="001F3771" w:rsidRPr="006332CA">
              <w:rPr>
                <w:i/>
                <w:iCs/>
              </w:rPr>
              <w:t xml:space="preserve"> (Rev. Bucarest, 2022) de la Conferencia de Plenipotenciarios; Documento</w:t>
            </w:r>
            <w:r w:rsidR="001F3771">
              <w:rPr>
                <w:i/>
                <w:iCs/>
              </w:rPr>
              <w:t> </w:t>
            </w:r>
            <w:hyperlink r:id="rId10" w:history="1">
              <w:r w:rsidR="001F3771" w:rsidRPr="006332CA">
                <w:rPr>
                  <w:rStyle w:val="Hyperlink"/>
                  <w:i/>
                  <w:iCs/>
                </w:rPr>
                <w:t>C23/INF/1</w:t>
              </w:r>
            </w:hyperlink>
            <w:r w:rsidR="001F3771" w:rsidRPr="006332CA">
              <w:rPr>
                <w:i/>
                <w:iCs/>
              </w:rPr>
              <w:t xml:space="preserve"> del Consejo.</w:t>
            </w:r>
          </w:p>
        </w:tc>
      </w:tr>
      <w:bookmarkEnd w:id="0"/>
    </w:tbl>
    <w:p w14:paraId="26BFAD6E" w14:textId="77777777" w:rsidR="00093EEB" w:rsidRDefault="00093EEB"/>
    <w:p w14:paraId="226D191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02B2BA65" w14:textId="068B982C" w:rsidR="001F3771" w:rsidRPr="006332CA" w:rsidRDefault="001F3771" w:rsidP="001F3771">
      <w:pPr>
        <w:rPr>
          <w:rFonts w:eastAsia="SimSun"/>
        </w:rPr>
      </w:pPr>
      <w:r w:rsidRPr="006332CA">
        <w:rPr>
          <w:rFonts w:eastAsia="SimSun"/>
        </w:rPr>
        <w:lastRenderedPageBreak/>
        <w:t>1</w:t>
      </w:r>
      <w:r w:rsidRPr="006332CA">
        <w:rPr>
          <w:rFonts w:eastAsia="SimSun"/>
        </w:rPr>
        <w:tab/>
        <w:t>Por invitación del Gobierno de Rumania, la 21ª Conferencia de Plenipotenciarios se celebró en el Palacio del Parlamento de Bucarest del 26 de septiembre al 14 de octubre de 2022.</w:t>
      </w:r>
    </w:p>
    <w:p w14:paraId="1DA5683F" w14:textId="345975C0" w:rsidR="001F3771" w:rsidRPr="006332CA" w:rsidRDefault="001F3771" w:rsidP="001F3771">
      <w:pPr>
        <w:rPr>
          <w:rFonts w:eastAsia="SimSun"/>
          <w:color w:val="000000"/>
        </w:rPr>
      </w:pPr>
      <w:r w:rsidRPr="006332CA">
        <w:t>2</w:t>
      </w:r>
      <w:r w:rsidRPr="006332CA">
        <w:tab/>
      </w:r>
      <w:r w:rsidRPr="006332CA">
        <w:rPr>
          <w:rFonts w:eastAsia="SimSun"/>
          <w:color w:val="000000"/>
        </w:rPr>
        <w:t>Tras la Conferencia de Plenipotenciarios de 2018 (PP-18), se presentó un informe a la reunión de 2019 del Consejo de la UIT (</w:t>
      </w:r>
      <w:hyperlink r:id="rId11" w:history="1">
        <w:r w:rsidRPr="001F3771">
          <w:rPr>
            <w:rStyle w:val="Hyperlink"/>
          </w:rPr>
          <w:t>C19/4</w:t>
        </w:r>
      </w:hyperlink>
      <w:r w:rsidRPr="006332CA">
        <w:rPr>
          <w:rFonts w:eastAsia="SimSun"/>
          <w:color w:val="000000"/>
        </w:rPr>
        <w:t xml:space="preserve">), así como una serie de contribuciones de Estados Miembros, recogidas en los Documentos </w:t>
      </w:r>
      <w:hyperlink r:id="rId12" w:history="1">
        <w:r w:rsidRPr="001F3771">
          <w:rPr>
            <w:rStyle w:val="Hyperlink"/>
          </w:rPr>
          <w:t>C19/67</w:t>
        </w:r>
      </w:hyperlink>
      <w:r w:rsidRPr="006332CA">
        <w:rPr>
          <w:rFonts w:eastAsia="SimSun"/>
          <w:color w:val="000000"/>
        </w:rPr>
        <w:t xml:space="preserve"> y </w:t>
      </w:r>
      <w:hyperlink r:id="rId13" w:history="1">
        <w:r w:rsidRPr="001F3771">
          <w:rPr>
            <w:rStyle w:val="Hyperlink"/>
          </w:rPr>
          <w:t>C19/101</w:t>
        </w:r>
      </w:hyperlink>
      <w:r w:rsidRPr="006332CA">
        <w:rPr>
          <w:rFonts w:eastAsia="SimSun"/>
          <w:color w:val="000000"/>
        </w:rPr>
        <w:t>, sobre cómo mejorar el desarrollo y los procedimientos de las conferencias. A petición de los Estados Miembros, se preparó un informe con propuestas de mejora de la Conferencias de Plenipotenciarios para la reunión de 2020 del Consejo (</w:t>
      </w:r>
      <w:hyperlink r:id="rId14" w:history="1">
        <w:r w:rsidRPr="001F3771">
          <w:rPr>
            <w:rStyle w:val="Hyperlink"/>
          </w:rPr>
          <w:t>C20/13</w:t>
        </w:r>
      </w:hyperlink>
      <w:r w:rsidRPr="006332CA">
        <w:rPr>
          <w:rFonts w:eastAsia="SimSun"/>
          <w:color w:val="000000"/>
        </w:rPr>
        <w:t xml:space="preserve">), sin embargo, debido a la pandemia de enfermedad por coronavirus (COVID-19), su presentación y examen </w:t>
      </w:r>
      <w:r>
        <w:rPr>
          <w:rFonts w:eastAsia="SimSun"/>
          <w:color w:val="000000"/>
        </w:rPr>
        <w:t>hubieron de aplazarse</w:t>
      </w:r>
      <w:r w:rsidRPr="006332CA">
        <w:rPr>
          <w:rFonts w:eastAsia="SimSun"/>
          <w:color w:val="000000"/>
        </w:rPr>
        <w:t xml:space="preserve"> hasta la consulta virtual de los consejeros de 2021 (CVC-21)</w:t>
      </w:r>
      <w:r>
        <w:rPr>
          <w:rFonts w:eastAsia="SimSun"/>
          <w:color w:val="000000"/>
        </w:rPr>
        <w:t>, que lo abordó</w:t>
      </w:r>
      <w:r w:rsidRPr="006332CA">
        <w:rPr>
          <w:rFonts w:eastAsia="SimSun"/>
          <w:color w:val="000000"/>
        </w:rPr>
        <w:t xml:space="preserve"> como Documento </w:t>
      </w:r>
      <w:hyperlink r:id="rId15" w:history="1">
        <w:r w:rsidRPr="001F3771">
          <w:rPr>
            <w:rStyle w:val="Hyperlink"/>
          </w:rPr>
          <w:t>C21/13</w:t>
        </w:r>
      </w:hyperlink>
      <w:r w:rsidRPr="006332CA">
        <w:rPr>
          <w:rFonts w:eastAsia="SimSun"/>
          <w:color w:val="000000"/>
        </w:rPr>
        <w:t>.</w:t>
      </w:r>
      <w:r>
        <w:rPr>
          <w:rFonts w:eastAsia="SimSun"/>
          <w:color w:val="000000"/>
        </w:rPr>
        <w:t xml:space="preserve"> Una vez concluido dicho </w:t>
      </w:r>
      <w:r w:rsidRPr="006332CA">
        <w:rPr>
          <w:rFonts w:eastAsia="SimSun"/>
          <w:color w:val="000000"/>
        </w:rPr>
        <w:t>debate</w:t>
      </w:r>
      <w:r>
        <w:rPr>
          <w:rFonts w:eastAsia="SimSun"/>
          <w:color w:val="000000"/>
        </w:rPr>
        <w:t>,</w:t>
      </w:r>
      <w:r w:rsidRPr="006332CA">
        <w:rPr>
          <w:rFonts w:eastAsia="SimSun"/>
          <w:color w:val="000000"/>
        </w:rPr>
        <w:t xml:space="preserve"> el Consejo acordó aprobar las propuestas de la Secretaría, dentro del presupuesto existente, en relación con:</w:t>
      </w:r>
    </w:p>
    <w:p w14:paraId="6D9CEB2A" w14:textId="749EF897" w:rsidR="001F3771" w:rsidRPr="006332CA" w:rsidRDefault="001F3771" w:rsidP="001F3771">
      <w:pPr>
        <w:pStyle w:val="enumlev1"/>
        <w:rPr>
          <w:rFonts w:eastAsia="SimSun"/>
        </w:rPr>
      </w:pPr>
      <w:r w:rsidRPr="001F3771">
        <w:rPr>
          <w:rFonts w:eastAsia="SimSun"/>
        </w:rPr>
        <w:t>–</w:t>
      </w:r>
      <w:r>
        <w:rPr>
          <w:rFonts w:eastAsia="SimSun"/>
        </w:rPr>
        <w:tab/>
      </w:r>
      <w:r w:rsidRPr="006332CA">
        <w:rPr>
          <w:rFonts w:eastAsia="SimSun"/>
        </w:rPr>
        <w:t xml:space="preserve">el fortalecimiento </w:t>
      </w:r>
      <w:r>
        <w:rPr>
          <w:rFonts w:eastAsia="SimSun"/>
        </w:rPr>
        <w:t xml:space="preserve">ulterior </w:t>
      </w:r>
      <w:r w:rsidRPr="006332CA">
        <w:rPr>
          <w:rFonts w:eastAsia="SimSun"/>
        </w:rPr>
        <w:t xml:space="preserve">del proceso preparatorio interregional; </w:t>
      </w:r>
    </w:p>
    <w:p w14:paraId="37F69688" w14:textId="362B6DA5" w:rsidR="001F3771" w:rsidRPr="006332CA" w:rsidRDefault="001F3771" w:rsidP="001F3771">
      <w:pPr>
        <w:pStyle w:val="enumlev1"/>
        <w:rPr>
          <w:rFonts w:eastAsia="SimSun"/>
        </w:rPr>
      </w:pPr>
      <w:r w:rsidRPr="001F3771">
        <w:rPr>
          <w:rFonts w:eastAsia="SimSun"/>
        </w:rPr>
        <w:t>–</w:t>
      </w:r>
      <w:r>
        <w:rPr>
          <w:rFonts w:eastAsia="SimSun"/>
        </w:rPr>
        <w:tab/>
      </w:r>
      <w:r w:rsidRPr="006332CA">
        <w:rPr>
          <w:rFonts w:eastAsia="SimSun"/>
        </w:rPr>
        <w:t>la racionalización de las Resoluciones y Decisiones en el contexto de la preparación de las reuniones interregionales por parte de la secretaría, sin crear otro Grupo de Trabajo del Consejo;</w:t>
      </w:r>
    </w:p>
    <w:p w14:paraId="09F9A505" w14:textId="732F891D" w:rsidR="001F3771" w:rsidRPr="006332CA" w:rsidRDefault="001F3771" w:rsidP="001F3771">
      <w:pPr>
        <w:pStyle w:val="enumlev1"/>
        <w:rPr>
          <w:rFonts w:eastAsia="SimSun"/>
        </w:rPr>
      </w:pPr>
      <w:r w:rsidRPr="001F3771">
        <w:rPr>
          <w:rFonts w:eastAsia="SimSun"/>
        </w:rPr>
        <w:t>–</w:t>
      </w:r>
      <w:r>
        <w:rPr>
          <w:rFonts w:eastAsia="SimSun"/>
        </w:rPr>
        <w:tab/>
      </w:r>
      <w:r w:rsidRPr="006332CA">
        <w:rPr>
          <w:rFonts w:eastAsia="SimSun"/>
        </w:rPr>
        <w:t xml:space="preserve">la mejora de la preparación de los delegados, incluso mediante la formación; </w:t>
      </w:r>
    </w:p>
    <w:p w14:paraId="493C5A7A" w14:textId="11DFDA02" w:rsidR="001F3771" w:rsidRPr="006332CA" w:rsidRDefault="001F3771" w:rsidP="001F3771">
      <w:pPr>
        <w:pStyle w:val="enumlev1"/>
        <w:rPr>
          <w:rFonts w:eastAsia="SimSun"/>
        </w:rPr>
      </w:pPr>
      <w:r w:rsidRPr="001F3771">
        <w:rPr>
          <w:rFonts w:eastAsia="SimSun"/>
        </w:rPr>
        <w:t>–</w:t>
      </w:r>
      <w:r>
        <w:rPr>
          <w:rFonts w:eastAsia="SimSun"/>
        </w:rPr>
        <w:tab/>
      </w:r>
      <w:r w:rsidRPr="006332CA">
        <w:rPr>
          <w:rFonts w:eastAsia="SimSun"/>
        </w:rPr>
        <w:t>la ecologización de la Conferencia; y</w:t>
      </w:r>
    </w:p>
    <w:p w14:paraId="2B67D3DC" w14:textId="71F61354" w:rsidR="001F3771" w:rsidRPr="006332CA" w:rsidRDefault="001F3771" w:rsidP="001F3771">
      <w:pPr>
        <w:pStyle w:val="enumlev1"/>
        <w:rPr>
          <w:rFonts w:eastAsia="SimSun"/>
        </w:rPr>
      </w:pPr>
      <w:r w:rsidRPr="001F3771">
        <w:rPr>
          <w:rFonts w:eastAsia="SimSun"/>
        </w:rPr>
        <w:t>–</w:t>
      </w:r>
      <w:r>
        <w:rPr>
          <w:rFonts w:eastAsia="SimSun"/>
        </w:rPr>
        <w:tab/>
      </w:r>
      <w:r w:rsidRPr="006332CA">
        <w:rPr>
          <w:rFonts w:eastAsia="SimSun"/>
        </w:rPr>
        <w:t xml:space="preserve">la organización de una Conferencia de Plenipotenciarios que </w:t>
      </w:r>
      <w:r>
        <w:rPr>
          <w:rFonts w:eastAsia="SimSun"/>
        </w:rPr>
        <w:t>tuviera</w:t>
      </w:r>
      <w:r w:rsidRPr="006332CA">
        <w:rPr>
          <w:rFonts w:eastAsia="SimSun"/>
        </w:rPr>
        <w:t xml:space="preserve"> plenamente en cuenta las cuestiones de género y </w:t>
      </w:r>
      <w:r>
        <w:rPr>
          <w:rFonts w:eastAsia="SimSun"/>
        </w:rPr>
        <w:t>fuera</w:t>
      </w:r>
      <w:r w:rsidRPr="006332CA">
        <w:rPr>
          <w:rFonts w:eastAsia="SimSun"/>
        </w:rPr>
        <w:t xml:space="preserve"> inclusiva.</w:t>
      </w:r>
    </w:p>
    <w:p w14:paraId="49377B15" w14:textId="124AE3A5" w:rsidR="001F3771" w:rsidRPr="006332CA" w:rsidRDefault="001F3771" w:rsidP="001F3771">
      <w:pPr>
        <w:rPr>
          <w:highlight w:val="yellow"/>
        </w:rPr>
      </w:pPr>
      <w:r w:rsidRPr="006332CA">
        <w:rPr>
          <w:rFonts w:eastAsia="SimSun"/>
        </w:rPr>
        <w:t>Para</w:t>
      </w:r>
      <w:r>
        <w:rPr>
          <w:rFonts w:eastAsia="SimSun"/>
        </w:rPr>
        <w:t xml:space="preserve"> la reunión</w:t>
      </w:r>
      <w:r w:rsidRPr="006332CA">
        <w:rPr>
          <w:rFonts w:eastAsia="SimSun"/>
        </w:rPr>
        <w:t xml:space="preserve"> de 2020 </w:t>
      </w:r>
      <w:r>
        <w:rPr>
          <w:rFonts w:eastAsia="SimSun"/>
        </w:rPr>
        <w:t>d</w:t>
      </w:r>
      <w:r w:rsidRPr="006332CA">
        <w:rPr>
          <w:rFonts w:eastAsia="SimSun"/>
        </w:rPr>
        <w:t xml:space="preserve">el Consejo </w:t>
      </w:r>
      <w:r>
        <w:rPr>
          <w:rFonts w:eastAsia="SimSun"/>
        </w:rPr>
        <w:t>t</w:t>
      </w:r>
      <w:r w:rsidRPr="006332CA">
        <w:rPr>
          <w:rFonts w:eastAsia="SimSun"/>
        </w:rPr>
        <w:t>ambién se redactó un documento sobre la implementación de las recomendaciones de la PP-18 en relación con los procesos electorales de la UIT (</w:t>
      </w:r>
      <w:hyperlink r:id="rId16" w:history="1">
        <w:r w:rsidRPr="001F3771">
          <w:rPr>
            <w:rStyle w:val="Hyperlink"/>
          </w:rPr>
          <w:t>C20/4</w:t>
        </w:r>
      </w:hyperlink>
      <w:r>
        <w:rPr>
          <w:rFonts w:eastAsia="SimSun"/>
        </w:rPr>
        <w:t xml:space="preserve">) </w:t>
      </w:r>
      <w:r w:rsidRPr="006332CA">
        <w:rPr>
          <w:rFonts w:eastAsia="SimSun"/>
        </w:rPr>
        <w:t xml:space="preserve">que, al igual que el Documento </w:t>
      </w:r>
      <w:hyperlink r:id="rId17" w:history="1">
        <w:r w:rsidRPr="001F3771">
          <w:rPr>
            <w:rStyle w:val="Hyperlink"/>
          </w:rPr>
          <w:t>C21/4(Rev.1)</w:t>
        </w:r>
      </w:hyperlink>
      <w:r w:rsidRPr="006332CA">
        <w:rPr>
          <w:rFonts w:eastAsia="SimSun"/>
        </w:rPr>
        <w:t>, no se revisó hasta la CVC</w:t>
      </w:r>
      <w:r>
        <w:rPr>
          <w:rFonts w:eastAsia="SimSun"/>
        </w:rPr>
        <w:noBreakHyphen/>
      </w:r>
      <w:r w:rsidRPr="006332CA">
        <w:rPr>
          <w:rFonts w:eastAsia="SimSun"/>
        </w:rPr>
        <w:t xml:space="preserve">21. En su reunión de 2022, el Consejo acordó volver a refrendar las directrices sobre cuestiones éticas, pero decidió someter el resto del documento a la consideración de Conferencia de Plenipotenciarios (Bucarest, 2022) (PP-22). El documento </w:t>
      </w:r>
      <w:hyperlink r:id="rId18" w:history="1">
        <w:r w:rsidRPr="001F3771">
          <w:rPr>
            <w:rStyle w:val="Hyperlink"/>
          </w:rPr>
          <w:t>C22/4</w:t>
        </w:r>
      </w:hyperlink>
      <w:r w:rsidRPr="006332CA">
        <w:rPr>
          <w:rFonts w:eastAsia="SimSun"/>
        </w:rPr>
        <w:t xml:space="preserve"> contiene un informe al Consejo de 2022 sobre los preparativos de la PP-22.</w:t>
      </w:r>
    </w:p>
    <w:p w14:paraId="7079BE80" w14:textId="53BB44B5" w:rsidR="001F3771" w:rsidRPr="006332CA" w:rsidRDefault="001F3771" w:rsidP="001F3771">
      <w:pPr>
        <w:rPr>
          <w:rFonts w:eastAsia="SimSun"/>
        </w:rPr>
      </w:pPr>
      <w:r w:rsidRPr="006332CA">
        <w:rPr>
          <w:rFonts w:eastAsia="SimSun"/>
        </w:rPr>
        <w:t>3</w:t>
      </w:r>
      <w:r w:rsidRPr="006332CA">
        <w:rPr>
          <w:rFonts w:eastAsia="SimSun"/>
        </w:rPr>
        <w:tab/>
        <w:t>El proceso preparatorio regional, liderado por las organizaciones regionales de telecomunicaciones, fue decisivo en el marco de los preparativos de la PP-22. Casi todos los grupos regionales invitaron a los demás grupos regionales a participar en sus reuniones, lo que facilitó el debate de las propuestas.</w:t>
      </w:r>
    </w:p>
    <w:p w14:paraId="098E2798" w14:textId="51438E6D" w:rsidR="001F3771" w:rsidRPr="006332CA" w:rsidRDefault="001F3771" w:rsidP="001F3771">
      <w:pPr>
        <w:rPr>
          <w:rFonts w:eastAsia="SimSun"/>
        </w:rPr>
      </w:pPr>
      <w:r w:rsidRPr="006332CA">
        <w:rPr>
          <w:rFonts w:eastAsia="SimSun"/>
        </w:rPr>
        <w:t>El Sr. Sabin Sărmaș (Ruman</w:t>
      </w:r>
      <w:r>
        <w:rPr>
          <w:rFonts w:eastAsia="SimSun"/>
        </w:rPr>
        <w:t>i</w:t>
      </w:r>
      <w:r w:rsidRPr="006332CA">
        <w:rPr>
          <w:rFonts w:eastAsia="SimSun"/>
        </w:rPr>
        <w:t xml:space="preserve">a), Presidente designado de la PP-22, dirigió tres reuniones interregionales informales: durante la reunión de 2022 </w:t>
      </w:r>
      <w:r>
        <w:rPr>
          <w:rFonts w:eastAsia="SimSun"/>
        </w:rPr>
        <w:t>d</w:t>
      </w:r>
      <w:r w:rsidRPr="006332CA">
        <w:rPr>
          <w:rFonts w:eastAsia="SimSun"/>
        </w:rPr>
        <w:t>el Consejo, en marzo; en Kigali</w:t>
      </w:r>
      <w:r>
        <w:rPr>
          <w:rFonts w:eastAsia="SimSun"/>
        </w:rPr>
        <w:t> </w:t>
      </w:r>
      <w:r w:rsidRPr="006332CA">
        <w:rPr>
          <w:rFonts w:eastAsia="SimSun"/>
        </w:rPr>
        <w:t>(Rwanda), antes de la Conferencia Mundial de Desarrollo de las Telecomunicaciones de</w:t>
      </w:r>
      <w:r>
        <w:rPr>
          <w:rFonts w:eastAsia="SimSun"/>
        </w:rPr>
        <w:t> </w:t>
      </w:r>
      <w:r w:rsidRPr="006332CA">
        <w:rPr>
          <w:rFonts w:eastAsia="SimSun"/>
        </w:rPr>
        <w:t xml:space="preserve">2022, en junio; y, por último, en Riad (Arabia Saudita), en agosto, coincidiendo con la última reunión regional de los Estados Árabes. En todas las reuniones se pudo participar a distancia. La secretaría preparó una lista de propuestas con un coordinador por tema/resolución de cada región, así como un proyecto de asignación de propuestas, y facilitó el intercambio de opiniones por tema. </w:t>
      </w:r>
    </w:p>
    <w:p w14:paraId="2D91A5B2" w14:textId="5E0BEE28" w:rsidR="001F3771" w:rsidRPr="006332CA" w:rsidRDefault="001F3771" w:rsidP="001F3771">
      <w:pPr>
        <w:rPr>
          <w:rFonts w:eastAsia="SimSun"/>
        </w:rPr>
      </w:pPr>
      <w:r w:rsidRPr="006332CA">
        <w:rPr>
          <w:rFonts w:eastAsia="SimSun"/>
        </w:rPr>
        <w:t>4</w:t>
      </w:r>
      <w:r w:rsidRPr="006332CA">
        <w:rPr>
          <w:rFonts w:eastAsia="SimSun"/>
        </w:rPr>
        <w:tab/>
        <w:t xml:space="preserve">Para ayudar a las delegaciones a preparase, en el sitio web de la PP-22 se publicaron varias presentaciones con información relativa a la Conferencia de Plenipotenciarios en general, los procesos de elección y elaboración de documentos, la redacción de las </w:t>
      </w:r>
      <w:r w:rsidRPr="006332CA">
        <w:rPr>
          <w:rFonts w:eastAsia="SimSun"/>
        </w:rPr>
        <w:lastRenderedPageBreak/>
        <w:t>resoluciones de la UIT, los últimos días de la conferencia, la financiación de la UIT y los distintos derechos de voto.</w:t>
      </w:r>
    </w:p>
    <w:p w14:paraId="478E6F56" w14:textId="27BBC97C" w:rsidR="001F3771" w:rsidRPr="006332CA" w:rsidRDefault="001F3771" w:rsidP="001F3771">
      <w:pPr>
        <w:rPr>
          <w:lang w:eastAsia="zh-CN"/>
        </w:rPr>
      </w:pPr>
      <w:r w:rsidRPr="006332CA">
        <w:t>5</w:t>
      </w:r>
      <w:r w:rsidRPr="006332CA">
        <w:rPr>
          <w:rFonts w:eastAsia="Arial Unicode MS"/>
        </w:rPr>
        <w:tab/>
      </w:r>
      <w:r w:rsidRPr="006332CA">
        <w:t xml:space="preserve">Con el apoyo del Gobierno de Australia, se diseñó y puso en marcha un programa de formación en línea para </w:t>
      </w:r>
      <w:r w:rsidRPr="006332CA">
        <w:rPr>
          <w:rFonts w:eastAsia="Arial Unicode MS"/>
        </w:rPr>
        <w:t>dotar a más de cien delegadas de los conocimientos</w:t>
      </w:r>
      <w:r w:rsidRPr="006332CA">
        <w:rPr>
          <w:rFonts w:eastAsia="SimSun"/>
          <w:lang w:eastAsia="zh-CN"/>
        </w:rPr>
        <w:t xml:space="preserve">, las competencias y la pericia necesarios para entablar negociaciones eficaces durante la Conferencia y ocupar cargos de mayor responsabilidad presidiendo y facilitando activamente las reuniones. </w:t>
      </w:r>
    </w:p>
    <w:p w14:paraId="3E520FA2" w14:textId="3903FF9F" w:rsidR="001F3771" w:rsidRPr="006332CA" w:rsidRDefault="001F3771" w:rsidP="001F3771">
      <w:pPr>
        <w:rPr>
          <w:highlight w:val="yellow"/>
        </w:rPr>
      </w:pPr>
      <w:r w:rsidRPr="006332CA">
        <w:t>6</w:t>
      </w:r>
      <w:r w:rsidRPr="006332CA">
        <w:tab/>
        <w:t xml:space="preserve">La PP-22 registró un total de 3 234 participantes (33% mujeres y 67% hombres), de los cuales </w:t>
      </w:r>
      <w:r w:rsidRPr="006332CA">
        <w:rPr>
          <w:rFonts w:eastAsia="SimSun"/>
        </w:rPr>
        <w:t>2</w:t>
      </w:r>
      <w:r w:rsidR="00E641FF">
        <w:rPr>
          <w:rFonts w:eastAsia="SimSun"/>
        </w:rPr>
        <w:t> </w:t>
      </w:r>
      <w:r w:rsidRPr="006332CA">
        <w:rPr>
          <w:rFonts w:eastAsia="SimSun"/>
        </w:rPr>
        <w:t xml:space="preserve">940 asistieron en persona y 294 participaron a distancia, </w:t>
      </w:r>
      <w:r w:rsidRPr="006332CA">
        <w:t>en representación de 184</w:t>
      </w:r>
      <w:r w:rsidR="00E641FF">
        <w:t> </w:t>
      </w:r>
      <w:r w:rsidRPr="006332CA">
        <w:t>Estados Miembros</w:t>
      </w:r>
      <w:r w:rsidRPr="006332CA">
        <w:rPr>
          <w:lang w:eastAsia="zh-CN"/>
        </w:rPr>
        <w:t xml:space="preserve">, 64 Miembros de Sector </w:t>
      </w:r>
      <w:r w:rsidRPr="006332CA">
        <w:t xml:space="preserve">y cuatro entidades de las Naciones Unidas, entre otros organismos, incluidos 1 personalidad altamente destacada, 27 personalidades destacadas, 87 Ministros, 71 Viceministros y 106 Embajadores. </w:t>
      </w:r>
      <w:r w:rsidRPr="006332CA">
        <w:rPr>
          <w:rFonts w:eastAsia="SimSun"/>
        </w:rPr>
        <w:t>Se acreditó a un total de 5</w:t>
      </w:r>
      <w:r w:rsidR="00E641FF">
        <w:rPr>
          <w:rFonts w:eastAsia="SimSun"/>
        </w:rPr>
        <w:t> </w:t>
      </w:r>
      <w:r w:rsidRPr="006332CA">
        <w:rPr>
          <w:rFonts w:eastAsia="SimSun"/>
        </w:rPr>
        <w:t>642</w:t>
      </w:r>
      <w:r w:rsidR="00E641FF">
        <w:rPr>
          <w:rFonts w:eastAsia="SimSun"/>
        </w:rPr>
        <w:t> </w:t>
      </w:r>
      <w:r w:rsidRPr="006332CA">
        <w:rPr>
          <w:rFonts w:eastAsia="SimSun"/>
        </w:rPr>
        <w:t xml:space="preserve">personas, entre delegados, personal de la UIT, personal local y equipos de seguridad del país anfitrión, así como otras personas que necesitaron acceder al lugar de celebración. La lista definitiva de participantes figura en el Documento </w:t>
      </w:r>
      <w:hyperlink r:id="rId19" w:history="1">
        <w:r w:rsidRPr="00E641FF">
          <w:rPr>
            <w:rStyle w:val="Hyperlink"/>
          </w:rPr>
          <w:t>PP-22/210</w:t>
        </w:r>
      </w:hyperlink>
      <w:r w:rsidRPr="00E641FF">
        <w:rPr>
          <w:rFonts w:eastAsia="SimSun"/>
        </w:rPr>
        <w:t>.</w:t>
      </w:r>
    </w:p>
    <w:p w14:paraId="6D2E8813" w14:textId="0681FC17" w:rsidR="001F3771" w:rsidRPr="006332CA" w:rsidRDefault="001F3771" w:rsidP="001F3771">
      <w:pPr>
        <w:rPr>
          <w:rFonts w:eastAsia="SimSun"/>
        </w:rPr>
      </w:pPr>
      <w:r w:rsidRPr="006332CA">
        <w:rPr>
          <w:rFonts w:eastAsia="SimSun"/>
        </w:rPr>
        <w:t>7</w:t>
      </w:r>
      <w:r w:rsidRPr="006332CA">
        <w:rPr>
          <w:rFonts w:eastAsia="SimSun"/>
        </w:rPr>
        <w:tab/>
      </w:r>
      <w:r w:rsidRPr="006332CA">
        <w:t>La ceremonia de apertura, organizada por el país anfitrión, contó con la presencia y participación del Viceprimer Ministro de Rumania, Excmo. Sr. Sorin Grindeanu, un mensaje del Secretario General de las Naciones Unidas, Sr. Antonio Guterres, y declaraciones del Secretario General de la UIT, Sr. Houlin Zhao, y del Ministro de Investigación, Innovación y Digitalización de Rumania</w:t>
      </w:r>
      <w:r>
        <w:t>,</w:t>
      </w:r>
      <w:r w:rsidRPr="006332CA">
        <w:t xml:space="preserve"> Excmo. Sr. Sebastian Burduja. La ceremonia de apertura incluyó una actuación cultural del coro infantil Cantus Mundi, que </w:t>
      </w:r>
      <w:r>
        <w:t>interpretó</w:t>
      </w:r>
      <w:r w:rsidRPr="006332CA">
        <w:t xml:space="preserve"> el himno de la PP</w:t>
      </w:r>
      <w:r w:rsidR="00E641FF">
        <w:noBreakHyphen/>
      </w:r>
      <w:r w:rsidRPr="006332CA">
        <w:t>22, compuesto para la ocasión.</w:t>
      </w:r>
    </w:p>
    <w:p w14:paraId="2D273305" w14:textId="7076EE9C" w:rsidR="001F3771" w:rsidRPr="006332CA" w:rsidRDefault="001F3771" w:rsidP="001F3771">
      <w:pPr>
        <w:rPr>
          <w:rFonts w:eastAsia="SimSun"/>
        </w:rPr>
      </w:pPr>
      <w:r w:rsidRPr="006332CA">
        <w:rPr>
          <w:rFonts w:eastAsia="SimSun"/>
        </w:rPr>
        <w:t>8</w:t>
      </w:r>
      <w:r w:rsidRPr="006332CA">
        <w:rPr>
          <w:rFonts w:eastAsia="SimSun"/>
        </w:rPr>
        <w:tab/>
        <w:t xml:space="preserve">En la primera sesión plenaria, </w:t>
      </w:r>
      <w:r>
        <w:rPr>
          <w:rFonts w:eastAsia="SimSun"/>
        </w:rPr>
        <w:t>se eligió a</w:t>
      </w:r>
      <w:r w:rsidRPr="006332CA">
        <w:rPr>
          <w:rFonts w:eastAsia="SimSun"/>
        </w:rPr>
        <w:t>l Sr. Sabin SĂRMAȘ (Rumania) Presidente de la Conferencia</w:t>
      </w:r>
      <w:r>
        <w:rPr>
          <w:rFonts w:eastAsia="SimSun"/>
        </w:rPr>
        <w:t xml:space="preserve"> y se nombró a</w:t>
      </w:r>
      <w:r w:rsidRPr="006332CA">
        <w:rPr>
          <w:rFonts w:eastAsia="SimSun"/>
        </w:rPr>
        <w:t xml:space="preserve"> los seis Vicepresidentes siguientes:</w:t>
      </w:r>
    </w:p>
    <w:p w14:paraId="53DD12DE" w14:textId="716E8751" w:rsidR="001F3771" w:rsidRPr="006332CA" w:rsidRDefault="00E641FF" w:rsidP="00E641FF">
      <w:pPr>
        <w:pStyle w:val="enumlev1"/>
      </w:pPr>
      <w:r>
        <w:t>–</w:t>
      </w:r>
      <w:r>
        <w:tab/>
      </w:r>
      <w:r w:rsidR="001F3771" w:rsidRPr="006332CA">
        <w:t>Sra. Caroline GREENWAY (Papua Nueva Guinea)</w:t>
      </w:r>
    </w:p>
    <w:p w14:paraId="6329B67F" w14:textId="0F92B7C2" w:rsidR="001F3771" w:rsidRPr="006332CA" w:rsidRDefault="00E641FF" w:rsidP="00E641FF">
      <w:pPr>
        <w:pStyle w:val="enumlev1"/>
      </w:pPr>
      <w:r>
        <w:t>–</w:t>
      </w:r>
      <w:r>
        <w:tab/>
      </w:r>
      <w:r w:rsidR="001F3771" w:rsidRPr="006332CA">
        <w:t xml:space="preserve">Sr. Orozbek KAIYKOV (Kirguistán) </w:t>
      </w:r>
    </w:p>
    <w:p w14:paraId="524B1CE6" w14:textId="4141BE4E" w:rsidR="001F3771" w:rsidRPr="006332CA" w:rsidRDefault="00E641FF" w:rsidP="00E641FF">
      <w:pPr>
        <w:pStyle w:val="enumlev1"/>
      </w:pPr>
      <w:r>
        <w:t>–</w:t>
      </w:r>
      <w:r>
        <w:tab/>
      </w:r>
      <w:r w:rsidR="001F3771" w:rsidRPr="006332CA">
        <w:t>Sr. Mohamed Amine BENZIANE (Argelia)</w:t>
      </w:r>
    </w:p>
    <w:p w14:paraId="26A07993" w14:textId="1D66D6A7" w:rsidR="001F3771" w:rsidRPr="006332CA" w:rsidRDefault="00E641FF" w:rsidP="00E641FF">
      <w:pPr>
        <w:pStyle w:val="enumlev1"/>
      </w:pPr>
      <w:r>
        <w:t>–</w:t>
      </w:r>
      <w:r>
        <w:tab/>
      </w:r>
      <w:r w:rsidR="001F3771" w:rsidRPr="006332CA">
        <w:t>Sra. Erica BARKS-RUGGLES (Estados Unidos)</w:t>
      </w:r>
    </w:p>
    <w:p w14:paraId="7564C3F5" w14:textId="41A560FF" w:rsidR="001F3771" w:rsidRPr="006332CA" w:rsidRDefault="00E641FF" w:rsidP="00E641FF">
      <w:pPr>
        <w:pStyle w:val="enumlev1"/>
      </w:pPr>
      <w:r>
        <w:t>–</w:t>
      </w:r>
      <w:r>
        <w:tab/>
      </w:r>
      <w:r w:rsidR="001F3771" w:rsidRPr="006332CA">
        <w:t>Sr. Oli BIRD (Reino Unido)</w:t>
      </w:r>
    </w:p>
    <w:p w14:paraId="35BE79C0" w14:textId="5206BE09" w:rsidR="001F3771" w:rsidRPr="006332CA" w:rsidRDefault="00E641FF" w:rsidP="00E641FF">
      <w:pPr>
        <w:pStyle w:val="enumlev1"/>
        <w:rPr>
          <w:rFonts w:eastAsia="SimSun"/>
          <w:highlight w:val="yellow"/>
        </w:rPr>
      </w:pPr>
      <w:r>
        <w:t>–</w:t>
      </w:r>
      <w:r>
        <w:tab/>
      </w:r>
      <w:r w:rsidR="001F3771" w:rsidRPr="006332CA">
        <w:t>Sr. Tareq AL-AWADHI (Emiratos Árabes Unidos).</w:t>
      </w:r>
    </w:p>
    <w:p w14:paraId="67519C61" w14:textId="21596147" w:rsidR="001F3771" w:rsidRPr="006332CA" w:rsidRDefault="001F3771" w:rsidP="001F3771">
      <w:pPr>
        <w:rPr>
          <w:rFonts w:eastAsia="SimSun"/>
        </w:rPr>
      </w:pPr>
      <w:r w:rsidRPr="006332CA">
        <w:rPr>
          <w:rFonts w:eastAsia="SimSun"/>
        </w:rPr>
        <w:t>9</w:t>
      </w:r>
      <w:r w:rsidRPr="006332CA">
        <w:rPr>
          <w:rFonts w:eastAsia="SimSun"/>
        </w:rPr>
        <w:tab/>
      </w:r>
      <w:r>
        <w:rPr>
          <w:rFonts w:eastAsia="SimSun"/>
        </w:rPr>
        <w:t>A continuación s</w:t>
      </w:r>
      <w:r w:rsidRPr="006332CA">
        <w:rPr>
          <w:rFonts w:eastAsia="SimSun"/>
        </w:rPr>
        <w:t>e crearon las siguientes Comisiones, que iniciaron sus trabajos el segundo día de la Conferencia (véase también la estructura de la PP-22 en el Documento</w:t>
      </w:r>
      <w:r w:rsidR="00E641FF">
        <w:rPr>
          <w:rFonts w:eastAsia="SimSun"/>
        </w:rPr>
        <w:t> </w:t>
      </w:r>
      <w:hyperlink r:id="rId20" w:history="1">
        <w:r w:rsidRPr="00E641FF">
          <w:rPr>
            <w:rStyle w:val="Hyperlink"/>
          </w:rPr>
          <w:t>PP</w:t>
        </w:r>
        <w:r w:rsidR="00E641FF">
          <w:rPr>
            <w:rStyle w:val="Hyperlink"/>
          </w:rPr>
          <w:noBreakHyphen/>
        </w:r>
        <w:r w:rsidRPr="00E641FF">
          <w:rPr>
            <w:rStyle w:val="Hyperlink"/>
          </w:rPr>
          <w:t>22/103</w:t>
        </w:r>
      </w:hyperlink>
      <w:r w:rsidRPr="006332CA">
        <w:rPr>
          <w:rFonts w:eastAsia="SimSun"/>
        </w:rPr>
        <w:t xml:space="preserve"> y la lista completa de Presidentes y Vicepresidentes en el Documento</w:t>
      </w:r>
      <w:r w:rsidR="00E641FF">
        <w:rPr>
          <w:rFonts w:eastAsia="SimSun"/>
        </w:rPr>
        <w:t> </w:t>
      </w:r>
      <w:r w:rsidRPr="00E641FF">
        <w:rPr>
          <w:rStyle w:val="Hyperlink"/>
        </w:rPr>
        <w:t>PP-22/97</w:t>
      </w:r>
      <w:r w:rsidRPr="006332CA">
        <w:rPr>
          <w:rFonts w:eastAsia="SimSun"/>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5859"/>
      </w:tblGrid>
      <w:tr w:rsidR="001F3771" w:rsidRPr="006332CA" w14:paraId="046EDD5B" w14:textId="77777777" w:rsidTr="00E20328">
        <w:tc>
          <w:tcPr>
            <w:tcW w:w="3638" w:type="dxa"/>
            <w:tcBorders>
              <w:top w:val="single" w:sz="4" w:space="0" w:color="auto"/>
              <w:left w:val="single" w:sz="4" w:space="0" w:color="auto"/>
              <w:bottom w:val="single" w:sz="4" w:space="0" w:color="auto"/>
              <w:right w:val="single" w:sz="4" w:space="0" w:color="auto"/>
            </w:tcBorders>
          </w:tcPr>
          <w:p w14:paraId="40E92914" w14:textId="77777777" w:rsidR="001F3771" w:rsidRPr="006332CA" w:rsidRDefault="001F3771" w:rsidP="00E20328">
            <w:pPr>
              <w:keepNext/>
              <w:keepLines/>
              <w:tabs>
                <w:tab w:val="clear" w:pos="567"/>
                <w:tab w:val="clear" w:pos="1134"/>
                <w:tab w:val="clear" w:pos="1701"/>
                <w:tab w:val="clear" w:pos="2268"/>
                <w:tab w:val="clear" w:pos="2835"/>
              </w:tabs>
              <w:spacing w:before="0"/>
              <w:rPr>
                <w:rFonts w:asciiTheme="minorHAnsi" w:eastAsia="SimSun" w:hAnsiTheme="minorHAnsi" w:cstheme="minorHAnsi"/>
                <w:szCs w:val="24"/>
              </w:rPr>
            </w:pPr>
            <w:r w:rsidRPr="006332CA">
              <w:rPr>
                <w:rFonts w:asciiTheme="minorHAnsi" w:eastAsia="SimSun" w:hAnsiTheme="minorHAnsi" w:cstheme="minorHAnsi"/>
                <w:szCs w:val="24"/>
              </w:rPr>
              <w:lastRenderedPageBreak/>
              <w:t xml:space="preserve">Comisión 1 </w:t>
            </w:r>
          </w:p>
          <w:p w14:paraId="4BD9B710" w14:textId="77777777" w:rsidR="001F3771" w:rsidRPr="006332CA" w:rsidRDefault="001F3771" w:rsidP="00E20328">
            <w:pPr>
              <w:keepNext/>
              <w:keepLines/>
              <w:tabs>
                <w:tab w:val="clear" w:pos="567"/>
                <w:tab w:val="clear" w:pos="1134"/>
                <w:tab w:val="clear" w:pos="1701"/>
                <w:tab w:val="clear" w:pos="2268"/>
                <w:tab w:val="clear" w:pos="2835"/>
              </w:tabs>
              <w:spacing w:before="0"/>
              <w:rPr>
                <w:rFonts w:asciiTheme="minorHAnsi" w:eastAsia="SimSun" w:hAnsiTheme="minorHAnsi" w:cstheme="minorHAnsi"/>
                <w:szCs w:val="24"/>
              </w:rPr>
            </w:pPr>
            <w:r w:rsidRPr="006332CA">
              <w:rPr>
                <w:rFonts w:asciiTheme="minorHAnsi" w:eastAsia="SimSun" w:hAnsiTheme="minorHAnsi" w:cstheme="minorHAnsi"/>
                <w:szCs w:val="24"/>
              </w:rPr>
              <w:t>(Dirección)</w:t>
            </w:r>
          </w:p>
        </w:tc>
        <w:tc>
          <w:tcPr>
            <w:tcW w:w="5859" w:type="dxa"/>
            <w:tcBorders>
              <w:top w:val="single" w:sz="4" w:space="0" w:color="auto"/>
              <w:left w:val="single" w:sz="4" w:space="0" w:color="auto"/>
              <w:bottom w:val="single" w:sz="4" w:space="0" w:color="auto"/>
              <w:right w:val="single" w:sz="4" w:space="0" w:color="auto"/>
            </w:tcBorders>
          </w:tcPr>
          <w:p w14:paraId="7A50AFA2" w14:textId="77777777" w:rsidR="001F3771" w:rsidRPr="006332CA" w:rsidRDefault="001F3771" w:rsidP="00E20328">
            <w:pPr>
              <w:keepNext/>
              <w:keepLines/>
              <w:tabs>
                <w:tab w:val="clear" w:pos="567"/>
                <w:tab w:val="clear" w:pos="1134"/>
                <w:tab w:val="clear" w:pos="1701"/>
                <w:tab w:val="clear" w:pos="2268"/>
                <w:tab w:val="clear" w:pos="2835"/>
              </w:tabs>
              <w:spacing w:before="0"/>
              <w:rPr>
                <w:rFonts w:asciiTheme="minorHAnsi" w:eastAsia="SimSun" w:hAnsiTheme="minorHAnsi" w:cstheme="minorHAnsi"/>
                <w:szCs w:val="24"/>
              </w:rPr>
            </w:pPr>
            <w:r w:rsidRPr="006332CA">
              <w:rPr>
                <w:rFonts w:asciiTheme="minorHAnsi" w:eastAsia="SimSun" w:hAnsiTheme="minorHAnsi" w:cstheme="minorHAnsi"/>
                <w:szCs w:val="24"/>
              </w:rPr>
              <w:t>(Compuest</w:t>
            </w:r>
            <w:r>
              <w:rPr>
                <w:rFonts w:asciiTheme="minorHAnsi" w:eastAsia="SimSun" w:hAnsiTheme="minorHAnsi" w:cstheme="minorHAnsi"/>
                <w:szCs w:val="24"/>
              </w:rPr>
              <w:t>a</w:t>
            </w:r>
            <w:r w:rsidRPr="006332CA">
              <w:rPr>
                <w:rFonts w:asciiTheme="minorHAnsi" w:eastAsia="SimSun" w:hAnsiTheme="minorHAnsi" w:cstheme="minorHAnsi"/>
                <w:szCs w:val="24"/>
              </w:rPr>
              <w:t xml:space="preserve"> por el Presidente y los Vicepresidentes de la Conferencia y por los Presidentes y Vicepresidentes de las demás Comisiones y</w:t>
            </w:r>
            <w:r>
              <w:rPr>
                <w:rFonts w:asciiTheme="minorHAnsi" w:eastAsia="SimSun" w:hAnsiTheme="minorHAnsi" w:cstheme="minorHAnsi"/>
                <w:szCs w:val="24"/>
              </w:rPr>
              <w:t xml:space="preserve"> del</w:t>
            </w:r>
            <w:r w:rsidRPr="006332CA">
              <w:rPr>
                <w:rFonts w:asciiTheme="minorHAnsi" w:eastAsia="SimSun" w:hAnsiTheme="minorHAnsi" w:cstheme="minorHAnsi"/>
                <w:szCs w:val="24"/>
              </w:rPr>
              <w:t xml:space="preserve"> Grupo de Trabajo de la Plenaria)</w:t>
            </w:r>
          </w:p>
        </w:tc>
      </w:tr>
      <w:tr w:rsidR="001F3771" w:rsidRPr="006332CA" w14:paraId="67A0A0AF" w14:textId="77777777" w:rsidTr="00E20328">
        <w:tc>
          <w:tcPr>
            <w:tcW w:w="3638" w:type="dxa"/>
            <w:tcBorders>
              <w:top w:val="single" w:sz="4" w:space="0" w:color="auto"/>
              <w:left w:val="single" w:sz="4" w:space="0" w:color="auto"/>
              <w:bottom w:val="single" w:sz="4" w:space="0" w:color="auto"/>
              <w:right w:val="single" w:sz="4" w:space="0" w:color="auto"/>
            </w:tcBorders>
            <w:hideMark/>
          </w:tcPr>
          <w:p w14:paraId="2C2E9725" w14:textId="77777777" w:rsidR="001F3771" w:rsidRPr="006332CA" w:rsidRDefault="001F3771" w:rsidP="00E20328">
            <w:pPr>
              <w:keepNext/>
              <w:keepLines/>
              <w:tabs>
                <w:tab w:val="clear" w:pos="567"/>
                <w:tab w:val="clear" w:pos="1134"/>
                <w:tab w:val="clear" w:pos="1701"/>
                <w:tab w:val="clear" w:pos="2268"/>
                <w:tab w:val="clear" w:pos="2835"/>
              </w:tabs>
              <w:spacing w:before="0"/>
              <w:rPr>
                <w:rFonts w:asciiTheme="minorHAnsi" w:eastAsia="SimSun" w:hAnsiTheme="minorHAnsi" w:cstheme="minorHAnsi"/>
                <w:szCs w:val="24"/>
              </w:rPr>
            </w:pPr>
            <w:r w:rsidRPr="006332CA">
              <w:rPr>
                <w:rFonts w:asciiTheme="minorHAnsi" w:eastAsia="SimSun" w:hAnsiTheme="minorHAnsi" w:cstheme="minorHAnsi"/>
                <w:szCs w:val="24"/>
              </w:rPr>
              <w:t xml:space="preserve">Comisión 2 </w:t>
            </w:r>
            <w:r w:rsidRPr="006332CA">
              <w:rPr>
                <w:rFonts w:asciiTheme="minorHAnsi" w:eastAsia="SimSun" w:hAnsiTheme="minorHAnsi" w:cstheme="minorHAnsi"/>
                <w:szCs w:val="24"/>
              </w:rPr>
              <w:br/>
              <w:t>(Credenciales)</w:t>
            </w:r>
          </w:p>
        </w:tc>
        <w:tc>
          <w:tcPr>
            <w:tcW w:w="5859" w:type="dxa"/>
            <w:tcBorders>
              <w:top w:val="single" w:sz="4" w:space="0" w:color="auto"/>
              <w:left w:val="single" w:sz="4" w:space="0" w:color="auto"/>
              <w:bottom w:val="single" w:sz="4" w:space="0" w:color="auto"/>
              <w:right w:val="single" w:sz="4" w:space="0" w:color="auto"/>
            </w:tcBorders>
            <w:hideMark/>
          </w:tcPr>
          <w:p w14:paraId="12692AEE" w14:textId="77777777" w:rsidR="001F3771" w:rsidRPr="006332CA" w:rsidRDefault="001F3771" w:rsidP="00E20328">
            <w:pPr>
              <w:keepNext/>
              <w:keepLines/>
              <w:tabs>
                <w:tab w:val="clear" w:pos="567"/>
                <w:tab w:val="clear" w:pos="1134"/>
                <w:tab w:val="clear" w:pos="1701"/>
                <w:tab w:val="clear" w:pos="2268"/>
                <w:tab w:val="clear" w:pos="2835"/>
                <w:tab w:val="left" w:pos="1593"/>
              </w:tabs>
              <w:spacing w:before="0"/>
              <w:rPr>
                <w:rFonts w:asciiTheme="minorHAnsi" w:eastAsia="SimSun" w:hAnsiTheme="minorHAnsi" w:cstheme="minorHAnsi"/>
                <w:szCs w:val="24"/>
              </w:rPr>
            </w:pPr>
            <w:r w:rsidRPr="006332CA">
              <w:rPr>
                <w:rFonts w:asciiTheme="minorHAnsi" w:eastAsia="SimSun" w:hAnsiTheme="minorHAnsi" w:cstheme="minorHAnsi"/>
                <w:b/>
                <w:szCs w:val="24"/>
              </w:rPr>
              <w:t>Presidente</w:t>
            </w:r>
            <w:r w:rsidRPr="006332CA">
              <w:rPr>
                <w:rFonts w:asciiTheme="minorHAnsi" w:eastAsia="SimSun" w:hAnsiTheme="minorHAnsi" w:cstheme="minorHAnsi"/>
                <w:szCs w:val="24"/>
              </w:rPr>
              <w:t>: Sr. Al-Ansari AL-MASHAKBEH (Jordania)</w:t>
            </w:r>
          </w:p>
        </w:tc>
      </w:tr>
      <w:tr w:rsidR="00E641FF" w:rsidRPr="00E641FF" w14:paraId="0D0EFD52" w14:textId="77777777" w:rsidTr="00E20328">
        <w:tc>
          <w:tcPr>
            <w:tcW w:w="3638" w:type="dxa"/>
            <w:tcBorders>
              <w:top w:val="single" w:sz="4" w:space="0" w:color="auto"/>
              <w:left w:val="single" w:sz="4" w:space="0" w:color="auto"/>
              <w:bottom w:val="single" w:sz="4" w:space="0" w:color="auto"/>
              <w:right w:val="single" w:sz="4" w:space="0" w:color="auto"/>
            </w:tcBorders>
            <w:hideMark/>
          </w:tcPr>
          <w:p w14:paraId="18414A92" w14:textId="77777777" w:rsidR="001F3771" w:rsidRPr="00E641FF" w:rsidRDefault="001F3771" w:rsidP="00E20328">
            <w:pPr>
              <w:keepNext/>
              <w:keepLines/>
              <w:tabs>
                <w:tab w:val="clear" w:pos="567"/>
                <w:tab w:val="clear" w:pos="1134"/>
                <w:tab w:val="clear" w:pos="1701"/>
                <w:tab w:val="clear" w:pos="2268"/>
                <w:tab w:val="clear" w:pos="2835"/>
              </w:tabs>
              <w:spacing w:before="0"/>
              <w:rPr>
                <w:rFonts w:asciiTheme="minorHAnsi" w:eastAsia="SimSun" w:hAnsiTheme="minorHAnsi" w:cstheme="minorHAnsi"/>
                <w:szCs w:val="24"/>
              </w:rPr>
            </w:pPr>
            <w:r w:rsidRPr="00E641FF">
              <w:rPr>
                <w:rFonts w:asciiTheme="minorHAnsi" w:eastAsia="SimSun" w:hAnsiTheme="minorHAnsi" w:cstheme="minorHAnsi"/>
                <w:szCs w:val="24"/>
              </w:rPr>
              <w:t xml:space="preserve">Comisión 3 </w:t>
            </w:r>
            <w:r w:rsidRPr="00E641FF">
              <w:rPr>
                <w:rFonts w:asciiTheme="minorHAnsi" w:eastAsia="SimSun" w:hAnsiTheme="minorHAnsi" w:cstheme="minorHAnsi"/>
                <w:szCs w:val="24"/>
              </w:rPr>
              <w:br/>
              <w:t>(</w:t>
            </w:r>
            <w:r w:rsidRPr="00E641FF">
              <w:t>Control del Presupuesto</w:t>
            </w:r>
            <w:r w:rsidRPr="00E641FF">
              <w:rPr>
                <w:rFonts w:asciiTheme="minorHAnsi" w:eastAsia="SimSun" w:hAnsiTheme="minorHAnsi" w:cstheme="minorHAnsi"/>
                <w:szCs w:val="24"/>
              </w:rPr>
              <w:t>)</w:t>
            </w:r>
          </w:p>
        </w:tc>
        <w:tc>
          <w:tcPr>
            <w:tcW w:w="5859" w:type="dxa"/>
            <w:tcBorders>
              <w:top w:val="single" w:sz="4" w:space="0" w:color="auto"/>
              <w:left w:val="single" w:sz="4" w:space="0" w:color="auto"/>
              <w:bottom w:val="single" w:sz="4" w:space="0" w:color="auto"/>
              <w:right w:val="single" w:sz="4" w:space="0" w:color="auto"/>
            </w:tcBorders>
            <w:hideMark/>
          </w:tcPr>
          <w:p w14:paraId="1BD67338" w14:textId="77777777" w:rsidR="001F3771" w:rsidRPr="00E641FF" w:rsidRDefault="001F3771" w:rsidP="00E20328">
            <w:pPr>
              <w:keepNext/>
              <w:keepLines/>
              <w:tabs>
                <w:tab w:val="clear" w:pos="1134"/>
                <w:tab w:val="clear" w:pos="1701"/>
                <w:tab w:val="left" w:pos="1593"/>
                <w:tab w:val="left" w:pos="1802"/>
              </w:tabs>
              <w:spacing w:before="0"/>
              <w:rPr>
                <w:rFonts w:asciiTheme="minorHAnsi" w:eastAsia="SimSun" w:hAnsiTheme="minorHAnsi" w:cstheme="minorHAnsi"/>
                <w:szCs w:val="24"/>
              </w:rPr>
            </w:pPr>
            <w:r w:rsidRPr="00E641FF">
              <w:rPr>
                <w:rFonts w:asciiTheme="minorHAnsi" w:eastAsia="SimSun" w:hAnsiTheme="minorHAnsi" w:cstheme="minorHAnsi"/>
                <w:b/>
                <w:szCs w:val="24"/>
              </w:rPr>
              <w:t>Presidente</w:t>
            </w:r>
            <w:r w:rsidRPr="00E641FF">
              <w:rPr>
                <w:rFonts w:asciiTheme="minorHAnsi" w:eastAsia="SimSun" w:hAnsiTheme="minorHAnsi" w:cstheme="minorHAnsi"/>
                <w:szCs w:val="24"/>
              </w:rPr>
              <w:t>: Sr. Bakhtiyar MAMMADOV (Azerbaiyán)</w:t>
            </w:r>
          </w:p>
        </w:tc>
      </w:tr>
      <w:tr w:rsidR="001F3771" w:rsidRPr="006332CA" w14:paraId="42151D53" w14:textId="77777777" w:rsidTr="00E20328">
        <w:tc>
          <w:tcPr>
            <w:tcW w:w="3638" w:type="dxa"/>
            <w:tcBorders>
              <w:top w:val="single" w:sz="4" w:space="0" w:color="auto"/>
              <w:left w:val="single" w:sz="4" w:space="0" w:color="auto"/>
              <w:bottom w:val="single" w:sz="4" w:space="0" w:color="auto"/>
              <w:right w:val="single" w:sz="4" w:space="0" w:color="auto"/>
            </w:tcBorders>
            <w:hideMark/>
          </w:tcPr>
          <w:p w14:paraId="1318DB54" w14:textId="77777777" w:rsidR="001F3771" w:rsidRPr="006332CA" w:rsidRDefault="001F3771" w:rsidP="00E20328">
            <w:pPr>
              <w:keepNext/>
              <w:keepLines/>
              <w:tabs>
                <w:tab w:val="clear" w:pos="567"/>
                <w:tab w:val="clear" w:pos="1134"/>
                <w:tab w:val="clear" w:pos="1701"/>
                <w:tab w:val="clear" w:pos="2268"/>
                <w:tab w:val="clear" w:pos="2835"/>
              </w:tabs>
              <w:spacing w:before="0"/>
              <w:rPr>
                <w:rFonts w:asciiTheme="minorHAnsi" w:eastAsia="SimSun" w:hAnsiTheme="minorHAnsi" w:cstheme="minorHAnsi"/>
                <w:szCs w:val="24"/>
              </w:rPr>
            </w:pPr>
            <w:r w:rsidRPr="006332CA">
              <w:rPr>
                <w:rFonts w:asciiTheme="minorHAnsi" w:eastAsia="SimSun" w:hAnsiTheme="minorHAnsi" w:cstheme="minorHAnsi"/>
                <w:szCs w:val="24"/>
              </w:rPr>
              <w:t xml:space="preserve">Comisión 4 </w:t>
            </w:r>
            <w:r w:rsidRPr="006332CA">
              <w:rPr>
                <w:rFonts w:asciiTheme="minorHAnsi" w:eastAsia="SimSun" w:hAnsiTheme="minorHAnsi" w:cstheme="minorHAnsi"/>
                <w:szCs w:val="24"/>
              </w:rPr>
              <w:br/>
              <w:t>(Redacción)</w:t>
            </w:r>
          </w:p>
        </w:tc>
        <w:tc>
          <w:tcPr>
            <w:tcW w:w="5859" w:type="dxa"/>
            <w:tcBorders>
              <w:top w:val="single" w:sz="4" w:space="0" w:color="auto"/>
              <w:left w:val="single" w:sz="4" w:space="0" w:color="auto"/>
              <w:bottom w:val="single" w:sz="4" w:space="0" w:color="auto"/>
              <w:right w:val="single" w:sz="4" w:space="0" w:color="auto"/>
            </w:tcBorders>
            <w:hideMark/>
          </w:tcPr>
          <w:p w14:paraId="3BA2E342" w14:textId="77777777" w:rsidR="001F3771" w:rsidRPr="006332CA" w:rsidRDefault="001F3771" w:rsidP="00E20328">
            <w:pPr>
              <w:keepNext/>
              <w:keepLines/>
              <w:tabs>
                <w:tab w:val="clear" w:pos="1134"/>
                <w:tab w:val="clear" w:pos="1701"/>
                <w:tab w:val="left" w:pos="1593"/>
                <w:tab w:val="left" w:pos="1802"/>
              </w:tabs>
              <w:spacing w:before="0"/>
              <w:rPr>
                <w:rFonts w:asciiTheme="minorHAnsi" w:eastAsia="SimSun" w:hAnsiTheme="minorHAnsi" w:cstheme="minorHAnsi"/>
                <w:szCs w:val="24"/>
              </w:rPr>
            </w:pPr>
            <w:r w:rsidRPr="006332CA">
              <w:rPr>
                <w:rFonts w:asciiTheme="minorHAnsi" w:eastAsia="SimSun" w:hAnsiTheme="minorHAnsi" w:cstheme="minorHAnsi"/>
                <w:b/>
                <w:szCs w:val="24"/>
              </w:rPr>
              <w:t>Presidente</w:t>
            </w:r>
            <w:r w:rsidRPr="006332CA">
              <w:rPr>
                <w:rFonts w:asciiTheme="minorHAnsi" w:eastAsia="SimSun" w:hAnsiTheme="minorHAnsi" w:cstheme="minorHAnsi"/>
                <w:szCs w:val="24"/>
              </w:rPr>
              <w:t>: Sr. Christian RISSONE (Francia)</w:t>
            </w:r>
          </w:p>
          <w:p w14:paraId="72F5283A" w14:textId="77777777" w:rsidR="001F3771" w:rsidRPr="006332CA" w:rsidRDefault="001F3771" w:rsidP="00E20328">
            <w:pPr>
              <w:keepNext/>
              <w:keepLines/>
              <w:tabs>
                <w:tab w:val="clear" w:pos="567"/>
                <w:tab w:val="clear" w:pos="1134"/>
                <w:tab w:val="clear" w:pos="1701"/>
                <w:tab w:val="clear" w:pos="2268"/>
                <w:tab w:val="clear" w:pos="2835"/>
                <w:tab w:val="left" w:pos="1593"/>
              </w:tabs>
              <w:spacing w:before="0"/>
              <w:rPr>
                <w:rFonts w:asciiTheme="minorHAnsi" w:eastAsia="SimSun" w:hAnsiTheme="minorHAnsi" w:cstheme="minorHAnsi"/>
                <w:szCs w:val="24"/>
              </w:rPr>
            </w:pPr>
          </w:p>
        </w:tc>
      </w:tr>
      <w:tr w:rsidR="001F3771" w:rsidRPr="006332CA" w14:paraId="4064021E" w14:textId="77777777" w:rsidTr="00E20328">
        <w:tc>
          <w:tcPr>
            <w:tcW w:w="3638" w:type="dxa"/>
            <w:tcBorders>
              <w:top w:val="single" w:sz="4" w:space="0" w:color="auto"/>
              <w:left w:val="single" w:sz="4" w:space="0" w:color="auto"/>
              <w:bottom w:val="single" w:sz="4" w:space="0" w:color="auto"/>
              <w:right w:val="single" w:sz="4" w:space="0" w:color="auto"/>
            </w:tcBorders>
          </w:tcPr>
          <w:p w14:paraId="3F12D47E" w14:textId="77777777" w:rsidR="001F3771" w:rsidRPr="006332CA" w:rsidRDefault="001F3771" w:rsidP="00E20328">
            <w:pPr>
              <w:keepNext/>
              <w:keepLines/>
              <w:tabs>
                <w:tab w:val="clear" w:pos="567"/>
                <w:tab w:val="clear" w:pos="1134"/>
                <w:tab w:val="clear" w:pos="1701"/>
                <w:tab w:val="clear" w:pos="2268"/>
                <w:tab w:val="clear" w:pos="2835"/>
              </w:tabs>
              <w:spacing w:before="0"/>
              <w:rPr>
                <w:rFonts w:asciiTheme="minorHAnsi" w:eastAsia="SimSun" w:hAnsiTheme="minorHAnsi" w:cstheme="minorHAnsi"/>
                <w:szCs w:val="24"/>
              </w:rPr>
            </w:pPr>
            <w:r w:rsidRPr="006332CA">
              <w:rPr>
                <w:rFonts w:asciiTheme="minorHAnsi" w:eastAsia="SimSun" w:hAnsiTheme="minorHAnsi" w:cstheme="minorHAnsi"/>
                <w:szCs w:val="24"/>
              </w:rPr>
              <w:t xml:space="preserve">Comisión 5 </w:t>
            </w:r>
            <w:r w:rsidRPr="006332CA">
              <w:rPr>
                <w:rFonts w:asciiTheme="minorHAnsi" w:eastAsia="SimSun" w:hAnsiTheme="minorHAnsi" w:cstheme="minorHAnsi"/>
                <w:szCs w:val="24"/>
              </w:rPr>
              <w:br/>
              <w:t>(</w:t>
            </w:r>
            <w:r w:rsidRPr="006332CA">
              <w:t>Asuntos de orden Político y Jurídico</w:t>
            </w:r>
            <w:r w:rsidRPr="006332CA">
              <w:rPr>
                <w:rFonts w:asciiTheme="minorHAnsi" w:eastAsia="SimSun" w:hAnsiTheme="minorHAnsi" w:cstheme="minorHAnsi"/>
                <w:szCs w:val="24"/>
              </w:rPr>
              <w:t>)</w:t>
            </w:r>
          </w:p>
        </w:tc>
        <w:tc>
          <w:tcPr>
            <w:tcW w:w="5859" w:type="dxa"/>
            <w:tcBorders>
              <w:top w:val="single" w:sz="4" w:space="0" w:color="auto"/>
              <w:left w:val="single" w:sz="4" w:space="0" w:color="auto"/>
              <w:bottom w:val="single" w:sz="4" w:space="0" w:color="auto"/>
              <w:right w:val="single" w:sz="4" w:space="0" w:color="auto"/>
            </w:tcBorders>
          </w:tcPr>
          <w:p w14:paraId="506EA95C" w14:textId="77777777" w:rsidR="001F3771" w:rsidRPr="006332CA" w:rsidRDefault="001F3771" w:rsidP="00E20328">
            <w:pPr>
              <w:keepNext/>
              <w:keepLines/>
              <w:tabs>
                <w:tab w:val="clear" w:pos="1134"/>
                <w:tab w:val="clear" w:pos="1701"/>
                <w:tab w:val="left" w:pos="1593"/>
                <w:tab w:val="left" w:pos="1802"/>
              </w:tabs>
              <w:spacing w:before="0"/>
              <w:rPr>
                <w:rFonts w:asciiTheme="minorHAnsi" w:eastAsia="SimSun" w:hAnsiTheme="minorHAnsi" w:cstheme="minorHAnsi"/>
                <w:b/>
                <w:szCs w:val="24"/>
              </w:rPr>
            </w:pPr>
            <w:r w:rsidRPr="006332CA">
              <w:rPr>
                <w:rFonts w:asciiTheme="minorHAnsi" w:eastAsia="SimSun" w:hAnsiTheme="minorHAnsi" w:cstheme="minorHAnsi"/>
                <w:b/>
                <w:szCs w:val="24"/>
              </w:rPr>
              <w:t>Presidente</w:t>
            </w:r>
            <w:r w:rsidRPr="006332CA">
              <w:rPr>
                <w:rFonts w:asciiTheme="minorHAnsi" w:eastAsia="SimSun" w:hAnsiTheme="minorHAnsi" w:cstheme="minorHAnsi"/>
                <w:szCs w:val="24"/>
              </w:rPr>
              <w:t>: Sra. Mina Seonmin JUN (República de Corea)</w:t>
            </w:r>
          </w:p>
        </w:tc>
      </w:tr>
      <w:tr w:rsidR="001F3771" w:rsidRPr="006332CA" w14:paraId="43AD0624" w14:textId="77777777" w:rsidTr="00E20328">
        <w:tc>
          <w:tcPr>
            <w:tcW w:w="3638" w:type="dxa"/>
            <w:tcBorders>
              <w:top w:val="single" w:sz="4" w:space="0" w:color="auto"/>
              <w:left w:val="single" w:sz="4" w:space="0" w:color="auto"/>
              <w:bottom w:val="single" w:sz="4" w:space="0" w:color="auto"/>
              <w:right w:val="single" w:sz="4" w:space="0" w:color="auto"/>
            </w:tcBorders>
          </w:tcPr>
          <w:p w14:paraId="57B20E9E" w14:textId="77777777" w:rsidR="001F3771" w:rsidRPr="006332CA" w:rsidRDefault="001F3771" w:rsidP="00E20328">
            <w:pPr>
              <w:keepNext/>
              <w:keepLines/>
              <w:tabs>
                <w:tab w:val="clear" w:pos="567"/>
                <w:tab w:val="clear" w:pos="1134"/>
                <w:tab w:val="clear" w:pos="1701"/>
                <w:tab w:val="clear" w:pos="2268"/>
                <w:tab w:val="clear" w:pos="2835"/>
              </w:tabs>
              <w:spacing w:before="0"/>
              <w:rPr>
                <w:rFonts w:asciiTheme="minorHAnsi" w:eastAsia="SimSun" w:hAnsiTheme="minorHAnsi" w:cstheme="minorHAnsi"/>
                <w:bCs/>
                <w:szCs w:val="24"/>
              </w:rPr>
            </w:pPr>
            <w:r w:rsidRPr="006332CA">
              <w:rPr>
                <w:rFonts w:asciiTheme="minorHAnsi" w:eastAsia="SimSun" w:hAnsiTheme="minorHAnsi" w:cstheme="minorHAnsi"/>
                <w:bCs/>
                <w:szCs w:val="24"/>
              </w:rPr>
              <w:t xml:space="preserve">Comisión 6 </w:t>
            </w:r>
          </w:p>
          <w:p w14:paraId="64E79571" w14:textId="77777777" w:rsidR="001F3771" w:rsidRPr="006332CA" w:rsidRDefault="001F3771" w:rsidP="00E20328">
            <w:pPr>
              <w:keepNext/>
              <w:keepLines/>
              <w:tabs>
                <w:tab w:val="clear" w:pos="567"/>
                <w:tab w:val="clear" w:pos="1134"/>
                <w:tab w:val="clear" w:pos="1701"/>
                <w:tab w:val="clear" w:pos="2268"/>
                <w:tab w:val="clear" w:pos="2835"/>
              </w:tabs>
              <w:spacing w:before="0"/>
              <w:rPr>
                <w:rFonts w:asciiTheme="minorHAnsi" w:eastAsia="SimSun" w:hAnsiTheme="minorHAnsi" w:cstheme="minorHAnsi"/>
                <w:bCs/>
                <w:szCs w:val="24"/>
              </w:rPr>
            </w:pPr>
            <w:r w:rsidRPr="006332CA">
              <w:rPr>
                <w:rFonts w:asciiTheme="minorHAnsi" w:eastAsia="SimSun" w:hAnsiTheme="minorHAnsi" w:cstheme="minorHAnsi"/>
                <w:bCs/>
                <w:szCs w:val="24"/>
              </w:rPr>
              <w:t>(Administración y Gestión)</w:t>
            </w:r>
          </w:p>
        </w:tc>
        <w:tc>
          <w:tcPr>
            <w:tcW w:w="5859" w:type="dxa"/>
            <w:tcBorders>
              <w:top w:val="single" w:sz="4" w:space="0" w:color="auto"/>
              <w:left w:val="single" w:sz="4" w:space="0" w:color="auto"/>
              <w:bottom w:val="single" w:sz="4" w:space="0" w:color="auto"/>
              <w:right w:val="single" w:sz="4" w:space="0" w:color="auto"/>
            </w:tcBorders>
          </w:tcPr>
          <w:p w14:paraId="235D0C49" w14:textId="77777777" w:rsidR="001F3771" w:rsidRPr="006332CA" w:rsidRDefault="001F3771" w:rsidP="00E20328">
            <w:pPr>
              <w:keepNext/>
              <w:keepLines/>
              <w:tabs>
                <w:tab w:val="clear" w:pos="567"/>
                <w:tab w:val="clear" w:pos="1134"/>
                <w:tab w:val="clear" w:pos="1701"/>
                <w:tab w:val="clear" w:pos="2268"/>
                <w:tab w:val="clear" w:pos="2835"/>
                <w:tab w:val="left" w:pos="1593"/>
                <w:tab w:val="left" w:pos="1802"/>
              </w:tabs>
              <w:spacing w:before="0"/>
              <w:rPr>
                <w:rFonts w:asciiTheme="minorHAnsi" w:hAnsiTheme="minorHAnsi" w:cstheme="minorHAnsi"/>
                <w:b/>
                <w:szCs w:val="24"/>
                <w:lang w:eastAsia="zh-CN"/>
              </w:rPr>
            </w:pPr>
            <w:r w:rsidRPr="006332CA">
              <w:rPr>
                <w:rFonts w:asciiTheme="minorHAnsi" w:hAnsiTheme="minorHAnsi" w:cstheme="minorHAnsi"/>
                <w:b/>
                <w:szCs w:val="24"/>
                <w:lang w:eastAsia="zh-CN"/>
              </w:rPr>
              <w:t>Presidente</w:t>
            </w:r>
            <w:r w:rsidRPr="006332CA">
              <w:rPr>
                <w:rFonts w:asciiTheme="minorHAnsi" w:hAnsiTheme="minorHAnsi" w:cstheme="minorHAnsi"/>
                <w:szCs w:val="24"/>
                <w:lang w:eastAsia="zh-CN"/>
              </w:rPr>
              <w:t>: Sra. Vernita HARRIS (Estados Unidos)</w:t>
            </w:r>
          </w:p>
        </w:tc>
      </w:tr>
      <w:tr w:rsidR="001F3771" w:rsidRPr="00C91EE2" w14:paraId="522C2435" w14:textId="77777777" w:rsidTr="00E20328">
        <w:tc>
          <w:tcPr>
            <w:tcW w:w="3638" w:type="dxa"/>
            <w:tcBorders>
              <w:top w:val="single" w:sz="4" w:space="0" w:color="auto"/>
              <w:left w:val="single" w:sz="4" w:space="0" w:color="auto"/>
              <w:bottom w:val="single" w:sz="4" w:space="0" w:color="auto"/>
              <w:right w:val="single" w:sz="4" w:space="0" w:color="auto"/>
            </w:tcBorders>
          </w:tcPr>
          <w:p w14:paraId="5FD160B4" w14:textId="77777777" w:rsidR="001F3771" w:rsidRPr="006332CA" w:rsidRDefault="001F3771" w:rsidP="00E20328">
            <w:pPr>
              <w:tabs>
                <w:tab w:val="clear" w:pos="567"/>
                <w:tab w:val="clear" w:pos="1134"/>
                <w:tab w:val="clear" w:pos="1701"/>
                <w:tab w:val="clear" w:pos="2268"/>
                <w:tab w:val="clear" w:pos="2835"/>
              </w:tabs>
              <w:spacing w:before="0"/>
              <w:rPr>
                <w:rFonts w:asciiTheme="minorHAnsi" w:eastAsia="SimSun" w:hAnsiTheme="minorHAnsi" w:cstheme="minorHAnsi"/>
                <w:bCs/>
                <w:szCs w:val="24"/>
              </w:rPr>
            </w:pPr>
            <w:r w:rsidRPr="006332CA">
              <w:rPr>
                <w:rFonts w:asciiTheme="minorHAnsi" w:eastAsia="SimSun" w:hAnsiTheme="minorHAnsi" w:cstheme="minorHAnsi"/>
                <w:bCs/>
                <w:szCs w:val="24"/>
              </w:rPr>
              <w:t>Grupo de Trabajo de la Plenaria (GT-PL)</w:t>
            </w:r>
          </w:p>
        </w:tc>
        <w:tc>
          <w:tcPr>
            <w:tcW w:w="5859" w:type="dxa"/>
            <w:tcBorders>
              <w:top w:val="single" w:sz="4" w:space="0" w:color="auto"/>
              <w:left w:val="single" w:sz="4" w:space="0" w:color="auto"/>
              <w:bottom w:val="single" w:sz="4" w:space="0" w:color="auto"/>
              <w:right w:val="single" w:sz="4" w:space="0" w:color="auto"/>
            </w:tcBorders>
          </w:tcPr>
          <w:p w14:paraId="7E77BA1F" w14:textId="77777777" w:rsidR="001F3771" w:rsidRPr="001F3771" w:rsidRDefault="001F3771" w:rsidP="00E20328">
            <w:pPr>
              <w:tabs>
                <w:tab w:val="clear" w:pos="567"/>
                <w:tab w:val="clear" w:pos="1134"/>
                <w:tab w:val="clear" w:pos="1701"/>
                <w:tab w:val="clear" w:pos="2268"/>
                <w:tab w:val="clear" w:pos="2835"/>
                <w:tab w:val="left" w:pos="1593"/>
                <w:tab w:val="left" w:pos="1802"/>
              </w:tabs>
              <w:spacing w:before="0"/>
              <w:rPr>
                <w:rFonts w:asciiTheme="minorHAnsi" w:hAnsiTheme="minorHAnsi" w:cstheme="minorHAnsi"/>
                <w:b/>
                <w:szCs w:val="24"/>
                <w:lang w:val="en-US" w:eastAsia="zh-CN"/>
              </w:rPr>
            </w:pPr>
            <w:r w:rsidRPr="001F3771">
              <w:rPr>
                <w:rFonts w:asciiTheme="minorHAnsi" w:hAnsiTheme="minorHAnsi" w:cstheme="minorHAnsi"/>
                <w:b/>
                <w:szCs w:val="24"/>
                <w:lang w:val="en-US" w:eastAsia="zh-CN"/>
              </w:rPr>
              <w:t>Presidente</w:t>
            </w:r>
            <w:r w:rsidRPr="001F3771">
              <w:rPr>
                <w:rFonts w:asciiTheme="minorHAnsi" w:hAnsiTheme="minorHAnsi" w:cstheme="minorHAnsi"/>
                <w:szCs w:val="24"/>
                <w:lang w:val="en-US" w:eastAsia="zh-CN"/>
              </w:rPr>
              <w:t>: Sr. Kwame BAAH-ACHEAMFUOR (Ghana)</w:t>
            </w:r>
          </w:p>
        </w:tc>
      </w:tr>
    </w:tbl>
    <w:p w14:paraId="0275E34B" w14:textId="0A08057D" w:rsidR="001F3771" w:rsidRPr="006332CA" w:rsidRDefault="001F3771" w:rsidP="001F3771">
      <w:r w:rsidRPr="006332CA">
        <w:rPr>
          <w:rFonts w:eastAsia="SimSun"/>
        </w:rPr>
        <w:t>10</w:t>
      </w:r>
      <w:r w:rsidRPr="006332CA">
        <w:rPr>
          <w:rFonts w:eastAsia="SimSun"/>
        </w:rPr>
        <w:tab/>
      </w:r>
      <w:proofErr w:type="gramStart"/>
      <w:r w:rsidRPr="006332CA">
        <w:t>La</w:t>
      </w:r>
      <w:proofErr w:type="gramEnd"/>
      <w:r w:rsidRPr="006332CA">
        <w:t xml:space="preserve"> PP-22 eligió al nuevo equipo directivo, que asumi</w:t>
      </w:r>
      <w:r>
        <w:t>ó</w:t>
      </w:r>
      <w:r w:rsidRPr="006332CA">
        <w:t xml:space="preserve"> el cargo o sigui</w:t>
      </w:r>
      <w:r>
        <w:t>ó</w:t>
      </w:r>
      <w:r w:rsidRPr="006332CA">
        <w:t xml:space="preserve"> desempeñando sus funciones a partir del 1 de enero de 2023: </w:t>
      </w:r>
    </w:p>
    <w:p w14:paraId="6B3ECE18" w14:textId="77777777" w:rsidR="00E641FF" w:rsidRDefault="00E641FF" w:rsidP="00E641FF">
      <w:pPr>
        <w:pStyle w:val="enumlev1"/>
        <w:rPr>
          <w:rFonts w:eastAsia="SimSun"/>
        </w:rPr>
      </w:pPr>
      <w:r w:rsidRPr="00E641FF">
        <w:rPr>
          <w:rFonts w:eastAsia="SimSun"/>
        </w:rPr>
        <w:t>–</w:t>
      </w:r>
      <w:r>
        <w:rPr>
          <w:rFonts w:eastAsia="SimSun"/>
        </w:rPr>
        <w:tab/>
      </w:r>
      <w:r w:rsidR="001F3771" w:rsidRPr="006332CA">
        <w:rPr>
          <w:rFonts w:eastAsia="SimSun"/>
        </w:rPr>
        <w:t xml:space="preserve">Secretaria General: </w:t>
      </w:r>
      <w:r w:rsidR="001F3771" w:rsidRPr="006332CA">
        <w:rPr>
          <w:rFonts w:eastAsia="SimSun"/>
        </w:rPr>
        <w:tab/>
      </w:r>
      <w:r w:rsidR="001F3771" w:rsidRPr="006332CA">
        <w:rPr>
          <w:rFonts w:eastAsia="SimSun"/>
        </w:rPr>
        <w:tab/>
      </w:r>
      <w:r w:rsidR="001F3771" w:rsidRPr="006332CA">
        <w:rPr>
          <w:rFonts w:eastAsia="SimSun"/>
        </w:rPr>
        <w:tab/>
        <w:t>Sra. Doreen BOGDAN-MARTIN (Estados Unidos)</w:t>
      </w:r>
    </w:p>
    <w:p w14:paraId="2720468C" w14:textId="77777777" w:rsidR="00E641FF" w:rsidRDefault="00E641FF" w:rsidP="00E641FF">
      <w:pPr>
        <w:pStyle w:val="enumlev1"/>
        <w:rPr>
          <w:rFonts w:eastAsia="SimSun"/>
        </w:rPr>
      </w:pPr>
      <w:r w:rsidRPr="00E641FF">
        <w:rPr>
          <w:rFonts w:eastAsia="SimSun"/>
        </w:rPr>
        <w:t>–</w:t>
      </w:r>
      <w:r>
        <w:rPr>
          <w:rFonts w:eastAsia="SimSun"/>
        </w:rPr>
        <w:tab/>
      </w:r>
      <w:r w:rsidR="001F3771" w:rsidRPr="006332CA">
        <w:rPr>
          <w:rFonts w:eastAsia="SimSun"/>
        </w:rPr>
        <w:t>Vicesecretario General:</w:t>
      </w:r>
      <w:r w:rsidR="001F3771" w:rsidRPr="006332CA">
        <w:rPr>
          <w:rFonts w:eastAsia="SimSun"/>
        </w:rPr>
        <w:tab/>
      </w:r>
      <w:r w:rsidR="001F3771" w:rsidRPr="006332CA">
        <w:rPr>
          <w:rFonts w:eastAsia="SimSun"/>
        </w:rPr>
        <w:tab/>
        <w:t xml:space="preserve">Sr. Tomas LAMANAUSKAS (Lituania) </w:t>
      </w:r>
    </w:p>
    <w:p w14:paraId="5D867D7A" w14:textId="77777777" w:rsidR="00E641FF" w:rsidRDefault="00E641FF" w:rsidP="00E641FF">
      <w:pPr>
        <w:pStyle w:val="enumlev1"/>
        <w:rPr>
          <w:rFonts w:eastAsia="SimSun"/>
        </w:rPr>
      </w:pPr>
      <w:r w:rsidRPr="00E641FF">
        <w:rPr>
          <w:rFonts w:eastAsia="SimSun"/>
        </w:rPr>
        <w:t>–</w:t>
      </w:r>
      <w:r>
        <w:rPr>
          <w:rFonts w:eastAsia="SimSun"/>
        </w:rPr>
        <w:tab/>
      </w:r>
      <w:r w:rsidR="001F3771" w:rsidRPr="006332CA">
        <w:rPr>
          <w:rFonts w:eastAsia="SimSun"/>
        </w:rPr>
        <w:t xml:space="preserve">Director de la BR: </w:t>
      </w:r>
      <w:r w:rsidR="001F3771" w:rsidRPr="006332CA">
        <w:rPr>
          <w:rFonts w:eastAsia="SimSun"/>
        </w:rPr>
        <w:tab/>
      </w:r>
      <w:r w:rsidR="001F3771" w:rsidRPr="006332CA">
        <w:rPr>
          <w:rFonts w:eastAsia="SimSun"/>
        </w:rPr>
        <w:tab/>
      </w:r>
      <w:r w:rsidR="001F3771" w:rsidRPr="006332CA">
        <w:rPr>
          <w:rFonts w:eastAsia="SimSun"/>
        </w:rPr>
        <w:tab/>
        <w:t>Sr. Mario MANIEWICZ (Uruguay)</w:t>
      </w:r>
    </w:p>
    <w:p w14:paraId="585871C7" w14:textId="77777777" w:rsidR="00E641FF" w:rsidRDefault="00E641FF" w:rsidP="00E641FF">
      <w:pPr>
        <w:pStyle w:val="enumlev1"/>
        <w:rPr>
          <w:rFonts w:eastAsia="SimSun"/>
        </w:rPr>
      </w:pPr>
      <w:r w:rsidRPr="00E641FF">
        <w:rPr>
          <w:rFonts w:eastAsia="SimSun"/>
        </w:rPr>
        <w:t>–</w:t>
      </w:r>
      <w:r>
        <w:rPr>
          <w:rFonts w:eastAsia="SimSun"/>
        </w:rPr>
        <w:tab/>
      </w:r>
      <w:r w:rsidR="001F3771" w:rsidRPr="006332CA">
        <w:rPr>
          <w:rFonts w:eastAsia="SimSun"/>
        </w:rPr>
        <w:t xml:space="preserve">Director de la TSB: </w:t>
      </w:r>
      <w:r w:rsidR="001F3771" w:rsidRPr="006332CA">
        <w:rPr>
          <w:rFonts w:eastAsia="SimSun"/>
        </w:rPr>
        <w:tab/>
      </w:r>
      <w:r w:rsidR="001F3771" w:rsidRPr="006332CA">
        <w:rPr>
          <w:rFonts w:eastAsia="SimSun"/>
        </w:rPr>
        <w:tab/>
      </w:r>
      <w:r w:rsidR="001F3771" w:rsidRPr="006332CA">
        <w:rPr>
          <w:rFonts w:eastAsia="SimSun"/>
        </w:rPr>
        <w:tab/>
        <w:t>Sr. Seizo ONOE (Japón)</w:t>
      </w:r>
    </w:p>
    <w:p w14:paraId="7F9D6625" w14:textId="4A003C1B" w:rsidR="001F3771" w:rsidRPr="006332CA" w:rsidRDefault="00E641FF" w:rsidP="00E641FF">
      <w:pPr>
        <w:pStyle w:val="enumlev1"/>
        <w:rPr>
          <w:rFonts w:eastAsia="SimSun"/>
        </w:rPr>
      </w:pPr>
      <w:r w:rsidRPr="00E641FF">
        <w:rPr>
          <w:rFonts w:eastAsia="SimSun"/>
        </w:rPr>
        <w:t>–</w:t>
      </w:r>
      <w:r>
        <w:rPr>
          <w:rFonts w:eastAsia="SimSun"/>
        </w:rPr>
        <w:tab/>
      </w:r>
      <w:r w:rsidR="001F3771" w:rsidRPr="006332CA">
        <w:rPr>
          <w:rFonts w:eastAsia="SimSun"/>
        </w:rPr>
        <w:t>Director de la BDT:</w:t>
      </w:r>
      <w:r w:rsidR="001F3771" w:rsidRPr="006332CA">
        <w:rPr>
          <w:rFonts w:eastAsia="SimSun"/>
        </w:rPr>
        <w:tab/>
      </w:r>
      <w:r w:rsidR="001F3771" w:rsidRPr="006332CA">
        <w:rPr>
          <w:rFonts w:eastAsia="SimSun"/>
        </w:rPr>
        <w:tab/>
      </w:r>
      <w:r w:rsidR="001F3771" w:rsidRPr="006332CA">
        <w:rPr>
          <w:rFonts w:eastAsia="SimSun"/>
        </w:rPr>
        <w:tab/>
        <w:t>Dr. Cosmas ZAVAZAVA (Zimbabwe).</w:t>
      </w:r>
    </w:p>
    <w:p w14:paraId="54649899" w14:textId="77777777" w:rsidR="001F3771" w:rsidRPr="006332CA" w:rsidRDefault="001F3771" w:rsidP="001F3771">
      <w:pPr>
        <w:rPr>
          <w:rFonts w:eastAsia="SimSun"/>
          <w:highlight w:val="yellow"/>
        </w:rPr>
      </w:pPr>
      <w:r w:rsidRPr="006332CA">
        <w:t xml:space="preserve">La Conferencia también eligió a los Estados Miembros del Consejo y los miembros de la Junta del Reglamento de Radiocomunicaciones. </w:t>
      </w:r>
      <w:r w:rsidRPr="006332CA">
        <w:rPr>
          <w:rFonts w:eastAsia="SimSun"/>
        </w:rPr>
        <w:t>Todos los detalles</w:t>
      </w:r>
      <w:r w:rsidRPr="006332CA">
        <w:t>, incluidas las biografías de los candidatos, entrevistas e información sobre cada ronda, pueden consultarse en la siguiente dirección:</w:t>
      </w:r>
      <w:r w:rsidRPr="006332CA">
        <w:rPr>
          <w:rFonts w:eastAsia="SimSun"/>
        </w:rPr>
        <w:t xml:space="preserve"> </w:t>
      </w:r>
      <w:hyperlink r:id="rId21" w:history="1">
        <w:r w:rsidRPr="006332CA">
          <w:rPr>
            <w:rStyle w:val="Hyperlink"/>
            <w:rFonts w:asciiTheme="minorHAnsi" w:eastAsia="SimSun" w:hAnsiTheme="minorHAnsi" w:cstheme="minorHAnsi"/>
            <w:szCs w:val="24"/>
          </w:rPr>
          <w:t>https://pp22.itu.int/en/elections/elections-results/</w:t>
        </w:r>
      </w:hyperlink>
      <w:r w:rsidRPr="006332CA">
        <w:rPr>
          <w:rFonts w:eastAsia="SimSun"/>
        </w:rPr>
        <w:t xml:space="preserve">. Se </w:t>
      </w:r>
      <w:r w:rsidRPr="006332CA">
        <w:t xml:space="preserve">invitó a los candidatos a presentar una declaración de visión y un currículum vítae, que se publicaron conjuntamente en forma de documento oficial de la Conferencia. La mayoría de los candidatos presentó también un folleto en pdf e incluso un enlace a un vídeo de presentación o a su propia página web de campaña. Se </w:t>
      </w:r>
      <w:r w:rsidRPr="006332CA">
        <w:rPr>
          <w:rFonts w:eastAsia="SimSun"/>
          <w:bCs/>
        </w:rPr>
        <w:t xml:space="preserve">publicó </w:t>
      </w:r>
      <w:r w:rsidRPr="006332CA">
        <w:t xml:space="preserve">un número especial de la revista Actualidades de la UIT sobre las </w:t>
      </w:r>
      <w:r w:rsidRPr="006332CA">
        <w:rPr>
          <w:rFonts w:eastAsia="SimSun"/>
          <w:bCs/>
        </w:rPr>
        <w:t xml:space="preserve">elecciones y los candidatos. </w:t>
      </w:r>
      <w:r w:rsidRPr="006332CA">
        <w:t xml:space="preserve">Las </w:t>
      </w:r>
      <w:hyperlink r:id="rId22" w:history="1">
        <w:r w:rsidRPr="00E641FF">
          <w:rPr>
            <w:rStyle w:val="Hyperlink"/>
            <w:rFonts w:asciiTheme="minorHAnsi" w:eastAsia="SimSun" w:hAnsiTheme="minorHAnsi" w:cstheme="minorHAnsi"/>
            <w:szCs w:val="24"/>
          </w:rPr>
          <w:t>directrices éticas</w:t>
        </w:r>
      </w:hyperlink>
      <w:r w:rsidRPr="006332CA">
        <w:t xml:space="preserve"> se publicaron en el sitio web de la PP-22.</w:t>
      </w:r>
    </w:p>
    <w:p w14:paraId="323EF96E" w14:textId="0561A26D" w:rsidR="001F3771" w:rsidRPr="006332CA" w:rsidRDefault="001F3771" w:rsidP="001F3771">
      <w:r w:rsidRPr="006332CA">
        <w:t>11</w:t>
      </w:r>
      <w:r w:rsidRPr="006332CA">
        <w:tab/>
        <w:t xml:space="preserve">En la PP-22 se pronunciaron un total de 119 declaraciones políticas. Los oradores pronunciaron sus discursos desde </w:t>
      </w:r>
      <w:r>
        <w:t>el</w:t>
      </w:r>
      <w:r w:rsidRPr="006332CA">
        <w:t xml:space="preserve"> atril</w:t>
      </w:r>
      <w:r>
        <w:t xml:space="preserve"> del podio</w:t>
      </w:r>
      <w:r w:rsidRPr="006332CA">
        <w:t xml:space="preserve">. Una vez pronunciadas, las declaraciones se publicaron en el </w:t>
      </w:r>
      <w:hyperlink r:id="rId23" w:history="1">
        <w:r w:rsidRPr="00E641FF">
          <w:rPr>
            <w:rStyle w:val="Hyperlink"/>
            <w:rFonts w:asciiTheme="minorHAnsi" w:eastAsia="SimSun" w:hAnsiTheme="minorHAnsi" w:cstheme="minorHAnsi"/>
            <w:szCs w:val="24"/>
          </w:rPr>
          <w:t>sitio web de la</w:t>
        </w:r>
      </w:hyperlink>
      <w:r w:rsidRPr="006332CA">
        <w:t xml:space="preserve"> PP-22.</w:t>
      </w:r>
    </w:p>
    <w:p w14:paraId="34F3AE41" w14:textId="53387CB1" w:rsidR="001F3771" w:rsidRPr="006332CA" w:rsidRDefault="001F3771" w:rsidP="001F3771">
      <w:pPr>
        <w:rPr>
          <w:highlight w:val="yellow"/>
        </w:rPr>
      </w:pPr>
      <w:r w:rsidRPr="006332CA">
        <w:t>12</w:t>
      </w:r>
      <w:r w:rsidRPr="006332CA">
        <w:tab/>
        <w:t xml:space="preserve">Se animó a los Estados Miembros a utilizar la Interfaz de Propuestas a la Conferencia (CPI) a fin de presentar propuestas para los trabajos de la Conferencia. </w:t>
      </w:r>
      <w:r>
        <w:t xml:space="preserve">Se recibieron </w:t>
      </w:r>
      <w:r w:rsidRPr="006332CA">
        <w:t>211</w:t>
      </w:r>
      <w:r w:rsidR="00432748">
        <w:t> </w:t>
      </w:r>
      <w:r w:rsidRPr="006332CA">
        <w:t>propuestas</w:t>
      </w:r>
      <w:r>
        <w:t xml:space="preserve"> para la PP-22</w:t>
      </w:r>
      <w:r w:rsidRPr="006332CA">
        <w:t>, dos de las cuales se retiraron antes del final de la Conferencia, por un total de 1</w:t>
      </w:r>
      <w:r w:rsidR="00432748">
        <w:t> </w:t>
      </w:r>
      <w:r w:rsidRPr="006332CA">
        <w:t xml:space="preserve">503 páginas originales. </w:t>
      </w:r>
    </w:p>
    <w:p w14:paraId="0370BD6C" w14:textId="1806C587" w:rsidR="001F3771" w:rsidRPr="006332CA" w:rsidRDefault="001F3771" w:rsidP="001F3771">
      <w:pPr>
        <w:rPr>
          <w:rFonts w:eastAsia="SimSun"/>
        </w:rPr>
      </w:pPr>
      <w:r w:rsidRPr="006332CA">
        <w:t>13</w:t>
      </w:r>
      <w:r w:rsidRPr="006332CA">
        <w:tab/>
        <w:t xml:space="preserve">La PP-22 </w:t>
      </w:r>
      <w:r w:rsidRPr="006332CA">
        <w:rPr>
          <w:rFonts w:eastAsia="SimSun"/>
          <w:color w:val="000000"/>
        </w:rPr>
        <w:t xml:space="preserve">adoptó </w:t>
      </w:r>
      <w:r w:rsidRPr="006332CA">
        <w:t>seis nuevas Resoluciones, revisó dos Decisiones y 57</w:t>
      </w:r>
      <w:r w:rsidR="00432748">
        <w:t> </w:t>
      </w:r>
      <w:r w:rsidRPr="006332CA">
        <w:t xml:space="preserve">Resoluciones, y suprimió una Resolución. No se modificó ni la Constitución ni el Convenio de la UIT. Las </w:t>
      </w:r>
      <w:r w:rsidRPr="006332CA">
        <w:lastRenderedPageBreak/>
        <w:t>Actas</w:t>
      </w:r>
      <w:r w:rsidR="00432748">
        <w:t> </w:t>
      </w:r>
      <w:r w:rsidRPr="006332CA">
        <w:t xml:space="preserve">Finales de la PP-22 están disponibles en la página web de la UIT: </w:t>
      </w:r>
      <w:hyperlink r:id="rId24" w:history="1">
        <w:r w:rsidRPr="006332CA">
          <w:rPr>
            <w:rStyle w:val="Hyperlink"/>
            <w:rFonts w:asciiTheme="minorHAnsi" w:eastAsia="SimSun" w:hAnsiTheme="minorHAnsi" w:cstheme="minorHAnsi"/>
            <w:szCs w:val="24"/>
          </w:rPr>
          <w:t>https:</w:t>
        </w:r>
        <w:r w:rsidRPr="006332CA">
          <w:rPr>
            <w:rStyle w:val="Hyperlink"/>
            <w:rFonts w:asciiTheme="minorHAnsi" w:hAnsiTheme="minorHAnsi" w:cstheme="minorHAnsi"/>
            <w:szCs w:val="24"/>
          </w:rPr>
          <w:t>//www.itu.int/pub/S-CONF-ACTF-2022</w:t>
        </w:r>
      </w:hyperlink>
      <w:r w:rsidRPr="006332CA">
        <w:t xml:space="preserve">. La lista de Decisiones </w:t>
      </w:r>
      <w:r w:rsidRPr="006332CA">
        <w:rPr>
          <w:rFonts w:eastAsia="SimSun"/>
        </w:rPr>
        <w:t>adoptadas por la PP</w:t>
      </w:r>
      <w:r w:rsidR="00432748">
        <w:rPr>
          <w:rFonts w:eastAsia="SimSun"/>
        </w:rPr>
        <w:noBreakHyphen/>
      </w:r>
      <w:r w:rsidRPr="006332CA">
        <w:rPr>
          <w:rFonts w:eastAsia="SimSun"/>
        </w:rPr>
        <w:t xml:space="preserve">22 se recogió en las actas de las sesiones plenarias, en particular las decisiones basadas en recomendaciones de las Comisiones y del Grupo de Trabajo de la Plenaria (véase el </w:t>
      </w:r>
      <w:r w:rsidR="00432748">
        <w:rPr>
          <w:rFonts w:eastAsia="SimSun"/>
        </w:rPr>
        <w:t>D</w:t>
      </w:r>
      <w:r w:rsidRPr="006332CA">
        <w:rPr>
          <w:rFonts w:eastAsia="SimSun"/>
        </w:rPr>
        <w:t>ocumento</w:t>
      </w:r>
      <w:r w:rsidR="00432748">
        <w:rPr>
          <w:rFonts w:eastAsia="SimSun"/>
        </w:rPr>
        <w:t> </w:t>
      </w:r>
      <w:hyperlink r:id="rId25" w:history="1">
        <w:r w:rsidRPr="006332CA">
          <w:rPr>
            <w:rStyle w:val="Hyperlink"/>
          </w:rPr>
          <w:t>C23/INF/1</w:t>
        </w:r>
      </w:hyperlink>
      <w:r w:rsidRPr="006332CA">
        <w:rPr>
          <w:rFonts w:eastAsia="SimSun"/>
        </w:rPr>
        <w:t>). Entre ellas, la Recomendación 4 de la Comisión 5, adoptada en la 16ª</w:t>
      </w:r>
      <w:r w:rsidR="00432748">
        <w:rPr>
          <w:rFonts w:eastAsia="SimSun"/>
        </w:rPr>
        <w:t> </w:t>
      </w:r>
      <w:r w:rsidRPr="006332CA">
        <w:rPr>
          <w:rFonts w:eastAsia="SimSun"/>
        </w:rPr>
        <w:t>sesión plenaria, propone encargar</w:t>
      </w:r>
      <w:r w:rsidRPr="006332CA">
        <w:t xml:space="preserve"> al Consejo que examine la cuestión de la realización de </w:t>
      </w:r>
      <w:r>
        <w:t xml:space="preserve">las </w:t>
      </w:r>
      <w:r w:rsidRPr="006332CA">
        <w:t xml:space="preserve">campañas electorales y </w:t>
      </w:r>
      <w:r>
        <w:t xml:space="preserve">los </w:t>
      </w:r>
      <w:r w:rsidRPr="006332CA">
        <w:t>procedimientos de elección del Secretario General, el Vicesecretario General, los Directores de las Oficinas de los Sectores y los miembros de la Junta del Reglamento de Radiocomunicaciones, garantizando al mismo tiempo que todos los candidatos tengan la oportunidad de participar de conformidad con los principios de equidad, transparencia, integridad e imparcialidad en la realización de las campañas electorales. El examen de este asunto debía concluirse antes de que finalizase la reunión de</w:t>
      </w:r>
      <w:r w:rsidR="00432748">
        <w:t> </w:t>
      </w:r>
      <w:r w:rsidRPr="006332CA">
        <w:t>2024 del Consejo y los cambios en relación con esa cuestión, si los hubiera, debían aplicarse antes de la siguiente Conferencia de Plenipotenciarios</w:t>
      </w:r>
      <w:r w:rsidRPr="006332CA">
        <w:rPr>
          <w:rFonts w:eastAsia="SimSun"/>
        </w:rPr>
        <w:t>.</w:t>
      </w:r>
    </w:p>
    <w:p w14:paraId="171F887E" w14:textId="56D491CD" w:rsidR="001F3771" w:rsidRPr="006332CA" w:rsidRDefault="001F3771" w:rsidP="001F3771">
      <w:pPr>
        <w:rPr>
          <w:rFonts w:eastAsia="SimSun"/>
        </w:rPr>
      </w:pPr>
      <w:r w:rsidRPr="006332CA">
        <w:rPr>
          <w:rFonts w:eastAsia="SimSun"/>
        </w:rPr>
        <w:t>14</w:t>
      </w:r>
      <w:r w:rsidRPr="006332CA">
        <w:rPr>
          <w:rFonts w:eastAsia="SimSun"/>
        </w:rPr>
        <w:tab/>
        <w:t xml:space="preserve">Durante la PP-22 se celebraron </w:t>
      </w:r>
      <w:r>
        <w:rPr>
          <w:rFonts w:eastAsia="SimSun"/>
        </w:rPr>
        <w:t>diverso</w:t>
      </w:r>
      <w:r w:rsidRPr="006332CA">
        <w:rPr>
          <w:rFonts w:eastAsia="SimSun"/>
        </w:rPr>
        <w:t xml:space="preserve">s </w:t>
      </w:r>
      <w:r>
        <w:rPr>
          <w:rFonts w:eastAsia="SimSun"/>
        </w:rPr>
        <w:t>evento</w:t>
      </w:r>
      <w:r w:rsidRPr="006332CA">
        <w:rPr>
          <w:rFonts w:eastAsia="SimSun"/>
        </w:rPr>
        <w:t>s paralelos</w:t>
      </w:r>
      <w:r>
        <w:rPr>
          <w:rFonts w:eastAsia="SimSun"/>
        </w:rPr>
        <w:t>, entre ellos</w:t>
      </w:r>
      <w:r w:rsidRPr="006332CA">
        <w:rPr>
          <w:rFonts w:eastAsia="SimSun"/>
        </w:rPr>
        <w:t>:</w:t>
      </w:r>
    </w:p>
    <w:p w14:paraId="2FC3FC5A" w14:textId="7F8C3350" w:rsidR="001F3771" w:rsidRPr="006332CA" w:rsidRDefault="00432748" w:rsidP="00432748">
      <w:pPr>
        <w:pStyle w:val="enumlev1"/>
        <w:rPr>
          <w:rFonts w:eastAsia="SimSun"/>
        </w:rPr>
      </w:pPr>
      <w:r w:rsidRPr="00432748">
        <w:rPr>
          <w:rFonts w:eastAsia="SimSun"/>
        </w:rPr>
        <w:t>–</w:t>
      </w:r>
      <w:r>
        <w:rPr>
          <w:rFonts w:eastAsia="SimSun"/>
        </w:rPr>
        <w:tab/>
      </w:r>
      <w:r w:rsidR="001F3771" w:rsidRPr="006332CA">
        <w:rPr>
          <w:rFonts w:eastAsia="SimSun"/>
        </w:rPr>
        <w:t>una mesa redonda ministerial sobre la construcción de un futuro digital mejor para todos</w:t>
      </w:r>
      <w:r w:rsidR="001F3771" w:rsidRPr="006332CA">
        <w:rPr>
          <w:rFonts w:eastAsia="SimSun"/>
          <w:lang w:eastAsia="zh-CN"/>
        </w:rPr>
        <w:t xml:space="preserve">, </w:t>
      </w:r>
      <w:r w:rsidR="001F3771" w:rsidRPr="006332CA">
        <w:rPr>
          <w:rFonts w:eastAsia="SimSun"/>
        </w:rPr>
        <w:t>organizada por el país anfitrión;</w:t>
      </w:r>
    </w:p>
    <w:p w14:paraId="0CB4D37A" w14:textId="272F3F4C" w:rsidR="001F3771" w:rsidRPr="006332CA" w:rsidRDefault="00432748" w:rsidP="00432748">
      <w:pPr>
        <w:pStyle w:val="enumlev1"/>
        <w:rPr>
          <w:rFonts w:eastAsia="SimSun"/>
        </w:rPr>
      </w:pPr>
      <w:r w:rsidRPr="00432748">
        <w:rPr>
          <w:rFonts w:eastAsia="SimSun"/>
        </w:rPr>
        <w:t>–</w:t>
      </w:r>
      <w:r>
        <w:rPr>
          <w:rFonts w:eastAsia="SimSun"/>
        </w:rPr>
        <w:tab/>
      </w:r>
      <w:r w:rsidR="001F3771" w:rsidRPr="006332CA">
        <w:rPr>
          <w:rFonts w:eastAsia="SimSun"/>
        </w:rPr>
        <w:t xml:space="preserve">un panel de alto nivel y un desayuno concebido para la creación de contactos, ambos </w:t>
      </w:r>
      <w:r w:rsidR="001F3771">
        <w:rPr>
          <w:rFonts w:eastAsia="SimSun"/>
        </w:rPr>
        <w:t>dirigidos</w:t>
      </w:r>
      <w:r w:rsidR="001F3771" w:rsidRPr="006332CA">
        <w:rPr>
          <w:rFonts w:eastAsia="SimSun"/>
        </w:rPr>
        <w:t xml:space="preserve"> a mujeres y patrocinados por el Gobierno de Australia;</w:t>
      </w:r>
    </w:p>
    <w:p w14:paraId="1021AD70" w14:textId="63015B9F" w:rsidR="001F3771" w:rsidRPr="006332CA" w:rsidRDefault="00432748" w:rsidP="00432748">
      <w:pPr>
        <w:pStyle w:val="enumlev1"/>
        <w:rPr>
          <w:rFonts w:eastAsia="SimSun"/>
        </w:rPr>
      </w:pPr>
      <w:r w:rsidRPr="00432748">
        <w:rPr>
          <w:rFonts w:eastAsia="SimSun"/>
        </w:rPr>
        <w:t>–</w:t>
      </w:r>
      <w:r>
        <w:rPr>
          <w:rFonts w:eastAsia="SimSun"/>
        </w:rPr>
        <w:tab/>
      </w:r>
      <w:r w:rsidR="001F3771" w:rsidRPr="006332CA">
        <w:rPr>
          <w:rFonts w:eastAsia="SimSun"/>
        </w:rPr>
        <w:t xml:space="preserve">diálogos intergeneracionales sobre educación, empleos futuros, competencias digitales y reducción de la brecha digital de género; y </w:t>
      </w:r>
    </w:p>
    <w:p w14:paraId="77076B6A" w14:textId="1EA87A1A" w:rsidR="001F3771" w:rsidRPr="006332CA" w:rsidRDefault="00432748" w:rsidP="00432748">
      <w:pPr>
        <w:pStyle w:val="enumlev1"/>
        <w:rPr>
          <w:rFonts w:eastAsia="SimSun"/>
        </w:rPr>
      </w:pPr>
      <w:r w:rsidRPr="00432748">
        <w:rPr>
          <w:rFonts w:eastAsia="SimSun"/>
        </w:rPr>
        <w:t>–</w:t>
      </w:r>
      <w:r>
        <w:rPr>
          <w:rFonts w:eastAsia="SimSun"/>
        </w:rPr>
        <w:tab/>
      </w:r>
      <w:r w:rsidR="001F3771" w:rsidRPr="006332CA">
        <w:rPr>
          <w:rFonts w:eastAsia="SimSun"/>
        </w:rPr>
        <w:t xml:space="preserve">un significativo taller juvenil sobre la conformación de la próxima generación de delegados de la UIT, que formó parte de un proyecto </w:t>
      </w:r>
      <w:r w:rsidR="001F3771" w:rsidRPr="006332CA">
        <w:t xml:space="preserve">financiado por los Gobiernos de Canadá y Australia, en coordinación con el país anfitrión, para </w:t>
      </w:r>
      <w:r w:rsidR="001F3771" w:rsidRPr="006332CA">
        <w:rPr>
          <w:rFonts w:eastAsia="SimSun"/>
        </w:rPr>
        <w:t>promover la participación de los jóvenes en la Conferencia.</w:t>
      </w:r>
    </w:p>
    <w:p w14:paraId="72B0B784" w14:textId="69C4EBD0" w:rsidR="001F3771" w:rsidRPr="006332CA" w:rsidRDefault="001F3771" w:rsidP="001F3771">
      <w:pPr>
        <w:rPr>
          <w:rFonts w:eastAsia="SimSun"/>
          <w:bCs/>
        </w:rPr>
      </w:pPr>
      <w:r w:rsidRPr="006332CA">
        <w:rPr>
          <w:rFonts w:eastAsia="SimSun"/>
        </w:rPr>
        <w:t>15</w:t>
      </w:r>
      <w:r w:rsidRPr="006332CA">
        <w:rPr>
          <w:rFonts w:eastAsia="SimSun"/>
        </w:rPr>
        <w:tab/>
      </w:r>
      <w:r w:rsidRPr="006332CA">
        <w:rPr>
          <w:bCs/>
        </w:rPr>
        <w:t xml:space="preserve">Se elaboró un </w:t>
      </w:r>
      <w:hyperlink r:id="rId26" w:history="1">
        <w:r w:rsidRPr="00432748">
          <w:rPr>
            <w:rStyle w:val="Hyperlink"/>
            <w:rFonts w:asciiTheme="minorHAnsi" w:eastAsia="SimSun" w:hAnsiTheme="minorHAnsi" w:cstheme="minorHAnsi"/>
            <w:szCs w:val="24"/>
          </w:rPr>
          <w:t>plan de ecologizació</w:t>
        </w:r>
      </w:hyperlink>
      <w:r w:rsidRPr="00432748">
        <w:rPr>
          <w:rStyle w:val="Hyperlink"/>
          <w:rFonts w:asciiTheme="minorHAnsi" w:eastAsia="SimSun" w:hAnsiTheme="minorHAnsi" w:cstheme="minorHAnsi"/>
          <w:szCs w:val="24"/>
        </w:rPr>
        <w:t>n</w:t>
      </w:r>
      <w:r w:rsidRPr="006332CA">
        <w:rPr>
          <w:bCs/>
        </w:rPr>
        <w:t xml:space="preserve"> y se siguió debidamente la lista de comprobación para eventos ecológicos de la UIT. Los </w:t>
      </w:r>
      <w:r w:rsidRPr="006332CA">
        <w:rPr>
          <w:rFonts w:eastAsia="SimSun"/>
          <w:bCs/>
        </w:rPr>
        <w:t xml:space="preserve">esfuerzos desplegados a fin de celebrar una conferencia lo más ecológica posible fueron integrales y requirieron </w:t>
      </w:r>
      <w:r>
        <w:rPr>
          <w:rFonts w:eastAsia="SimSun"/>
          <w:bCs/>
        </w:rPr>
        <w:t>d</w:t>
      </w:r>
      <w:r w:rsidRPr="006332CA">
        <w:rPr>
          <w:rFonts w:eastAsia="SimSun"/>
          <w:bCs/>
        </w:rPr>
        <w:t>el compromiso de la secretaría de la UIT, el país anfitrión, los Estados Miembros participantes y los propios delegados.</w:t>
      </w:r>
    </w:p>
    <w:p w14:paraId="007D4675" w14:textId="5664AC17" w:rsidR="001F3771" w:rsidRPr="006332CA" w:rsidRDefault="001F3771" w:rsidP="001F3771">
      <w:pPr>
        <w:rPr>
          <w:rFonts w:eastAsia="SimSun"/>
          <w:highlight w:val="yellow"/>
        </w:rPr>
      </w:pPr>
      <w:r w:rsidRPr="006332CA">
        <w:rPr>
          <w:rFonts w:eastAsia="SimSun"/>
          <w:bCs/>
        </w:rPr>
        <w:t>16</w:t>
      </w:r>
      <w:r w:rsidRPr="006332CA">
        <w:rPr>
          <w:rFonts w:eastAsia="SimSun"/>
          <w:bCs/>
        </w:rPr>
        <w:tab/>
      </w:r>
      <w:r w:rsidRPr="006332CA">
        <w:rPr>
          <w:rFonts w:eastAsia="SimSun"/>
        </w:rPr>
        <w:t xml:space="preserve">Se preparó un </w:t>
      </w:r>
      <w:hyperlink r:id="rId27" w:history="1">
        <w:r w:rsidRPr="00432748">
          <w:rPr>
            <w:rStyle w:val="Hyperlink"/>
            <w:rFonts w:asciiTheme="minorHAnsi" w:eastAsia="SimSun" w:hAnsiTheme="minorHAnsi" w:cstheme="minorHAnsi"/>
            <w:szCs w:val="24"/>
          </w:rPr>
          <w:t>plan para un evento con perspectiva de género</w:t>
        </w:r>
      </w:hyperlink>
      <w:r w:rsidRPr="006332CA">
        <w:rPr>
          <w:rFonts w:eastAsia="SimSun"/>
        </w:rPr>
        <w:t xml:space="preserve">, con el objetivo de </w:t>
      </w:r>
      <w:r>
        <w:rPr>
          <w:rFonts w:eastAsia="SimSun"/>
        </w:rPr>
        <w:t>integrar la</w:t>
      </w:r>
      <w:r w:rsidRPr="006332CA">
        <w:rPr>
          <w:rFonts w:eastAsia="SimSun"/>
        </w:rPr>
        <w:t xml:space="preserve"> perspectiva de género en la preparación, el desarrollo y el seguimiento de la Conferencia. De los delegados que asistieron en persona, alrededor del 33% fueron mujeres, lo que no solo represent</w:t>
      </w:r>
      <w:r>
        <w:rPr>
          <w:rFonts w:eastAsia="SimSun"/>
        </w:rPr>
        <w:t>ó</w:t>
      </w:r>
      <w:r w:rsidRPr="006332CA">
        <w:rPr>
          <w:rFonts w:eastAsia="SimSun"/>
        </w:rPr>
        <w:t xml:space="preserve"> un aumento del 4% con respecto a la PP-18, sino que además roz</w:t>
      </w:r>
      <w:r>
        <w:rPr>
          <w:rFonts w:eastAsia="SimSun"/>
        </w:rPr>
        <w:t>ó</w:t>
      </w:r>
      <w:r w:rsidRPr="006332CA">
        <w:rPr>
          <w:rFonts w:eastAsia="SimSun"/>
        </w:rPr>
        <w:t xml:space="preserve"> el objetivo fijado del 35%. De los delegados que participaron a distancia, el 43% fueron mujeres que participaron tanto en los debates de fondo como en las negociaciones. Dos</w:t>
      </w:r>
      <w:r w:rsidR="00432748">
        <w:rPr>
          <w:rFonts w:eastAsia="SimSun"/>
        </w:rPr>
        <w:t> </w:t>
      </w:r>
      <w:r w:rsidRPr="006332CA">
        <w:rPr>
          <w:rFonts w:eastAsia="SimSun"/>
        </w:rPr>
        <w:t>Comisiones importantes estuvieron presididas por delegadas, a saber, la Comisión</w:t>
      </w:r>
      <w:r w:rsidR="00432748">
        <w:rPr>
          <w:rFonts w:eastAsia="SimSun"/>
        </w:rPr>
        <w:t> </w:t>
      </w:r>
      <w:r w:rsidRPr="006332CA">
        <w:rPr>
          <w:rFonts w:eastAsia="SimSun"/>
        </w:rPr>
        <w:t>5 (</w:t>
      </w:r>
      <w:r w:rsidRPr="006332CA">
        <w:t>Asuntos de orden Político y Jurídico</w:t>
      </w:r>
      <w:r w:rsidRPr="006332CA">
        <w:rPr>
          <w:rFonts w:eastAsia="SimSun"/>
        </w:rPr>
        <w:t>) y la Comisión 6 (Administración y Gestión). De los 38</w:t>
      </w:r>
      <w:r w:rsidR="00432748">
        <w:rPr>
          <w:rFonts w:eastAsia="SimSun"/>
        </w:rPr>
        <w:t> </w:t>
      </w:r>
      <w:r w:rsidRPr="006332CA">
        <w:rPr>
          <w:rFonts w:eastAsia="SimSun"/>
        </w:rPr>
        <w:t>grupos ad hoc, de redacción e informales, 13 estuvieron presididos y/o coordinados por mujeres delegadas.</w:t>
      </w:r>
    </w:p>
    <w:p w14:paraId="533744B2" w14:textId="77777777" w:rsidR="007F3BF1" w:rsidRDefault="001F3771" w:rsidP="00411C49">
      <w:pPr>
        <w:pStyle w:val="Reasons"/>
      </w:pPr>
      <w:r w:rsidRPr="006332CA">
        <w:rPr>
          <w:rFonts w:eastAsia="SimSun"/>
        </w:rPr>
        <w:t>17</w:t>
      </w:r>
      <w:r w:rsidRPr="006332CA">
        <w:rPr>
          <w:rFonts w:eastAsia="SimSun"/>
        </w:rPr>
        <w:tab/>
      </w:r>
      <w:proofErr w:type="gramStart"/>
      <w:r w:rsidRPr="006332CA">
        <w:t>Toda</w:t>
      </w:r>
      <w:proofErr w:type="gramEnd"/>
      <w:r w:rsidRPr="006332CA">
        <w:t xml:space="preserve"> la información relativa a la</w:t>
      </w:r>
      <w:r w:rsidRPr="006332CA">
        <w:rPr>
          <w:rFonts w:eastAsia="SimSun"/>
        </w:rPr>
        <w:t xml:space="preserve"> PP-22, incluidos los documentos, las declaraciones políticas, los resultados de las elecciones, las fotos, los vídeos y los aspectos más destacados, puede consultarse en la siguiente dirección</w:t>
      </w:r>
      <w:hyperlink r:id="rId28" w:history="1">
        <w:r w:rsidRPr="006332CA">
          <w:rPr>
            <w:rFonts w:eastAsia="SimSun"/>
            <w:color w:val="0563C1"/>
            <w:u w:val="single"/>
          </w:rPr>
          <w:t xml:space="preserve">: </w:t>
        </w:r>
      </w:hyperlink>
      <w:hyperlink r:id="rId29" w:history="1">
        <w:r w:rsidRPr="006332CA">
          <w:rPr>
            <w:rStyle w:val="Hyperlink"/>
            <w:rFonts w:asciiTheme="minorHAnsi" w:eastAsia="SimSun" w:hAnsiTheme="minorHAnsi" w:cstheme="minorHAnsi"/>
            <w:szCs w:val="24"/>
          </w:rPr>
          <w:t>https://pp22.itu.int/en/</w:t>
        </w:r>
      </w:hyperlink>
      <w:r w:rsidRPr="006332CA">
        <w:rPr>
          <w:rFonts w:eastAsia="SimSun"/>
        </w:rPr>
        <w:t>.</w:t>
      </w:r>
    </w:p>
    <w:p w14:paraId="4E67A5A6" w14:textId="5739F245" w:rsidR="00927F93" w:rsidRPr="000B0D00" w:rsidRDefault="007F3BF1" w:rsidP="007F3BF1">
      <w:pPr>
        <w:jc w:val="center"/>
      </w:pPr>
      <w:r>
        <w:t>______________</w:t>
      </w:r>
    </w:p>
    <w:sectPr w:rsidR="00927F93" w:rsidRPr="000B0D00" w:rsidSect="00C538FC">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5141" w14:textId="77777777" w:rsidR="001F3771" w:rsidRDefault="001F3771">
      <w:r>
        <w:separator/>
      </w:r>
    </w:p>
  </w:endnote>
  <w:endnote w:type="continuationSeparator" w:id="0">
    <w:p w14:paraId="407C88B8" w14:textId="77777777" w:rsidR="001F3771" w:rsidRDefault="001F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4DA700D" w14:textId="77777777" w:rsidTr="00E31DCE">
      <w:trPr>
        <w:jc w:val="center"/>
      </w:trPr>
      <w:tc>
        <w:tcPr>
          <w:tcW w:w="1803" w:type="dxa"/>
          <w:vAlign w:val="center"/>
        </w:tcPr>
        <w:p w14:paraId="018EC073" w14:textId="703B39CF" w:rsidR="003273A4" w:rsidRDefault="003273A4" w:rsidP="003273A4">
          <w:pPr>
            <w:pStyle w:val="Header"/>
            <w:jc w:val="left"/>
            <w:rPr>
              <w:noProof/>
            </w:rPr>
          </w:pPr>
          <w:r>
            <w:rPr>
              <w:noProof/>
            </w:rPr>
            <w:t xml:space="preserve">DPS </w:t>
          </w:r>
          <w:r w:rsidR="001F3771">
            <w:rPr>
              <w:noProof/>
            </w:rPr>
            <w:t>520354</w:t>
          </w:r>
        </w:p>
      </w:tc>
      <w:tc>
        <w:tcPr>
          <w:tcW w:w="8261" w:type="dxa"/>
        </w:tcPr>
        <w:p w14:paraId="5C79B9D1" w14:textId="5B537F74"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F3771">
            <w:rPr>
              <w:bCs/>
            </w:rPr>
            <w:t>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B0981F6" w14:textId="7A2561AE" w:rsidR="00760F1C" w:rsidRPr="00027F19" w:rsidRDefault="00027F19" w:rsidP="00027F19">
    <w:pPr>
      <w:pStyle w:val="Footer"/>
      <w:rPr>
        <w:lang w:val="fr-FR"/>
      </w:rPr>
    </w:pPr>
    <w:r w:rsidRPr="00C91EE2">
      <w:rPr>
        <w:color w:val="F2F2F2" w:themeColor="background1" w:themeShade="F2"/>
      </w:rPr>
      <w:fldChar w:fldCharType="begin"/>
    </w:r>
    <w:r w:rsidRPr="00C91EE2">
      <w:rPr>
        <w:color w:val="F2F2F2" w:themeColor="background1" w:themeShade="F2"/>
        <w:lang w:val="fr-FR"/>
      </w:rPr>
      <w:instrText xml:space="preserve"> FILENAME \p  \* MERGEFORMAT </w:instrText>
    </w:r>
    <w:r w:rsidRPr="00C91EE2">
      <w:rPr>
        <w:color w:val="F2F2F2" w:themeColor="background1" w:themeShade="F2"/>
      </w:rPr>
      <w:fldChar w:fldCharType="separate"/>
    </w:r>
    <w:r w:rsidRPr="00C91EE2">
      <w:rPr>
        <w:color w:val="F2F2F2" w:themeColor="background1" w:themeShade="F2"/>
        <w:lang w:val="fr-FR"/>
      </w:rPr>
      <w:t>P:\ESP\SG\CONSEIL\C23\000\004S.docx</w:t>
    </w:r>
    <w:r w:rsidRPr="00C91EE2">
      <w:rPr>
        <w:color w:val="F2F2F2" w:themeColor="background1" w:themeShade="F2"/>
      </w:rPr>
      <w:fldChar w:fldCharType="end"/>
    </w:r>
    <w:r w:rsidRPr="00C91EE2">
      <w:rPr>
        <w:color w:val="F2F2F2" w:themeColor="background1" w:themeShade="F2"/>
        <w:lang w:val="fr-FR"/>
      </w:rPr>
      <w:t xml:space="preserve"> (520654)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EC622BF" w14:textId="77777777" w:rsidTr="00E31DCE">
      <w:trPr>
        <w:jc w:val="center"/>
      </w:trPr>
      <w:tc>
        <w:tcPr>
          <w:tcW w:w="1803" w:type="dxa"/>
          <w:vAlign w:val="center"/>
        </w:tcPr>
        <w:p w14:paraId="1FB72938" w14:textId="77777777" w:rsidR="00F24B71" w:rsidRDefault="00C91EE2" w:rsidP="00F24B71">
          <w:pPr>
            <w:pStyle w:val="Header"/>
            <w:jc w:val="left"/>
            <w:rPr>
              <w:noProof/>
            </w:rPr>
          </w:pPr>
          <w:hyperlink r:id="rId1" w:history="1">
            <w:r w:rsidR="00F24B71" w:rsidRPr="00A514A4">
              <w:rPr>
                <w:rStyle w:val="Hyperlink"/>
                <w:szCs w:val="14"/>
              </w:rPr>
              <w:t>www.itu.int/council</w:t>
            </w:r>
          </w:hyperlink>
        </w:p>
      </w:tc>
      <w:tc>
        <w:tcPr>
          <w:tcW w:w="8261" w:type="dxa"/>
        </w:tcPr>
        <w:p w14:paraId="50B51A7E" w14:textId="5A39CCD9"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F3771">
            <w:rPr>
              <w:bCs/>
            </w:rPr>
            <w:t>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22FE476" w14:textId="63A466F6" w:rsidR="00760F1C" w:rsidRPr="00027F19" w:rsidRDefault="00027F19" w:rsidP="00F24B71">
    <w:pPr>
      <w:pStyle w:val="Footer"/>
      <w:rPr>
        <w:lang w:val="fr-FR"/>
      </w:rPr>
    </w:pPr>
    <w:r w:rsidRPr="00027F19">
      <w:fldChar w:fldCharType="begin"/>
    </w:r>
    <w:r w:rsidRPr="00027F19">
      <w:rPr>
        <w:lang w:val="fr-FR"/>
      </w:rPr>
      <w:instrText xml:space="preserve"> FILENAME \p  \* MERGEFORMAT </w:instrText>
    </w:r>
    <w:r w:rsidRPr="00027F19">
      <w:fldChar w:fldCharType="separate"/>
    </w:r>
    <w:r w:rsidRPr="00027F19">
      <w:rPr>
        <w:lang w:val="fr-FR"/>
      </w:rPr>
      <w:t>P:\ESP\SG\CONSEIL\C23\000\004S.docx</w:t>
    </w:r>
    <w:r w:rsidRPr="00027F19">
      <w:fldChar w:fldCharType="end"/>
    </w:r>
    <w:r w:rsidRPr="00027F19">
      <w:rPr>
        <w:lang w:val="fr-FR"/>
      </w:rPr>
      <w:t xml:space="preserve"> (</w:t>
    </w:r>
    <w:r>
      <w:rPr>
        <w:lang w:val="fr-FR"/>
      </w:rPr>
      <w:t>520654</w:t>
    </w:r>
    <w:r w:rsidRPr="00027F19">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B089" w14:textId="77777777" w:rsidR="001F3771" w:rsidRDefault="001F3771">
      <w:r>
        <w:t>____________________</w:t>
      </w:r>
    </w:p>
  </w:footnote>
  <w:footnote w:type="continuationSeparator" w:id="0">
    <w:p w14:paraId="1F380634" w14:textId="77777777" w:rsidR="001F3771" w:rsidRDefault="001F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099B3D6F" w14:textId="77777777" w:rsidTr="00E31DCE">
      <w:trPr>
        <w:trHeight w:val="1104"/>
        <w:jc w:val="center"/>
      </w:trPr>
      <w:tc>
        <w:tcPr>
          <w:tcW w:w="4390" w:type="dxa"/>
          <w:vAlign w:val="center"/>
        </w:tcPr>
        <w:p w14:paraId="447B7210" w14:textId="77777777" w:rsidR="001559F5" w:rsidRPr="009621F8" w:rsidRDefault="001559F5" w:rsidP="001559F5">
          <w:pPr>
            <w:pStyle w:val="Header"/>
            <w:jc w:val="left"/>
            <w:rPr>
              <w:rFonts w:ascii="Arial" w:hAnsi="Arial" w:cs="Arial"/>
              <w:b/>
              <w:bCs/>
              <w:color w:val="009CD6"/>
              <w:sz w:val="36"/>
              <w:szCs w:val="36"/>
            </w:rPr>
          </w:pPr>
          <w:bookmarkStart w:id="2" w:name="_Hlk133422111"/>
          <w:r>
            <w:rPr>
              <w:noProof/>
            </w:rPr>
            <w:drawing>
              <wp:inline distT="0" distB="0" distL="0" distR="0" wp14:anchorId="257FBA5F" wp14:editId="301D95EB">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ED3B903" w14:textId="77777777" w:rsidR="001559F5" w:rsidRDefault="001559F5" w:rsidP="001559F5">
          <w:pPr>
            <w:pStyle w:val="Header"/>
            <w:jc w:val="right"/>
            <w:rPr>
              <w:rFonts w:ascii="Arial" w:hAnsi="Arial" w:cs="Arial"/>
              <w:b/>
              <w:bCs/>
              <w:color w:val="009CD6"/>
              <w:szCs w:val="18"/>
            </w:rPr>
          </w:pPr>
        </w:p>
        <w:p w14:paraId="2B6D82D4" w14:textId="77777777" w:rsidR="001559F5" w:rsidRDefault="001559F5" w:rsidP="001559F5">
          <w:pPr>
            <w:pStyle w:val="Header"/>
            <w:jc w:val="right"/>
            <w:rPr>
              <w:rFonts w:ascii="Arial" w:hAnsi="Arial" w:cs="Arial"/>
              <w:b/>
              <w:bCs/>
              <w:color w:val="009CD6"/>
              <w:szCs w:val="18"/>
            </w:rPr>
          </w:pPr>
        </w:p>
        <w:p w14:paraId="2340D795"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239077AF"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A0D362E" wp14:editId="67E46C6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E4CD5"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B1A24"/>
    <w:multiLevelType w:val="hybridMultilevel"/>
    <w:tmpl w:val="1C50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16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71"/>
    <w:rsid w:val="000007D1"/>
    <w:rsid w:val="00027F19"/>
    <w:rsid w:val="00093EEB"/>
    <w:rsid w:val="000B0D00"/>
    <w:rsid w:val="000B7C15"/>
    <w:rsid w:val="000D1D0F"/>
    <w:rsid w:val="000F5290"/>
    <w:rsid w:val="0010165C"/>
    <w:rsid w:val="00146BFB"/>
    <w:rsid w:val="001559F5"/>
    <w:rsid w:val="001F14A2"/>
    <w:rsid w:val="001F3771"/>
    <w:rsid w:val="002801AA"/>
    <w:rsid w:val="002C4676"/>
    <w:rsid w:val="002C70B0"/>
    <w:rsid w:val="002F3CC4"/>
    <w:rsid w:val="003273A4"/>
    <w:rsid w:val="00432748"/>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7F3BF1"/>
    <w:rsid w:val="00820BE4"/>
    <w:rsid w:val="008451E8"/>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91EE2"/>
    <w:rsid w:val="00CF1A67"/>
    <w:rsid w:val="00D2750E"/>
    <w:rsid w:val="00D50A36"/>
    <w:rsid w:val="00D62446"/>
    <w:rsid w:val="00DA4EA2"/>
    <w:rsid w:val="00DC3D3E"/>
    <w:rsid w:val="00DE2C90"/>
    <w:rsid w:val="00DE3B24"/>
    <w:rsid w:val="00E06947"/>
    <w:rsid w:val="00E34072"/>
    <w:rsid w:val="00E3592D"/>
    <w:rsid w:val="00E641FF"/>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AE146"/>
  <w15:docId w15:val="{59966078-567D-4D5A-8CBA-D15F5B14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101/en" TargetMode="External"/><Relationship Id="rId18" Type="http://schemas.openxmlformats.org/officeDocument/2006/relationships/hyperlink" Target="https://www.itu.int/md/S22-CL-C-0004/en" TargetMode="External"/><Relationship Id="rId26" Type="http://schemas.openxmlformats.org/officeDocument/2006/relationships/hyperlink" Target="https://pp22.itu.int/en/about/greening-the-pp/" TargetMode="External"/><Relationship Id="rId3" Type="http://schemas.openxmlformats.org/officeDocument/2006/relationships/settings" Target="settings.xml"/><Relationship Id="rId21" Type="http://schemas.openxmlformats.org/officeDocument/2006/relationships/hyperlink" Target="https://pp22.itu.int/en/elections/elections-results/" TargetMode="External"/><Relationship Id="rId34" Type="http://schemas.openxmlformats.org/officeDocument/2006/relationships/theme" Target="theme/theme1.xml"/><Relationship Id="rId7" Type="http://schemas.openxmlformats.org/officeDocument/2006/relationships/hyperlink" Target="https://www.itu.int/md/S19-SG-CIR-0033/en" TargetMode="External"/><Relationship Id="rId12" Type="http://schemas.openxmlformats.org/officeDocument/2006/relationships/hyperlink" Target="https://www.itu.int/md/S19-CL-C-0067/en" TargetMode="External"/><Relationship Id="rId17" Type="http://schemas.openxmlformats.org/officeDocument/2006/relationships/hyperlink" Target="https://www.itu.int/md/S21-CL-C-0004/en" TargetMode="External"/><Relationship Id="rId25" Type="http://schemas.openxmlformats.org/officeDocument/2006/relationships/hyperlink" Target="https://www.itu.int/md/S23-CL-INF-0001/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20-CL-C-0004/en" TargetMode="External"/><Relationship Id="rId20" Type="http://schemas.openxmlformats.org/officeDocument/2006/relationships/hyperlink" Target="https://www.itu.int/md/S22-PP-C-0103/en" TargetMode="External"/><Relationship Id="rId29" Type="http://schemas.openxmlformats.org/officeDocument/2006/relationships/hyperlink" Target="https://pp22.itu.int/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CL-C-0004/en" TargetMode="External"/><Relationship Id="rId24" Type="http://schemas.openxmlformats.org/officeDocument/2006/relationships/hyperlink" Target="https://www.itu.int/pub/S-CONF-ACTF-2022"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21-CL-C-0013/en" TargetMode="External"/><Relationship Id="rId23" Type="http://schemas.openxmlformats.org/officeDocument/2006/relationships/hyperlink" Target="https://pp22.itu.int/en/policy-statements/policy-statements-and-plenary-speeches/" TargetMode="External"/><Relationship Id="rId28" Type="http://schemas.openxmlformats.org/officeDocument/2006/relationships/hyperlink" Target="https://pp22.itu.int/en/" TargetMode="External"/><Relationship Id="rId10" Type="http://schemas.openxmlformats.org/officeDocument/2006/relationships/hyperlink" Target="https://www.itu.int/md/S23-CL-INF-0001/en" TargetMode="External"/><Relationship Id="rId19" Type="http://schemas.openxmlformats.org/officeDocument/2006/relationships/hyperlink" Target="https://www.itu.int/md/S22-PP-C-0210/e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council/Documents/basic-texts-2023/RES-077-s.pdf" TargetMode="External"/><Relationship Id="rId14" Type="http://schemas.openxmlformats.org/officeDocument/2006/relationships/hyperlink" Target="https://www.itu.int/md/S20-CL-C-0013/en" TargetMode="External"/><Relationship Id="rId22" Type="http://schemas.openxmlformats.org/officeDocument/2006/relationships/hyperlink" Target="https://plenipotprod.wpengine.com/wp-content/uploads/2021/09/PP-Ethical-guidelines.pdf" TargetMode="External"/><Relationship Id="rId27" Type="http://schemas.openxmlformats.org/officeDocument/2006/relationships/hyperlink" Target="https://s42372.pcdn.co/wp-content/uploads/2022/05/Gender-Responsive-PP-22.pdf" TargetMode="External"/><Relationship Id="rId30" Type="http://schemas.openxmlformats.org/officeDocument/2006/relationships/footer" Target="footer1.xml"/><Relationship Id="rId8" Type="http://schemas.openxmlformats.org/officeDocument/2006/relationships/hyperlink" Target="http://www.itu.int/md/S19-SG-CIR-004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TotalTime>
  <Pages>5</Pages>
  <Words>2026</Words>
  <Characters>12650</Characters>
  <Application>Microsoft Office Word</Application>
  <DocSecurity>4</DocSecurity>
  <Lines>105</Lines>
  <Paragraphs>29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14647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21ª Conferencia de Plenipotenciarios (PP-22)</dc:title>
  <dc:subject>Consejo 2023</dc:subject>
  <dc:creator>Spanish</dc:creator>
  <cp:keywords>C2023, C23, Council-23</cp:keywords>
  <dc:description/>
  <cp:lastModifiedBy>Xue, Kun</cp:lastModifiedBy>
  <cp:revision>2</cp:revision>
  <cp:lastPrinted>2006-03-24T09:51:00Z</cp:lastPrinted>
  <dcterms:created xsi:type="dcterms:W3CDTF">2023-06-15T07:13:00Z</dcterms:created>
  <dcterms:modified xsi:type="dcterms:W3CDTF">2023-06-15T07:13:00Z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