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E1558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5DC75380" w:rsidR="00D72F49" w:rsidRPr="00E1558E" w:rsidRDefault="00D72F49" w:rsidP="003B73A1">
            <w:pPr>
              <w:tabs>
                <w:tab w:val="left" w:pos="851"/>
              </w:tabs>
              <w:spacing w:before="0"/>
              <w:rPr>
                <w:b/>
              </w:rPr>
            </w:pPr>
            <w:r w:rsidRPr="00E1558E">
              <w:rPr>
                <w:b/>
              </w:rPr>
              <w:t>Point de l</w:t>
            </w:r>
            <w:r w:rsidR="00803917" w:rsidRPr="00E1558E">
              <w:rPr>
                <w:b/>
              </w:rPr>
              <w:t>'</w:t>
            </w:r>
            <w:r w:rsidRPr="00E1558E">
              <w:rPr>
                <w:b/>
              </w:rPr>
              <w:t xml:space="preserve">ordre du jour: </w:t>
            </w:r>
            <w:r w:rsidR="00DE2ED4" w:rsidRPr="00E1558E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27002D7E" w:rsidR="00D72F49" w:rsidRPr="00E1558E" w:rsidRDefault="00D72F49" w:rsidP="003B73A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558E">
              <w:rPr>
                <w:b/>
              </w:rPr>
              <w:t>Document C23/</w:t>
            </w:r>
            <w:r w:rsidR="00DE2ED4" w:rsidRPr="00E1558E">
              <w:rPr>
                <w:b/>
              </w:rPr>
              <w:t>4</w:t>
            </w:r>
            <w:r w:rsidRPr="00E1558E">
              <w:rPr>
                <w:b/>
              </w:rPr>
              <w:t>-F</w:t>
            </w:r>
          </w:p>
        </w:tc>
      </w:tr>
      <w:tr w:rsidR="00D72F49" w:rsidRPr="00E1558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E1558E" w:rsidRDefault="00D72F49" w:rsidP="003B73A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5DD63029" w:rsidR="00D72F49" w:rsidRPr="00E1558E" w:rsidRDefault="00DE2ED4" w:rsidP="003B73A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558E">
              <w:rPr>
                <w:b/>
              </w:rPr>
              <w:t>23 mai</w:t>
            </w:r>
            <w:r w:rsidR="00D72F49" w:rsidRPr="00E1558E">
              <w:rPr>
                <w:b/>
              </w:rPr>
              <w:t xml:space="preserve"> 2023</w:t>
            </w:r>
          </w:p>
        </w:tc>
      </w:tr>
      <w:tr w:rsidR="00D72F49" w:rsidRPr="00E1558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E1558E" w:rsidRDefault="00D72F49" w:rsidP="003B73A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1558E" w:rsidRDefault="00D72F49" w:rsidP="003B73A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558E">
              <w:rPr>
                <w:b/>
              </w:rPr>
              <w:t>Original: anglais</w:t>
            </w:r>
          </w:p>
        </w:tc>
      </w:tr>
      <w:tr w:rsidR="00D72F49" w:rsidRPr="00E1558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E1558E" w:rsidRDefault="00D72F49" w:rsidP="003B73A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E1558E" w:rsidRDefault="00D72F49" w:rsidP="003B73A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E1558E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7B871059" w:rsidR="00D72F49" w:rsidRPr="00E1558E" w:rsidRDefault="00D72F49" w:rsidP="003B73A1">
            <w:pPr>
              <w:pStyle w:val="Source"/>
              <w:jc w:val="left"/>
              <w:rPr>
                <w:sz w:val="34"/>
                <w:szCs w:val="34"/>
              </w:rPr>
            </w:pPr>
            <w:r w:rsidRPr="00E1558E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E1558E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E1558E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E1558E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E1558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24BBF7D" w:rsidR="00D72F49" w:rsidRPr="00E1558E" w:rsidRDefault="003F3810" w:rsidP="003B73A1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137632760"/>
            <w:r w:rsidRPr="00E1558E">
              <w:rPr>
                <w:rFonts w:cstheme="minorHAnsi"/>
                <w:lang w:val="fr-FR"/>
              </w:rPr>
              <w:t>RAPPORT SUR LA VINGT-ET-UNIÈME CONFÉRENCE DE PLÉNIPOTENTIAIRES (PP-22)</w:t>
            </w:r>
            <w:bookmarkEnd w:id="0"/>
          </w:p>
        </w:tc>
      </w:tr>
      <w:tr w:rsidR="00D72F49" w:rsidRPr="00E1558E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EFDD0FD" w:rsidR="00D72F49" w:rsidRPr="00E1558E" w:rsidRDefault="00F37FE5" w:rsidP="003B73A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558E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03628D37" w:rsidR="00D72F49" w:rsidRPr="00E1558E" w:rsidRDefault="00BF6380" w:rsidP="003B73A1">
            <w:r w:rsidRPr="00E1558E">
              <w:t>Conformément à la Résolution 77 (Rév. Dubaï, 2018) de la Conférence de plénipotentiaires et à la Décision 610 (C19) du Conseil de l</w:t>
            </w:r>
            <w:r w:rsidR="00803917" w:rsidRPr="00E1558E">
              <w:t>'</w:t>
            </w:r>
            <w:r w:rsidRPr="00E1558E">
              <w:t>UIT, et après consultation des États Membres (</w:t>
            </w:r>
            <w:hyperlink r:id="rId7" w:history="1">
              <w:r w:rsidRPr="00E1558E">
                <w:rPr>
                  <w:rStyle w:val="Hyperlink"/>
                </w:rPr>
                <w:t>CL</w:t>
              </w:r>
              <w:r w:rsidR="003B73A1" w:rsidRPr="00E1558E">
                <w:rPr>
                  <w:rStyle w:val="Hyperlink"/>
                </w:rPr>
                <w:noBreakHyphen/>
              </w:r>
              <w:r w:rsidRPr="00E1558E">
                <w:rPr>
                  <w:rStyle w:val="Hyperlink"/>
                </w:rPr>
                <w:t>19/33</w:t>
              </w:r>
            </w:hyperlink>
            <w:r w:rsidRPr="00E1558E">
              <w:rPr>
                <w:u w:val="single"/>
              </w:rPr>
              <w:t xml:space="preserve"> </w:t>
            </w:r>
            <w:r w:rsidRPr="00E1558E">
              <w:t xml:space="preserve">et </w:t>
            </w:r>
            <w:hyperlink r:id="rId8" w:history="1">
              <w:r w:rsidRPr="00E1558E">
                <w:rPr>
                  <w:rStyle w:val="Hyperlink"/>
                </w:rPr>
                <w:t>CL-19/45</w:t>
              </w:r>
            </w:hyperlink>
            <w:r w:rsidRPr="00E1558E">
              <w:t>), la vingt et unième Conférence de plénipotentiaires s</w:t>
            </w:r>
            <w:r w:rsidR="00803917" w:rsidRPr="00E1558E">
              <w:t>'</w:t>
            </w:r>
            <w:r w:rsidRPr="00E1558E">
              <w:t xml:space="preserve">est tenue à Bucarest (Roumanie), du 26 septembre au 14 octobre 2022. Le présent document rend compte des travaux préparatoires, </w:t>
            </w:r>
            <w:r w:rsidR="00A41643" w:rsidRPr="00E1558E">
              <w:t>de l</w:t>
            </w:r>
            <w:r w:rsidR="00803917" w:rsidRPr="00E1558E">
              <w:t>'</w:t>
            </w:r>
            <w:r w:rsidR="00A41643" w:rsidRPr="00E1558E">
              <w:t xml:space="preserve">organisation </w:t>
            </w:r>
            <w:r w:rsidRPr="00E1558E">
              <w:t>et des résultats de la Conférence.</w:t>
            </w:r>
          </w:p>
          <w:p w14:paraId="0B950982" w14:textId="77777777" w:rsidR="00D72F49" w:rsidRPr="00E1558E" w:rsidRDefault="00D72F49" w:rsidP="003B73A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558E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3F744E6" w:rsidR="00D72F49" w:rsidRPr="00E1558E" w:rsidRDefault="003F3810" w:rsidP="003B73A1">
            <w:r w:rsidRPr="00E1558E">
              <w:t>L</w:t>
            </w:r>
            <w:r w:rsidR="00BF6380" w:rsidRPr="00E1558E">
              <w:t xml:space="preserve">e Conseil est invité à </w:t>
            </w:r>
            <w:r w:rsidR="00BF6380" w:rsidRPr="00E1558E">
              <w:rPr>
                <w:b/>
              </w:rPr>
              <w:t>prendre note</w:t>
            </w:r>
            <w:r w:rsidR="00BF6380" w:rsidRPr="00E1558E">
              <w:t xml:space="preserve"> du présent rapport et de l</w:t>
            </w:r>
            <w:r w:rsidR="00803917" w:rsidRPr="00E1558E">
              <w:t>'</w:t>
            </w:r>
            <w:r w:rsidR="00BF6380" w:rsidRPr="00E1558E">
              <w:t xml:space="preserve">instruction qui lui a été donnée par la Conférence de plénipotentiaires (Bucarest, 2022) </w:t>
            </w:r>
            <w:r w:rsidRPr="00E1558E">
              <w:t>d</w:t>
            </w:r>
            <w:r w:rsidR="00803917" w:rsidRPr="00E1558E">
              <w:t>'</w:t>
            </w:r>
            <w:r w:rsidRPr="00E1558E">
              <w:t>examiner la question de la conduite des campagnes électorales et procédures d</w:t>
            </w:r>
            <w:r w:rsidR="00803917" w:rsidRPr="00E1558E">
              <w:t>'</w:t>
            </w:r>
            <w:r w:rsidRPr="00E1558E">
              <w:t>élection du Secrétaire général, du Vice</w:t>
            </w:r>
            <w:r w:rsidRPr="00E1558E">
              <w:noBreakHyphen/>
              <w:t>Secrétaire général, des Directeurs des Bureaux des Secteurs et des membres du Comité du Règlement des radiocommunications</w:t>
            </w:r>
            <w:r w:rsidR="00BF6380" w:rsidRPr="00E1558E">
              <w:t xml:space="preserve"> </w:t>
            </w:r>
            <w:r w:rsidRPr="00E1558E">
              <w:t>d</w:t>
            </w:r>
            <w:r w:rsidR="00803917" w:rsidRPr="00E1558E">
              <w:t>'</w:t>
            </w:r>
            <w:r w:rsidRPr="00E1558E">
              <w:t xml:space="preserve">ici à la fin de </w:t>
            </w:r>
            <w:r w:rsidR="007D5981" w:rsidRPr="00E1558E">
              <w:t>sa</w:t>
            </w:r>
            <w:r w:rsidRPr="00E1558E">
              <w:t xml:space="preserve"> session de 2024.</w:t>
            </w:r>
          </w:p>
          <w:p w14:paraId="121C402A" w14:textId="4FDE1FF1" w:rsidR="00D72F49" w:rsidRPr="00E1558E" w:rsidRDefault="00D72F49" w:rsidP="003B73A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558E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E1558E">
              <w:rPr>
                <w:b/>
                <w:bCs/>
                <w:sz w:val="26"/>
                <w:szCs w:val="26"/>
              </w:rPr>
              <w:t>p</w:t>
            </w:r>
            <w:r w:rsidRPr="00E1558E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10CB603D" w:rsidR="00D72F49" w:rsidRPr="00E1558E" w:rsidRDefault="007D5981" w:rsidP="003B73A1">
            <w:r w:rsidRPr="00E1558E">
              <w:t>Plates-formes fédératrices, partenariats et coopération internationale</w:t>
            </w:r>
            <w:r w:rsidR="003F3810" w:rsidRPr="00E1558E">
              <w:t>.</w:t>
            </w:r>
          </w:p>
          <w:p w14:paraId="11FAADC9" w14:textId="49631180" w:rsidR="00E95647" w:rsidRPr="00E1558E" w:rsidRDefault="00D72F49" w:rsidP="003B73A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558E">
              <w:rPr>
                <w:b/>
                <w:bCs/>
                <w:sz w:val="26"/>
                <w:szCs w:val="26"/>
              </w:rPr>
              <w:t>Incidences financières:</w:t>
            </w:r>
          </w:p>
          <w:p w14:paraId="1476D7E3" w14:textId="2419161F" w:rsidR="00D72F49" w:rsidRPr="00E1558E" w:rsidRDefault="003F3810" w:rsidP="003B73A1">
            <w:pPr>
              <w:spacing w:before="160"/>
            </w:pPr>
            <w:r w:rsidRPr="00E1558E">
              <w:t>A</w:t>
            </w:r>
            <w:r w:rsidR="00D72F49" w:rsidRPr="00E1558E">
              <w:t>ucune</w:t>
            </w:r>
            <w:r w:rsidRPr="00E1558E">
              <w:t>.</w:t>
            </w:r>
          </w:p>
          <w:p w14:paraId="2E44E753" w14:textId="77777777" w:rsidR="00D72F49" w:rsidRPr="00E1558E" w:rsidRDefault="00D72F49" w:rsidP="003B73A1">
            <w:pPr>
              <w:spacing w:before="160"/>
              <w:rPr>
                <w:caps/>
                <w:sz w:val="22"/>
              </w:rPr>
            </w:pPr>
            <w:r w:rsidRPr="00E1558E">
              <w:rPr>
                <w:sz w:val="22"/>
              </w:rPr>
              <w:t>__________________</w:t>
            </w:r>
          </w:p>
          <w:p w14:paraId="246B160C" w14:textId="77777777" w:rsidR="00D72F49" w:rsidRPr="00E1558E" w:rsidRDefault="00D72F49" w:rsidP="003B73A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558E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4A3A2AD" w:rsidR="00D72F49" w:rsidRPr="00E1558E" w:rsidRDefault="0023660F" w:rsidP="003B73A1">
            <w:pPr>
              <w:spacing w:after="160"/>
            </w:pPr>
            <w:hyperlink r:id="rId9" w:history="1">
              <w:r w:rsidR="003F3810" w:rsidRPr="00E1558E">
                <w:rPr>
                  <w:rStyle w:val="Hyperlink"/>
                  <w:i/>
                  <w:iCs/>
                </w:rPr>
                <w:t>Résolution 77</w:t>
              </w:r>
            </w:hyperlink>
            <w:r w:rsidR="003F3810" w:rsidRPr="00E1558E">
              <w:rPr>
                <w:i/>
                <w:iCs/>
              </w:rPr>
              <w:t xml:space="preserve"> (Rév. Bucarest, 2022) de la Conférence de plénipotentiaires; Document</w:t>
            </w:r>
            <w:r w:rsidR="00F91AE4" w:rsidRPr="00E1558E">
              <w:rPr>
                <w:i/>
                <w:iCs/>
              </w:rPr>
              <w:t> </w:t>
            </w:r>
            <w:hyperlink r:id="rId10" w:history="1">
              <w:r w:rsidR="003F3810" w:rsidRPr="00E1558E">
                <w:rPr>
                  <w:rStyle w:val="Hyperlink"/>
                  <w:i/>
                  <w:iCs/>
                </w:rPr>
                <w:t>C23/INF/1</w:t>
              </w:r>
            </w:hyperlink>
            <w:r w:rsidR="007D5981" w:rsidRPr="00E1558E">
              <w:rPr>
                <w:i/>
                <w:iCs/>
              </w:rPr>
              <w:t xml:space="preserve"> du Conseil.</w:t>
            </w:r>
          </w:p>
        </w:tc>
      </w:tr>
    </w:tbl>
    <w:p w14:paraId="3B7150AC" w14:textId="77777777" w:rsidR="00A51849" w:rsidRPr="00E1558E" w:rsidRDefault="00A51849" w:rsidP="003B73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1558E">
        <w:br w:type="page"/>
      </w:r>
    </w:p>
    <w:p w14:paraId="635043F4" w14:textId="109125B7" w:rsidR="003F3810" w:rsidRPr="00E1558E" w:rsidRDefault="003F3810" w:rsidP="003B73A1">
      <w:r w:rsidRPr="00E1558E">
        <w:lastRenderedPageBreak/>
        <w:t>1</w:t>
      </w:r>
      <w:r w:rsidRPr="00E1558E">
        <w:tab/>
      </w:r>
      <w:r w:rsidR="007D5981" w:rsidRPr="00E1558E">
        <w:rPr>
          <w:caps/>
        </w:rPr>
        <w:t>à</w:t>
      </w:r>
      <w:r w:rsidR="007D5981" w:rsidRPr="00E1558E">
        <w:t xml:space="preserve"> l</w:t>
      </w:r>
      <w:r w:rsidR="00803917" w:rsidRPr="00E1558E">
        <w:t>'</w:t>
      </w:r>
      <w:r w:rsidR="007D5981" w:rsidRPr="00E1558E">
        <w:t>invitation du Gouvernement de la Roumanie, la vingt et unième Conférence de plénipotentiaires s</w:t>
      </w:r>
      <w:r w:rsidR="00803917" w:rsidRPr="00E1558E">
        <w:t>'</w:t>
      </w:r>
      <w:r w:rsidR="007D5981" w:rsidRPr="00E1558E">
        <w:t>est tenue à Bucarest</w:t>
      </w:r>
      <w:r w:rsidR="00F64570" w:rsidRPr="00E1558E">
        <w:t>,</w:t>
      </w:r>
      <w:r w:rsidR="007D5981" w:rsidRPr="00E1558E">
        <w:t xml:space="preserve"> au Palais du Parlement</w:t>
      </w:r>
      <w:r w:rsidR="00F64570" w:rsidRPr="00E1558E">
        <w:t>,</w:t>
      </w:r>
      <w:r w:rsidR="007D5981" w:rsidRPr="00E1558E">
        <w:t xml:space="preserve"> du 26 septembre au</w:t>
      </w:r>
      <w:r w:rsidR="003B73A1" w:rsidRPr="00E1558E">
        <w:t> </w:t>
      </w:r>
      <w:r w:rsidR="007D5981" w:rsidRPr="00E1558E">
        <w:t>14</w:t>
      </w:r>
      <w:r w:rsidR="003B73A1" w:rsidRPr="00E1558E">
        <w:t> </w:t>
      </w:r>
      <w:r w:rsidR="007D5981" w:rsidRPr="00E1558E">
        <w:t>octobre 2022.</w:t>
      </w:r>
    </w:p>
    <w:p w14:paraId="194BCB13" w14:textId="0ED81D0D" w:rsidR="003F3810" w:rsidRPr="00E1558E" w:rsidRDefault="003F3810" w:rsidP="003B73A1">
      <w:r w:rsidRPr="00E1558E">
        <w:t>2</w:t>
      </w:r>
      <w:r w:rsidRPr="00E1558E">
        <w:tab/>
      </w:r>
      <w:r w:rsidR="007D5981" w:rsidRPr="00E1558E">
        <w:t>Après la Conférence de plénipotentiaires de 2018 (PP-18), un rapport a été présenté à la session de 2019 du Conseil de l</w:t>
      </w:r>
      <w:r w:rsidR="00803917" w:rsidRPr="00E1558E">
        <w:t>'</w:t>
      </w:r>
      <w:r w:rsidR="007D5981" w:rsidRPr="00E1558E">
        <w:t>UIT (</w:t>
      </w:r>
      <w:hyperlink r:id="rId11" w:history="1">
        <w:r w:rsidR="007D5981" w:rsidRPr="00E1558E">
          <w:rPr>
            <w:rStyle w:val="Hyperlink"/>
          </w:rPr>
          <w:t>C19/4</w:t>
        </w:r>
      </w:hyperlink>
      <w:r w:rsidR="007D5981" w:rsidRPr="00E1558E">
        <w:t xml:space="preserve">) et les États membres ont aussi présenté des contributions, reproduites dans les </w:t>
      </w:r>
      <w:r w:rsidR="00F91AE4" w:rsidRPr="00E1558E">
        <w:t>D</w:t>
      </w:r>
      <w:r w:rsidR="007D5981" w:rsidRPr="00E1558E">
        <w:t xml:space="preserve">ocuments </w:t>
      </w:r>
      <w:hyperlink r:id="rId12" w:history="1">
        <w:r w:rsidR="00A41643" w:rsidRPr="00E1558E">
          <w:rPr>
            <w:rStyle w:val="Hyperlink"/>
          </w:rPr>
          <w:t>C19/67</w:t>
        </w:r>
      </w:hyperlink>
      <w:r w:rsidR="00A41643" w:rsidRPr="00E1558E">
        <w:t xml:space="preserve"> et </w:t>
      </w:r>
      <w:hyperlink r:id="rId13" w:history="1">
        <w:r w:rsidR="00A41643" w:rsidRPr="00E1558E">
          <w:rPr>
            <w:rStyle w:val="Hyperlink"/>
          </w:rPr>
          <w:t>C19/101</w:t>
        </w:r>
      </w:hyperlink>
      <w:r w:rsidR="007D5981" w:rsidRPr="00E1558E">
        <w:t xml:space="preserve">, sur les améliorations à apporter </w:t>
      </w:r>
      <w:r w:rsidR="00A41643" w:rsidRPr="00E1558E">
        <w:t>à l</w:t>
      </w:r>
      <w:r w:rsidR="00803917" w:rsidRPr="00E1558E">
        <w:t>'</w:t>
      </w:r>
      <w:r w:rsidR="00A41643" w:rsidRPr="00E1558E">
        <w:t xml:space="preserve">organisation </w:t>
      </w:r>
      <w:r w:rsidR="007D5981" w:rsidRPr="00E1558E">
        <w:t>et aux procédures des confé</w:t>
      </w:r>
      <w:r w:rsidR="00A41643" w:rsidRPr="00E1558E">
        <w:t>rences. À la demande des États</w:t>
      </w:r>
      <w:r w:rsidR="00F91AE4" w:rsidRPr="00E1558E">
        <w:t> </w:t>
      </w:r>
      <w:r w:rsidR="00A41643" w:rsidRPr="00E1558E">
        <w:t>M</w:t>
      </w:r>
      <w:r w:rsidR="007D5981" w:rsidRPr="00E1558E">
        <w:t xml:space="preserve">embres, un rapport sur les améliorations possibles </w:t>
      </w:r>
      <w:r w:rsidR="00A41643" w:rsidRPr="00E1558E">
        <w:t>de l</w:t>
      </w:r>
      <w:r w:rsidR="00803917" w:rsidRPr="00E1558E">
        <w:t>'</w:t>
      </w:r>
      <w:r w:rsidR="00A41643" w:rsidRPr="00E1558E">
        <w:t xml:space="preserve">organisation </w:t>
      </w:r>
      <w:r w:rsidR="007D5981" w:rsidRPr="00E1558E">
        <w:t xml:space="preserve">des conférences de plénipotentiaires a été établi </w:t>
      </w:r>
      <w:r w:rsidR="00A41643" w:rsidRPr="00E1558E">
        <w:t xml:space="preserve">en vue de la </w:t>
      </w:r>
      <w:r w:rsidR="007D5981" w:rsidRPr="00E1558E">
        <w:t xml:space="preserve">session de 2020 du Conseil </w:t>
      </w:r>
      <w:r w:rsidR="00A41643" w:rsidRPr="00E1558E">
        <w:t>(</w:t>
      </w:r>
      <w:hyperlink r:id="rId14" w:history="1">
        <w:r w:rsidR="00A41643" w:rsidRPr="00E1558E">
          <w:rPr>
            <w:rStyle w:val="Hyperlink"/>
          </w:rPr>
          <w:t>C20/13</w:t>
        </w:r>
      </w:hyperlink>
      <w:r w:rsidR="00A41643" w:rsidRPr="00E1558E">
        <w:t>)</w:t>
      </w:r>
      <w:r w:rsidR="009118A4" w:rsidRPr="00E1558E">
        <w:t>,</w:t>
      </w:r>
      <w:r w:rsidR="00A41643" w:rsidRPr="00E1558E">
        <w:t xml:space="preserve"> </w:t>
      </w:r>
      <w:r w:rsidR="009118A4" w:rsidRPr="00E1558E">
        <w:t>mais</w:t>
      </w:r>
      <w:r w:rsidR="007D5981" w:rsidRPr="00E1558E">
        <w:t xml:space="preserve"> en raison de la pandémie de coronavirus (COVID-19), </w:t>
      </w:r>
      <w:r w:rsidR="000A1155" w:rsidRPr="00E1558E">
        <w:t>a seulement été</w:t>
      </w:r>
      <w:r w:rsidR="007D5981" w:rsidRPr="00E1558E">
        <w:t xml:space="preserve"> soumis et examiné </w:t>
      </w:r>
      <w:r w:rsidR="009118A4" w:rsidRPr="00E1558E">
        <w:t xml:space="preserve">à </w:t>
      </w:r>
      <w:r w:rsidR="007D5981" w:rsidRPr="00E1558E">
        <w:t xml:space="preserve">la consultation virtuelle des </w:t>
      </w:r>
      <w:r w:rsidR="009118A4" w:rsidRPr="00E1558E">
        <w:t>C</w:t>
      </w:r>
      <w:r w:rsidR="007D5981" w:rsidRPr="00E1558E">
        <w:t>onseillers de 2021 (VCC-21)</w:t>
      </w:r>
      <w:r w:rsidR="009118A4" w:rsidRPr="00E1558E">
        <w:t>,</w:t>
      </w:r>
      <w:r w:rsidR="007D5981" w:rsidRPr="00E1558E">
        <w:t xml:space="preserve"> en tant que </w:t>
      </w:r>
      <w:r w:rsidR="009118A4" w:rsidRPr="00E1558E">
        <w:t>D</w:t>
      </w:r>
      <w:r w:rsidR="007D5981" w:rsidRPr="00E1558E">
        <w:t xml:space="preserve">ocument </w:t>
      </w:r>
      <w:hyperlink r:id="rId15" w:history="1">
        <w:r w:rsidR="009118A4" w:rsidRPr="00E1558E">
          <w:rPr>
            <w:rStyle w:val="Hyperlink"/>
          </w:rPr>
          <w:t>C21/13</w:t>
        </w:r>
      </w:hyperlink>
      <w:r w:rsidR="007D5981" w:rsidRPr="00E1558E">
        <w:t>.</w:t>
      </w:r>
      <w:r w:rsidR="009118A4" w:rsidRPr="00E1558E">
        <w:t xml:space="preserve"> À</w:t>
      </w:r>
      <w:r w:rsidR="003B73A1" w:rsidRPr="00E1558E">
        <w:t> </w:t>
      </w:r>
      <w:r w:rsidR="009118A4" w:rsidRPr="00E1558E">
        <w:t>la</w:t>
      </w:r>
      <w:r w:rsidR="00E8788C" w:rsidRPr="00E1558E">
        <w:t> </w:t>
      </w:r>
      <w:r w:rsidR="009118A4" w:rsidRPr="00E1558E">
        <w:t>suite de ce débat, le Conseil a décidé d</w:t>
      </w:r>
      <w:r w:rsidR="00803917" w:rsidRPr="00E1558E">
        <w:t>'</w:t>
      </w:r>
      <w:r w:rsidR="009118A4" w:rsidRPr="00E1558E">
        <w:t>a</w:t>
      </w:r>
      <w:r w:rsidR="00D33670" w:rsidRPr="00E1558E">
        <w:t>pprouver les propositions formulées par le secrétariat, dans les limites du budget existant, en ce qui concerne:</w:t>
      </w:r>
    </w:p>
    <w:p w14:paraId="6ADC18C6" w14:textId="5E1C631A" w:rsidR="00D33670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D33670" w:rsidRPr="00E1558E">
        <w:t>le renforcement du processus préparatoire interrégional;</w:t>
      </w:r>
    </w:p>
    <w:p w14:paraId="18AF536D" w14:textId="4D013B3B" w:rsidR="00D33670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D33670" w:rsidRPr="00E1558E">
        <w:t xml:space="preserve">la </w:t>
      </w:r>
      <w:r w:rsidR="000A1155" w:rsidRPr="00E1558E">
        <w:t xml:space="preserve">tâche consistant à rationaliser les </w:t>
      </w:r>
      <w:r w:rsidR="00D33670" w:rsidRPr="00E1558E">
        <w:t>Résolutions et Décisions dans le cadre des travaux préparatoires menés par le secrétariat en vue des réunions in</w:t>
      </w:r>
      <w:r w:rsidR="000A1155" w:rsidRPr="00E1558E">
        <w:t>terrégionales, sans établir un g</w:t>
      </w:r>
      <w:r w:rsidR="00D33670" w:rsidRPr="00E1558E">
        <w:t>roupe de travail du Conseil distinct;</w:t>
      </w:r>
    </w:p>
    <w:p w14:paraId="19203ADE" w14:textId="0212D0E3" w:rsidR="00D33670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D33670" w:rsidRPr="00E1558E">
        <w:t xml:space="preserve">la préparation </w:t>
      </w:r>
      <w:r w:rsidR="000A1155" w:rsidRPr="00E1558E">
        <w:t xml:space="preserve">plus efficace </w:t>
      </w:r>
      <w:r w:rsidR="00D33670" w:rsidRPr="00E1558E">
        <w:t>des délégués</w:t>
      </w:r>
      <w:r w:rsidR="000A1155" w:rsidRPr="00E1558E">
        <w:t>, y compris par la formation</w:t>
      </w:r>
      <w:r w:rsidR="00D33670" w:rsidRPr="00E1558E">
        <w:t>;</w:t>
      </w:r>
    </w:p>
    <w:p w14:paraId="047F07F5" w14:textId="7D0D8752" w:rsidR="00D33670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D33670" w:rsidRPr="00E1558E">
        <w:t>le fait de rendre la Conférence écoresponsable;</w:t>
      </w:r>
      <w:r w:rsidR="000A1155" w:rsidRPr="00E1558E">
        <w:t xml:space="preserve"> et </w:t>
      </w:r>
    </w:p>
    <w:p w14:paraId="05309BCC" w14:textId="38A75427" w:rsidR="00897553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D33670" w:rsidRPr="00E1558E">
        <w:t>l</w:t>
      </w:r>
      <w:r w:rsidR="00803917" w:rsidRPr="00E1558E">
        <w:t>'</w:t>
      </w:r>
      <w:r w:rsidR="00D33670" w:rsidRPr="00E1558E">
        <w:t>org</w:t>
      </w:r>
      <w:r w:rsidR="000A1155" w:rsidRPr="00E1558E">
        <w:t>anisation d</w:t>
      </w:r>
      <w:r w:rsidR="00803917" w:rsidRPr="00E1558E">
        <w:t>'</w:t>
      </w:r>
      <w:r w:rsidR="00D33670" w:rsidRPr="00E1558E">
        <w:t xml:space="preserve">une PP qui intègre pleinement </w:t>
      </w:r>
      <w:r w:rsidR="000A1155" w:rsidRPr="00E1558E">
        <w:t>le principe de l</w:t>
      </w:r>
      <w:r w:rsidR="00803917" w:rsidRPr="00E1558E">
        <w:t>'</w:t>
      </w:r>
      <w:r w:rsidR="000A1155" w:rsidRPr="00E1558E">
        <w:t>égalité hommes-</w:t>
      </w:r>
      <w:r w:rsidR="00D33670" w:rsidRPr="00E1558E">
        <w:t>femmes et qui soit inclusive.</w:t>
      </w:r>
    </w:p>
    <w:p w14:paraId="26E6037F" w14:textId="5318E3A2" w:rsidR="00D33670" w:rsidRPr="00E1558E" w:rsidRDefault="000A1155" w:rsidP="003B73A1">
      <w:r w:rsidRPr="00E1558E">
        <w:t>En outre, un document sur la suite donnée aux recommandations de la PP-18 relatives au processus électoral appliqué à l</w:t>
      </w:r>
      <w:r w:rsidR="00803917" w:rsidRPr="00E1558E">
        <w:t>'</w:t>
      </w:r>
      <w:r w:rsidRPr="00E1558E">
        <w:t>UIT a aussi été rédigé en vue du Conseil de 2020 (</w:t>
      </w:r>
      <w:hyperlink r:id="rId16" w:history="1">
        <w:r w:rsidRPr="00E1558E">
          <w:rPr>
            <w:rStyle w:val="Hyperlink"/>
          </w:rPr>
          <w:t>C20/4</w:t>
        </w:r>
      </w:hyperlink>
      <w:r w:rsidRPr="00E1558E">
        <w:rPr>
          <w:u w:val="single"/>
        </w:rPr>
        <w:t>)</w:t>
      </w:r>
      <w:r w:rsidRPr="00E1558E">
        <w:t xml:space="preserve">, mais a seulement été examiné à la VCC-21, en tant que Document </w:t>
      </w:r>
      <w:hyperlink r:id="rId17" w:history="1">
        <w:r w:rsidRPr="00E1558E">
          <w:rPr>
            <w:rStyle w:val="Hyperlink"/>
          </w:rPr>
          <w:t>C21/4(Rév.1)</w:t>
        </w:r>
      </w:hyperlink>
      <w:r w:rsidRPr="00E1558E">
        <w:t>. À</w:t>
      </w:r>
      <w:r w:rsidR="003B73A1" w:rsidRPr="00E1558E">
        <w:t> </w:t>
      </w:r>
      <w:r w:rsidRPr="00E1558E">
        <w:t>sa session de 2022, le Conseil a décidé d</w:t>
      </w:r>
      <w:r w:rsidR="00803917" w:rsidRPr="00E1558E">
        <w:t>'</w:t>
      </w:r>
      <w:r w:rsidRPr="00E1558E">
        <w:t>approuver de nouveau les lignes directrices en matière d</w:t>
      </w:r>
      <w:r w:rsidR="00803917" w:rsidRPr="00E1558E">
        <w:t>'</w:t>
      </w:r>
      <w:r w:rsidRPr="00E1558E">
        <w:t xml:space="preserve">éthique, mais a décidé de transmettre le reste du document à la Conférence de plénipotentiaires (Bucarest, 2022) (PP-22) pour examen. Un rapport sur les </w:t>
      </w:r>
      <w:r w:rsidR="00292B46" w:rsidRPr="00E1558E">
        <w:t xml:space="preserve">travaux préparatoires </w:t>
      </w:r>
      <w:r w:rsidRPr="00E1558E">
        <w:t xml:space="preserve">de la PP-22 a été soumis au Conseil </w:t>
      </w:r>
      <w:r w:rsidR="00292B46" w:rsidRPr="00E1558E">
        <w:t xml:space="preserve">à sa session de </w:t>
      </w:r>
      <w:r w:rsidRPr="00E1558E">
        <w:t xml:space="preserve">2022 </w:t>
      </w:r>
      <w:r w:rsidR="00292B46" w:rsidRPr="00E1558E">
        <w:t xml:space="preserve">sous couvert du Document </w:t>
      </w:r>
      <w:hyperlink r:id="rId18" w:history="1">
        <w:r w:rsidR="00292B46" w:rsidRPr="00E1558E">
          <w:rPr>
            <w:rStyle w:val="Hyperlink"/>
          </w:rPr>
          <w:t>C22/4</w:t>
        </w:r>
      </w:hyperlink>
      <w:r w:rsidRPr="00E1558E">
        <w:t>.</w:t>
      </w:r>
    </w:p>
    <w:p w14:paraId="57C10703" w14:textId="00B76F58" w:rsidR="00D33670" w:rsidRPr="00E1558E" w:rsidRDefault="00D33670" w:rsidP="003B73A1">
      <w:r w:rsidRPr="00E1558E">
        <w:t>3</w:t>
      </w:r>
      <w:r w:rsidRPr="00E1558E">
        <w:tab/>
      </w:r>
      <w:bookmarkStart w:id="1" w:name="lt_pId033"/>
      <w:r w:rsidRPr="00E1558E">
        <w:t xml:space="preserve">Le processus préparatoire régional, sous la direction des organisations régionales de télécommunication, a </w:t>
      </w:r>
      <w:r w:rsidR="00292B46" w:rsidRPr="00E1558E">
        <w:t xml:space="preserve">été décisif dans les travaux préparatoires de la PP-22. </w:t>
      </w:r>
      <w:bookmarkStart w:id="2" w:name="lt_pId037"/>
      <w:bookmarkEnd w:id="1"/>
      <w:r w:rsidR="00292B46" w:rsidRPr="00E1558E">
        <w:t xml:space="preserve">Pratiquement </w:t>
      </w:r>
      <w:r w:rsidRPr="00E1558E">
        <w:t xml:space="preserve">tous les groupes régionaux ont invité les autres groupes régionaux à participer à leurs réunions, </w:t>
      </w:r>
      <w:r w:rsidR="00292B46" w:rsidRPr="00E1558E">
        <w:t xml:space="preserve">ce qui a facilité </w:t>
      </w:r>
      <w:r w:rsidRPr="00E1558E">
        <w:t>l</w:t>
      </w:r>
      <w:r w:rsidR="00803917" w:rsidRPr="00E1558E">
        <w:t>'</w:t>
      </w:r>
      <w:r w:rsidRPr="00E1558E">
        <w:t>examen des propositions.</w:t>
      </w:r>
      <w:bookmarkEnd w:id="2"/>
    </w:p>
    <w:p w14:paraId="4BB9DC96" w14:textId="4631CFC5" w:rsidR="00D33670" w:rsidRPr="00E1558E" w:rsidRDefault="00292B46" w:rsidP="003B73A1">
      <w:r w:rsidRPr="00E1558E">
        <w:t xml:space="preserve">M. Sabin Sărmaș (Roumanie), président désigné de la PP-22, a dirigé trois réunions interrégionales informelles: pendant </w:t>
      </w:r>
      <w:r w:rsidR="00DB2ABC" w:rsidRPr="00E1558E">
        <w:t>la session de 2022 du</w:t>
      </w:r>
      <w:r w:rsidRPr="00E1558E">
        <w:t xml:space="preserve"> Conseil en mars; à Kigali (Rwanda), avant la Conférence mondiale de développement des télécommunications </w:t>
      </w:r>
      <w:r w:rsidR="00DB2ABC" w:rsidRPr="00E1558E">
        <w:t>de</w:t>
      </w:r>
      <w:r w:rsidR="003B73A1" w:rsidRPr="00E1558E">
        <w:t> </w:t>
      </w:r>
      <w:r w:rsidRPr="00E1558E">
        <w:t>2022</w:t>
      </w:r>
      <w:r w:rsidR="00DB2ABC" w:rsidRPr="00E1558E">
        <w:t>,</w:t>
      </w:r>
      <w:r w:rsidRPr="00E1558E">
        <w:t xml:space="preserve"> en juin; et enfin</w:t>
      </w:r>
      <w:r w:rsidR="00DB2ABC" w:rsidRPr="00E1558E">
        <w:t>,</w:t>
      </w:r>
      <w:r w:rsidRPr="00E1558E">
        <w:t xml:space="preserve"> à Riyad (Arabie saoudite)</w:t>
      </w:r>
      <w:r w:rsidR="00DB2ABC" w:rsidRPr="00E1558E">
        <w:t>,</w:t>
      </w:r>
      <w:r w:rsidRPr="00E1558E">
        <w:t xml:space="preserve"> en août, </w:t>
      </w:r>
      <w:r w:rsidR="00DB2ABC" w:rsidRPr="00E1558E">
        <w:t>à l</w:t>
      </w:r>
      <w:r w:rsidR="00803917" w:rsidRPr="00E1558E">
        <w:t>'</w:t>
      </w:r>
      <w:r w:rsidR="00DB2ABC" w:rsidRPr="00E1558E">
        <w:t xml:space="preserve">occasion de </w:t>
      </w:r>
      <w:r w:rsidRPr="00E1558E">
        <w:t xml:space="preserve">la dernière réunion régionale des États arabes. La participation à distance </w:t>
      </w:r>
      <w:r w:rsidR="00B72151" w:rsidRPr="00E1558E">
        <w:t xml:space="preserve">a été offerte </w:t>
      </w:r>
      <w:r w:rsidRPr="00E1558E">
        <w:t xml:space="preserve">pour toutes les réunions. Le secrétariat a </w:t>
      </w:r>
      <w:r w:rsidR="00B72151" w:rsidRPr="00E1558E">
        <w:t xml:space="preserve">établi </w:t>
      </w:r>
      <w:r w:rsidRPr="00E1558E">
        <w:t xml:space="preserve">une liste de propositions avec un </w:t>
      </w:r>
      <w:r w:rsidR="00B72151" w:rsidRPr="00E1558E">
        <w:t xml:space="preserve">coordonnateur </w:t>
      </w:r>
      <w:r w:rsidRPr="00E1558E">
        <w:t>par questio</w:t>
      </w:r>
      <w:r w:rsidR="00B72151" w:rsidRPr="00E1558E">
        <w:t>n/résolution pour chaque région et</w:t>
      </w:r>
      <w:r w:rsidRPr="00E1558E">
        <w:t xml:space="preserve"> un projet </w:t>
      </w:r>
      <w:r w:rsidR="00B72151" w:rsidRPr="00E1558E">
        <w:t>d</w:t>
      </w:r>
      <w:r w:rsidR="00803917" w:rsidRPr="00E1558E">
        <w:t>'</w:t>
      </w:r>
      <w:r w:rsidR="00B72151" w:rsidRPr="00E1558E">
        <w:t xml:space="preserve">attribution </w:t>
      </w:r>
      <w:r w:rsidRPr="00E1558E">
        <w:t xml:space="preserve">des propositions, et a facilité </w:t>
      </w:r>
      <w:r w:rsidR="00B72151" w:rsidRPr="00E1558E">
        <w:t xml:space="preserve">les </w:t>
      </w:r>
      <w:r w:rsidRPr="00E1558E">
        <w:t>échange</w:t>
      </w:r>
      <w:r w:rsidR="00644EF3" w:rsidRPr="00E1558E">
        <w:t>s</w:t>
      </w:r>
      <w:r w:rsidRPr="00E1558E">
        <w:t xml:space="preserve"> de vues par </w:t>
      </w:r>
      <w:r w:rsidR="00B72151" w:rsidRPr="00E1558E">
        <w:t>thème</w:t>
      </w:r>
      <w:r w:rsidRPr="00E1558E">
        <w:t>.</w:t>
      </w:r>
    </w:p>
    <w:p w14:paraId="425C03BB" w14:textId="54F0D5A3" w:rsidR="00D33670" w:rsidRPr="00E1558E" w:rsidRDefault="00D33670" w:rsidP="003B73A1">
      <w:pPr>
        <w:keepLines/>
      </w:pPr>
      <w:r w:rsidRPr="00E1558E">
        <w:lastRenderedPageBreak/>
        <w:t>4</w:t>
      </w:r>
      <w:r w:rsidRPr="00E1558E">
        <w:tab/>
      </w:r>
      <w:r w:rsidR="00B72151" w:rsidRPr="00E1558E">
        <w:t>Afin de préparer les délégations, plusieurs exposés ont été chargés sur le site web de la</w:t>
      </w:r>
      <w:r w:rsidR="003B73A1" w:rsidRPr="00E1558E">
        <w:t> </w:t>
      </w:r>
      <w:r w:rsidR="00B72151" w:rsidRPr="00E1558E">
        <w:t>PP-22, sur les thèmes suivants: présentation de la Conférence de plénipotentiaires, du processus d</w:t>
      </w:r>
      <w:r w:rsidR="00803917" w:rsidRPr="00E1558E">
        <w:t>'</w:t>
      </w:r>
      <w:r w:rsidR="00B72151" w:rsidRPr="00E1558E">
        <w:t>élection et du processus documentaire; la rédaction des résolutions de l</w:t>
      </w:r>
      <w:r w:rsidR="00803917" w:rsidRPr="00E1558E">
        <w:t>'</w:t>
      </w:r>
      <w:r w:rsidR="00B72151" w:rsidRPr="00E1558E">
        <w:t>UIT; les derniers jours de la conférence; comme</w:t>
      </w:r>
      <w:r w:rsidR="00644EF3" w:rsidRPr="00E1558E">
        <w:t>nt</w:t>
      </w:r>
      <w:r w:rsidR="00B72151" w:rsidRPr="00E1558E">
        <w:t xml:space="preserve"> l</w:t>
      </w:r>
      <w:r w:rsidR="00803917" w:rsidRPr="00E1558E">
        <w:t>'</w:t>
      </w:r>
      <w:r w:rsidR="00B72151" w:rsidRPr="00E1558E">
        <w:t>UIT est financée; et les droits de vote.</w:t>
      </w:r>
    </w:p>
    <w:p w14:paraId="2F3FEC61" w14:textId="27F10A69" w:rsidR="00D33670" w:rsidRPr="00E1558E" w:rsidRDefault="00D33670" w:rsidP="003B73A1">
      <w:r w:rsidRPr="00E1558E">
        <w:t>5</w:t>
      </w:r>
      <w:r w:rsidRPr="00E1558E">
        <w:tab/>
      </w:r>
      <w:r w:rsidR="00B72151" w:rsidRPr="00E1558E">
        <w:t>Avec l</w:t>
      </w:r>
      <w:r w:rsidR="00803917" w:rsidRPr="00E1558E">
        <w:t>'</w:t>
      </w:r>
      <w:r w:rsidR="00B72151" w:rsidRPr="00E1558E">
        <w:t>appui du Gouvernement de l</w:t>
      </w:r>
      <w:r w:rsidR="00803917" w:rsidRPr="00E1558E">
        <w:t>'</w:t>
      </w:r>
      <w:r w:rsidR="00B72151" w:rsidRPr="00E1558E">
        <w:t>Australie, un programme de formation en ligne a été conçu et exécuté pour permettre à plus d</w:t>
      </w:r>
      <w:r w:rsidR="00803917" w:rsidRPr="00E1558E">
        <w:t>'</w:t>
      </w:r>
      <w:r w:rsidR="00B72151" w:rsidRPr="00E1558E">
        <w:t>une centaine de déléguées d</w:t>
      </w:r>
      <w:r w:rsidR="00803917" w:rsidRPr="00E1558E">
        <w:t>'</w:t>
      </w:r>
      <w:r w:rsidR="00B72151" w:rsidRPr="00E1558E">
        <w:t xml:space="preserve">acquérir les connaissances, les compétences et le savoir-faire nécessaires pour négocier efficacement lors de la conférence et </w:t>
      </w:r>
      <w:r w:rsidR="00FE2755" w:rsidRPr="00E1558E">
        <w:t xml:space="preserve">assumer davantage un rôle dirigeant </w:t>
      </w:r>
      <w:r w:rsidR="00B72151" w:rsidRPr="00E1558E">
        <w:t>en présidant et en animant activement des réunions.</w:t>
      </w:r>
    </w:p>
    <w:p w14:paraId="131EE66D" w14:textId="063D71B5" w:rsidR="00D33670" w:rsidRPr="00E1558E" w:rsidRDefault="00D33670" w:rsidP="003B73A1">
      <w:r w:rsidRPr="00E1558E">
        <w:t>6</w:t>
      </w:r>
      <w:r w:rsidRPr="00E1558E">
        <w:tab/>
      </w:r>
      <w:r w:rsidR="00FE2755" w:rsidRPr="00E1558E">
        <w:t>Au total, 3 234 participants (33% de femmes et 67% d</w:t>
      </w:r>
      <w:r w:rsidR="00803917" w:rsidRPr="00E1558E">
        <w:t>'</w:t>
      </w:r>
      <w:r w:rsidR="00FE2755" w:rsidRPr="00E1558E">
        <w:t>hommes), dont 2</w:t>
      </w:r>
      <w:r w:rsidR="00406A47" w:rsidRPr="00E1558E">
        <w:t> </w:t>
      </w:r>
      <w:r w:rsidR="00FE2755" w:rsidRPr="00E1558E">
        <w:t>940 présents sur place et 294 à distance, représentant 184 États Membres, 64 Membres de Secteur et quatre organismes du système des Nations Unies et autres, ont assisté à la PP-22, dont 1 très haute personnalité, 27 hautes personnalités, 87 ministres, 71 vice-ministres et 106</w:t>
      </w:r>
      <w:r w:rsidR="00E1558E" w:rsidRPr="00E1558E">
        <w:t> </w:t>
      </w:r>
      <w:r w:rsidR="00FE2755" w:rsidRPr="00E1558E">
        <w:t>ambassadeurs.</w:t>
      </w:r>
      <w:r w:rsidRPr="00E1558E">
        <w:t xml:space="preserve"> </w:t>
      </w:r>
      <w:r w:rsidR="003E2BD3" w:rsidRPr="00E1558E">
        <w:t>Des badges ont été remis à 5 642 personnes en tout, notamment des délégués, des fonctionnaires de l</w:t>
      </w:r>
      <w:r w:rsidR="00803917" w:rsidRPr="00E1558E">
        <w:t>'</w:t>
      </w:r>
      <w:r w:rsidR="003E2BD3" w:rsidRPr="00E1558E">
        <w:t xml:space="preserve">UIT, des </w:t>
      </w:r>
      <w:r w:rsidR="00FE2755" w:rsidRPr="00E1558E">
        <w:t xml:space="preserve">travailleurs locaux </w:t>
      </w:r>
      <w:r w:rsidR="003E2BD3" w:rsidRPr="00E1558E">
        <w:t>et</w:t>
      </w:r>
      <w:r w:rsidR="00FE2755" w:rsidRPr="00E1558E">
        <w:t xml:space="preserve"> des agents </w:t>
      </w:r>
      <w:r w:rsidR="003E2BD3" w:rsidRPr="00E1558E">
        <w:t>de sécurité du pays hôte, ainsi qu</w:t>
      </w:r>
      <w:r w:rsidR="00803917" w:rsidRPr="00E1558E">
        <w:t>'</w:t>
      </w:r>
      <w:r w:rsidR="003E2BD3" w:rsidRPr="00E1558E">
        <w:t xml:space="preserve">à </w:t>
      </w:r>
      <w:r w:rsidR="00FE2755" w:rsidRPr="00E1558E">
        <w:t>d</w:t>
      </w:r>
      <w:r w:rsidR="00803917" w:rsidRPr="00E1558E">
        <w:t>'</w:t>
      </w:r>
      <w:r w:rsidR="00FE2755" w:rsidRPr="00E1558E">
        <w:t xml:space="preserve">autres personnes </w:t>
      </w:r>
      <w:r w:rsidR="00644EF3" w:rsidRPr="00E1558E">
        <w:t xml:space="preserve">devant avoir accès </w:t>
      </w:r>
      <w:r w:rsidR="003E2BD3" w:rsidRPr="00E1558E">
        <w:t xml:space="preserve">au </w:t>
      </w:r>
      <w:r w:rsidR="00FE2755" w:rsidRPr="00E1558E">
        <w:t xml:space="preserve">site de la réunion. </w:t>
      </w:r>
      <w:r w:rsidR="003E2BD3" w:rsidRPr="00E1558E">
        <w:t xml:space="preserve">La liste </w:t>
      </w:r>
      <w:r w:rsidR="00644EF3" w:rsidRPr="00E1558E">
        <w:t>définitive</w:t>
      </w:r>
      <w:r w:rsidR="003E2BD3" w:rsidRPr="00E1558E">
        <w:t xml:space="preserve"> des participants est </w:t>
      </w:r>
      <w:r w:rsidR="00644EF3" w:rsidRPr="00E1558E">
        <w:t xml:space="preserve">reproduite </w:t>
      </w:r>
      <w:r w:rsidR="003E2BD3" w:rsidRPr="00E1558E">
        <w:t xml:space="preserve">dans le Document </w:t>
      </w:r>
      <w:hyperlink r:id="rId19" w:history="1">
        <w:r w:rsidRPr="00E1558E">
          <w:rPr>
            <w:rStyle w:val="Hyperlink"/>
          </w:rPr>
          <w:t>PP-22/210</w:t>
        </w:r>
      </w:hyperlink>
      <w:r w:rsidRPr="00E1558E">
        <w:t>.</w:t>
      </w:r>
    </w:p>
    <w:p w14:paraId="237A908F" w14:textId="72BB126A" w:rsidR="00D33670" w:rsidRPr="00E1558E" w:rsidRDefault="00D33670" w:rsidP="003B73A1">
      <w:r w:rsidRPr="00E1558E">
        <w:t>7</w:t>
      </w:r>
      <w:r w:rsidRPr="00E1558E">
        <w:tab/>
      </w:r>
      <w:r w:rsidR="00FE2755" w:rsidRPr="00E1558E">
        <w:t>La cérémonie d</w:t>
      </w:r>
      <w:r w:rsidR="00803917" w:rsidRPr="00E1558E">
        <w:t>'</w:t>
      </w:r>
      <w:r w:rsidR="00FE2755" w:rsidRPr="00E1558E">
        <w:t>ouverture, organisée par le pays hôte</w:t>
      </w:r>
      <w:r w:rsidR="00644EF3" w:rsidRPr="00E1558E">
        <w:t xml:space="preserve"> s</w:t>
      </w:r>
      <w:r w:rsidR="00803917" w:rsidRPr="00E1558E">
        <w:t>'</w:t>
      </w:r>
      <w:r w:rsidR="00644EF3" w:rsidRPr="00E1558E">
        <w:t xml:space="preserve">est déroulée en </w:t>
      </w:r>
      <w:r w:rsidR="00FE2755" w:rsidRPr="00E1558E">
        <w:t xml:space="preserve">présence et </w:t>
      </w:r>
      <w:r w:rsidR="00644EF3" w:rsidRPr="00E1558E">
        <w:t xml:space="preserve">avec </w:t>
      </w:r>
      <w:r w:rsidR="00FE2755" w:rsidRPr="00E1558E">
        <w:t>la participation du Vice-Premier Ministre de la Roumanie, S.</w:t>
      </w:r>
      <w:r w:rsidR="00E1558E" w:rsidRPr="00E1558E">
        <w:t xml:space="preserve"> </w:t>
      </w:r>
      <w:r w:rsidR="00FE2755" w:rsidRPr="00E1558E">
        <w:t>E. M. Sorin Grindeanu</w:t>
      </w:r>
      <w:r w:rsidR="00644EF3" w:rsidRPr="00E1558E">
        <w:t>; u</w:t>
      </w:r>
      <w:r w:rsidR="00FE2755" w:rsidRPr="00E1558E">
        <w:t>n message du Secrétaire général de l</w:t>
      </w:r>
      <w:r w:rsidR="00803917" w:rsidRPr="00E1558E">
        <w:t>'</w:t>
      </w:r>
      <w:r w:rsidR="00FE2755" w:rsidRPr="00E1558E">
        <w:t xml:space="preserve">ONU, M. Antonio Guterres, </w:t>
      </w:r>
      <w:r w:rsidR="00644EF3" w:rsidRPr="00E1558E">
        <w:t xml:space="preserve">a été entendu, ainsi que </w:t>
      </w:r>
      <w:r w:rsidR="00FE2755" w:rsidRPr="00E1558E">
        <w:t>des déclarations du Secrétaire général de l</w:t>
      </w:r>
      <w:r w:rsidR="00803917" w:rsidRPr="00E1558E">
        <w:t>'</w:t>
      </w:r>
      <w:r w:rsidR="00FE2755" w:rsidRPr="00E1558E">
        <w:t>UIT, M. Houlin Zhao, et de S.</w:t>
      </w:r>
      <w:r w:rsidR="00E1558E" w:rsidRPr="00E1558E">
        <w:t xml:space="preserve"> </w:t>
      </w:r>
      <w:r w:rsidR="00FE2755" w:rsidRPr="00E1558E">
        <w:t>E. M. Sebastian Burduja, Ministre roumain de la recherche, de l</w:t>
      </w:r>
      <w:r w:rsidR="00803917" w:rsidRPr="00E1558E">
        <w:t>'</w:t>
      </w:r>
      <w:r w:rsidR="00FE2755" w:rsidRPr="00E1558E">
        <w:t>innovation et de la transition numérique. La</w:t>
      </w:r>
      <w:r w:rsidR="00E8788C" w:rsidRPr="00E1558E">
        <w:t> </w:t>
      </w:r>
      <w:r w:rsidR="00FE2755" w:rsidRPr="00E1558E">
        <w:t>cérémonie d</w:t>
      </w:r>
      <w:r w:rsidR="00803917" w:rsidRPr="00E1558E">
        <w:t>'</w:t>
      </w:r>
      <w:r w:rsidR="00FE2755" w:rsidRPr="00E1558E">
        <w:t>ouverture a été marquée par une représentation culturelle du chœur d</w:t>
      </w:r>
      <w:r w:rsidR="00803917" w:rsidRPr="00E1558E">
        <w:t>'</w:t>
      </w:r>
      <w:r w:rsidR="00FE2755" w:rsidRPr="00E1558E">
        <w:t>enfants Cantus Mundi, qui a interprété l</w:t>
      </w:r>
      <w:r w:rsidR="00803917" w:rsidRPr="00E1558E">
        <w:t>'</w:t>
      </w:r>
      <w:r w:rsidR="00FE2755" w:rsidRPr="00E1558E">
        <w:t xml:space="preserve">hymne </w:t>
      </w:r>
      <w:r w:rsidR="002B71FF" w:rsidRPr="00E1558E">
        <w:t>de la</w:t>
      </w:r>
      <w:r w:rsidR="00FE2755" w:rsidRPr="00E1558E">
        <w:t xml:space="preserve"> PP-22, composé pour l</w:t>
      </w:r>
      <w:r w:rsidR="00803917" w:rsidRPr="00E1558E">
        <w:t>'</w:t>
      </w:r>
      <w:r w:rsidR="00FE2755" w:rsidRPr="00E1558E">
        <w:t>occasion.</w:t>
      </w:r>
    </w:p>
    <w:p w14:paraId="78FB4503" w14:textId="204E7742" w:rsidR="00D33670" w:rsidRPr="00E1558E" w:rsidRDefault="00D33670" w:rsidP="003B73A1">
      <w:r w:rsidRPr="00E1558E">
        <w:t>8</w:t>
      </w:r>
      <w:r w:rsidRPr="00E1558E">
        <w:tab/>
      </w:r>
      <w:r w:rsidR="002B71FF" w:rsidRPr="00E1558E">
        <w:rPr>
          <w:caps/>
        </w:rPr>
        <w:t>à</w:t>
      </w:r>
      <w:r w:rsidR="002B71FF" w:rsidRPr="00E1558E">
        <w:t xml:space="preserve"> la première séance plénière, </w:t>
      </w:r>
      <w:r w:rsidRPr="00E1558E">
        <w:t xml:space="preserve">M. Sabin SĂRMAȘ </w:t>
      </w:r>
      <w:r w:rsidR="002B71FF" w:rsidRPr="00E1558E">
        <w:t xml:space="preserve">(Roumanie) a été </w:t>
      </w:r>
      <w:r w:rsidRPr="00E1558E">
        <w:t>élu Président de la Conférence. Six vice-</w:t>
      </w:r>
      <w:r w:rsidR="002B71FF" w:rsidRPr="00E1558E">
        <w:t>présidents ont été élus comme suit</w:t>
      </w:r>
      <w:r w:rsidRPr="00E1558E">
        <w:t>:</w:t>
      </w:r>
    </w:p>
    <w:p w14:paraId="4DD7E644" w14:textId="3B0F067F" w:rsidR="00D33670" w:rsidRPr="00E1558E" w:rsidRDefault="00FE43AA" w:rsidP="00FE43AA">
      <w:pPr>
        <w:pStyle w:val="enumlev1"/>
      </w:pPr>
      <w:r w:rsidRPr="00E1558E">
        <w:t>–</w:t>
      </w:r>
      <w:r w:rsidRPr="00E1558E">
        <w:tab/>
      </w:r>
      <w:r w:rsidR="00D33670" w:rsidRPr="00E1558E">
        <w:t>Mme Caroline GREENWAY (Papouasie-Nouvelle-Guinée)</w:t>
      </w:r>
    </w:p>
    <w:p w14:paraId="6EA9958B" w14:textId="21E255EF" w:rsidR="00D33670" w:rsidRPr="00E1558E" w:rsidRDefault="00FE43AA" w:rsidP="00FE43AA">
      <w:pPr>
        <w:pStyle w:val="enumlev1"/>
      </w:pPr>
      <w:r w:rsidRPr="00E1558E">
        <w:t>–</w:t>
      </w:r>
      <w:r w:rsidRPr="00E1558E">
        <w:tab/>
      </w:r>
      <w:r w:rsidR="00D33670" w:rsidRPr="00E1558E">
        <w:t>M. Orozbek KAIYKOV (Kirghizistan)</w:t>
      </w:r>
    </w:p>
    <w:p w14:paraId="7ADAE356" w14:textId="4FE55434" w:rsidR="00D33670" w:rsidRPr="00E1558E" w:rsidRDefault="00FE43AA" w:rsidP="00FE43AA">
      <w:pPr>
        <w:pStyle w:val="enumlev1"/>
      </w:pPr>
      <w:r w:rsidRPr="00E1558E">
        <w:t>–</w:t>
      </w:r>
      <w:r w:rsidRPr="00E1558E">
        <w:tab/>
      </w:r>
      <w:r w:rsidR="00D33670" w:rsidRPr="00E1558E">
        <w:t>M. Mohamed Amine BENZIANE (Algérie)</w:t>
      </w:r>
    </w:p>
    <w:p w14:paraId="3A506589" w14:textId="3644AB6E" w:rsidR="00D33670" w:rsidRPr="00E1558E" w:rsidRDefault="00FE43AA" w:rsidP="00FE43AA">
      <w:pPr>
        <w:pStyle w:val="enumlev1"/>
      </w:pPr>
      <w:r w:rsidRPr="00E1558E">
        <w:t>–</w:t>
      </w:r>
      <w:r w:rsidRPr="00E1558E">
        <w:tab/>
      </w:r>
      <w:r w:rsidR="00D33670" w:rsidRPr="00E1558E">
        <w:t>Mme Erica BARKS-RUGGLES (États-Unis)</w:t>
      </w:r>
    </w:p>
    <w:p w14:paraId="39540605" w14:textId="32DFAB0B" w:rsidR="00D33670" w:rsidRPr="00E1558E" w:rsidRDefault="00FE43AA" w:rsidP="00FE43AA">
      <w:pPr>
        <w:pStyle w:val="enumlev1"/>
      </w:pPr>
      <w:r w:rsidRPr="00E1558E">
        <w:t>–</w:t>
      </w:r>
      <w:r w:rsidRPr="00E1558E">
        <w:tab/>
      </w:r>
      <w:r w:rsidR="00D33670" w:rsidRPr="00E1558E">
        <w:t>M. Oli BIRD (Royaume-Uni)</w:t>
      </w:r>
    </w:p>
    <w:p w14:paraId="7C5AE43F" w14:textId="3AC33079" w:rsidR="00D33670" w:rsidRPr="00E1558E" w:rsidRDefault="00FE43AA" w:rsidP="00FE43AA">
      <w:pPr>
        <w:pStyle w:val="enumlev1"/>
      </w:pPr>
      <w:r w:rsidRPr="00E1558E">
        <w:t>–</w:t>
      </w:r>
      <w:r w:rsidRPr="00E1558E">
        <w:tab/>
      </w:r>
      <w:r w:rsidR="00D33670" w:rsidRPr="00E1558E">
        <w:t>M. Tareq AL-AWADHI (Émirats arabes unis)</w:t>
      </w:r>
    </w:p>
    <w:p w14:paraId="2F4DDBE1" w14:textId="55DF2CAB" w:rsidR="00D33670" w:rsidRPr="00E1558E" w:rsidRDefault="00D33670" w:rsidP="00E1558E">
      <w:pPr>
        <w:spacing w:after="120"/>
      </w:pPr>
      <w:r w:rsidRPr="00E1558E">
        <w:t>9</w:t>
      </w:r>
      <w:r w:rsidRPr="00E1558E">
        <w:tab/>
        <w:t xml:space="preserve">Les commissions ci-après ont été créées et ont entamé leurs travaux le deuxième jour de la Conférence (voir aussi la structure de la PP-22 dans le Document </w:t>
      </w:r>
      <w:hyperlink r:id="rId20" w:history="1">
        <w:r w:rsidRPr="00E1558E">
          <w:rPr>
            <w:rStyle w:val="Hyperlink"/>
          </w:rPr>
          <w:t>PP-22/103</w:t>
        </w:r>
      </w:hyperlink>
      <w:r w:rsidRPr="00E1558E">
        <w:t xml:space="preserve"> et la liste complète </w:t>
      </w:r>
      <w:r w:rsidR="002B71FF" w:rsidRPr="00E1558E">
        <w:t>des</w:t>
      </w:r>
      <w:r w:rsidRPr="00E1558E">
        <w:t xml:space="preserve"> </w:t>
      </w:r>
      <w:r w:rsidR="002B71FF" w:rsidRPr="00E1558E">
        <w:t xml:space="preserve">Présidents et </w:t>
      </w:r>
      <w:r w:rsidRPr="00E1558E">
        <w:t xml:space="preserve">Vice-Présidents dans le Document </w:t>
      </w:r>
      <w:hyperlink r:id="rId21" w:history="1">
        <w:r w:rsidR="009E24CA" w:rsidRPr="00E1558E">
          <w:rPr>
            <w:rStyle w:val="Hyperlink"/>
          </w:rPr>
          <w:t>PP-22/97</w:t>
        </w:r>
      </w:hyperlink>
      <w:r w:rsidRPr="00E1558E">
        <w:t>):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5859"/>
      </w:tblGrid>
      <w:tr w:rsidR="007D5A3F" w:rsidRPr="00E1558E" w14:paraId="7B8C103B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95A" w14:textId="11CFD561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bookmarkStart w:id="3" w:name="lt_pId062"/>
            <w:r w:rsidRPr="00E1558E">
              <w:rPr>
                <w:szCs w:val="24"/>
              </w:rPr>
              <w:lastRenderedPageBreak/>
              <w:t>Commission 1</w:t>
            </w:r>
            <w:bookmarkEnd w:id="3"/>
            <w:r w:rsidRPr="00E1558E">
              <w:rPr>
                <w:szCs w:val="24"/>
              </w:rPr>
              <w:t xml:space="preserve"> </w:t>
            </w:r>
            <w:r w:rsidRPr="00E1558E">
              <w:rPr>
                <w:szCs w:val="24"/>
              </w:rPr>
              <w:br/>
            </w:r>
            <w:bookmarkStart w:id="4" w:name="lt_pId063"/>
            <w:r w:rsidRPr="00E1558E">
              <w:rPr>
                <w:szCs w:val="24"/>
              </w:rPr>
              <w:t>(Direction)</w:t>
            </w:r>
            <w:bookmarkEnd w:id="4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3E4" w14:textId="226C4F52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bookmarkStart w:id="5" w:name="lt_pId064"/>
            <w:r w:rsidRPr="00E1558E">
              <w:rPr>
                <w:rFonts w:asciiTheme="minorHAnsi" w:eastAsia="SimSun" w:hAnsiTheme="minorHAnsi" w:cstheme="minorHAnsi"/>
                <w:szCs w:val="24"/>
              </w:rPr>
              <w:t xml:space="preserve">(composée du </w:t>
            </w:r>
            <w:r w:rsidR="00E1558E" w:rsidRPr="00E1558E">
              <w:rPr>
                <w:rFonts w:asciiTheme="minorHAnsi" w:eastAsia="SimSun" w:hAnsiTheme="minorHAnsi" w:cstheme="minorHAnsi"/>
                <w:szCs w:val="24"/>
              </w:rPr>
              <w:t>p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 xml:space="preserve">résident et des </w:t>
            </w:r>
            <w:r w:rsidR="00E1558E" w:rsidRPr="00E1558E">
              <w:rPr>
                <w:rFonts w:asciiTheme="minorHAnsi" w:eastAsia="SimSun" w:hAnsiTheme="minorHAnsi" w:cstheme="minorHAnsi"/>
                <w:szCs w:val="24"/>
              </w:rPr>
              <w:t>v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>ice-</w:t>
            </w:r>
            <w:r w:rsidR="00E1558E" w:rsidRPr="00E1558E">
              <w:rPr>
                <w:rFonts w:asciiTheme="minorHAnsi" w:eastAsia="SimSun" w:hAnsiTheme="minorHAnsi" w:cstheme="minorHAnsi"/>
                <w:szCs w:val="24"/>
              </w:rPr>
              <w:t>p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 xml:space="preserve">résidents de la Conférence ainsi que des </w:t>
            </w:r>
            <w:r w:rsidR="00E1558E" w:rsidRPr="00E1558E">
              <w:rPr>
                <w:rFonts w:asciiTheme="minorHAnsi" w:eastAsia="SimSun" w:hAnsiTheme="minorHAnsi" w:cstheme="minorHAnsi"/>
                <w:szCs w:val="24"/>
              </w:rPr>
              <w:t>p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 xml:space="preserve">résidents et </w:t>
            </w:r>
            <w:r w:rsidR="00E1558E" w:rsidRPr="00E1558E">
              <w:rPr>
                <w:rFonts w:asciiTheme="minorHAnsi" w:eastAsia="SimSun" w:hAnsiTheme="minorHAnsi" w:cstheme="minorHAnsi"/>
                <w:szCs w:val="24"/>
              </w:rPr>
              <w:t>v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>ice-</w:t>
            </w:r>
            <w:r w:rsidR="00E1558E" w:rsidRPr="00E1558E">
              <w:rPr>
                <w:rFonts w:asciiTheme="minorHAnsi" w:eastAsia="SimSun" w:hAnsiTheme="minorHAnsi" w:cstheme="minorHAnsi"/>
                <w:szCs w:val="24"/>
              </w:rPr>
              <w:t>p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>résidents des autres commissions</w:t>
            </w:r>
            <w:r w:rsidR="00091EFF" w:rsidRPr="00E1558E">
              <w:rPr>
                <w:rFonts w:asciiTheme="minorHAnsi" w:eastAsia="SimSun" w:hAnsiTheme="minorHAnsi" w:cstheme="minorHAnsi"/>
                <w:szCs w:val="24"/>
              </w:rPr>
              <w:t xml:space="preserve"> et du Groupe de travail de la Plénière</w:t>
            </w:r>
            <w:r w:rsidRPr="00E1558E">
              <w:rPr>
                <w:rFonts w:asciiTheme="minorHAnsi" w:eastAsia="SimSun" w:hAnsiTheme="minorHAnsi" w:cstheme="minorHAnsi"/>
                <w:szCs w:val="24"/>
              </w:rPr>
              <w:t>)</w:t>
            </w:r>
            <w:bookmarkEnd w:id="5"/>
          </w:p>
        </w:tc>
      </w:tr>
      <w:tr w:rsidR="007D5A3F" w:rsidRPr="0023660F" w14:paraId="09B99AA8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C44" w14:textId="6D39A13C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bookmarkStart w:id="6" w:name="lt_pId065"/>
            <w:r w:rsidRPr="00E1558E">
              <w:rPr>
                <w:szCs w:val="24"/>
              </w:rPr>
              <w:t>Commission 2</w:t>
            </w:r>
            <w:bookmarkEnd w:id="6"/>
            <w:r w:rsidRPr="00E1558E">
              <w:rPr>
                <w:szCs w:val="24"/>
              </w:rPr>
              <w:br/>
            </w:r>
            <w:bookmarkStart w:id="7" w:name="lt_pId066"/>
            <w:r w:rsidRPr="00E1558E">
              <w:rPr>
                <w:szCs w:val="24"/>
              </w:rPr>
              <w:t>(Pouvoirs)</w:t>
            </w:r>
            <w:bookmarkEnd w:id="7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8FBB" w14:textId="36A7C96B" w:rsidR="007D5A3F" w:rsidRPr="0023660F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93"/>
              </w:tabs>
              <w:spacing w:before="0"/>
              <w:rPr>
                <w:rFonts w:asciiTheme="minorHAnsi" w:eastAsia="SimSun" w:hAnsiTheme="minorHAnsi" w:cstheme="minorHAnsi"/>
                <w:szCs w:val="24"/>
                <w:lang w:val="es-ES"/>
              </w:rPr>
            </w:pPr>
            <w:proofErr w:type="spellStart"/>
            <w:r w:rsidRPr="0023660F">
              <w:rPr>
                <w:b/>
                <w:lang w:val="es-ES"/>
              </w:rPr>
              <w:t>Président</w:t>
            </w:r>
            <w:proofErr w:type="spellEnd"/>
            <w:r w:rsidRPr="0023660F">
              <w:rPr>
                <w:lang w:val="es-ES"/>
              </w:rPr>
              <w:t>: M. Al-Ansari AL-MASHAKBEH (</w:t>
            </w:r>
            <w:proofErr w:type="spellStart"/>
            <w:r w:rsidRPr="0023660F">
              <w:rPr>
                <w:lang w:val="es-ES"/>
              </w:rPr>
              <w:t>Jordanie</w:t>
            </w:r>
            <w:proofErr w:type="spellEnd"/>
            <w:r w:rsidRPr="0023660F">
              <w:rPr>
                <w:lang w:val="es-ES"/>
              </w:rPr>
              <w:t>)</w:t>
            </w:r>
          </w:p>
        </w:tc>
      </w:tr>
      <w:tr w:rsidR="007D5A3F" w:rsidRPr="00E1558E" w14:paraId="0E646199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D77" w14:textId="56EB6113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bookmarkStart w:id="8" w:name="lt_pId068"/>
            <w:r w:rsidRPr="00E1558E">
              <w:rPr>
                <w:szCs w:val="24"/>
              </w:rPr>
              <w:t>Commission 3</w:t>
            </w:r>
            <w:bookmarkEnd w:id="8"/>
            <w:r w:rsidRPr="00E1558E">
              <w:rPr>
                <w:szCs w:val="24"/>
              </w:rPr>
              <w:br/>
            </w:r>
            <w:bookmarkStart w:id="9" w:name="lt_pId069"/>
            <w:r w:rsidRPr="00E1558E">
              <w:rPr>
                <w:szCs w:val="24"/>
              </w:rPr>
              <w:t>(Contrôle budgétaire)</w:t>
            </w:r>
            <w:bookmarkEnd w:id="9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83B" w14:textId="4B08CC67" w:rsidR="007D5A3F" w:rsidRPr="00E1558E" w:rsidRDefault="007D5A3F" w:rsidP="003B73A1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r w:rsidRPr="00E1558E">
              <w:rPr>
                <w:b/>
              </w:rPr>
              <w:t>Président</w:t>
            </w:r>
            <w:r w:rsidRPr="00E1558E">
              <w:t>: M. Bakhtiyar MAMMADOV (Azerbaïdjan)</w:t>
            </w:r>
          </w:p>
        </w:tc>
      </w:tr>
      <w:tr w:rsidR="007D5A3F" w:rsidRPr="00E1558E" w14:paraId="7A5CA23E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A15" w14:textId="1EF7ED7F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bookmarkStart w:id="10" w:name="lt_pId071"/>
            <w:r w:rsidRPr="00E1558E">
              <w:rPr>
                <w:szCs w:val="24"/>
              </w:rPr>
              <w:t>Commission 4</w:t>
            </w:r>
            <w:bookmarkEnd w:id="10"/>
            <w:r w:rsidRPr="00E1558E">
              <w:rPr>
                <w:szCs w:val="24"/>
              </w:rPr>
              <w:br/>
            </w:r>
            <w:bookmarkStart w:id="11" w:name="lt_pId072"/>
            <w:r w:rsidRPr="00E1558E">
              <w:rPr>
                <w:szCs w:val="24"/>
              </w:rPr>
              <w:t>(Rédaction)</w:t>
            </w:r>
            <w:bookmarkEnd w:id="1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49E5" w14:textId="0B99289B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93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r w:rsidRPr="00E1558E">
              <w:rPr>
                <w:b/>
              </w:rPr>
              <w:t>Président</w:t>
            </w:r>
            <w:r w:rsidRPr="00E1558E">
              <w:t>: M. Christian RISSONE (France)</w:t>
            </w:r>
          </w:p>
        </w:tc>
      </w:tr>
      <w:tr w:rsidR="007D5A3F" w:rsidRPr="00E1558E" w14:paraId="3B470630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51C" w14:textId="3C5E3D48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szCs w:val="24"/>
              </w:rPr>
            </w:pPr>
            <w:bookmarkStart w:id="12" w:name="lt_pId074"/>
            <w:r w:rsidRPr="00E1558E">
              <w:rPr>
                <w:szCs w:val="24"/>
              </w:rPr>
              <w:t>Commission 5</w:t>
            </w:r>
            <w:bookmarkEnd w:id="12"/>
            <w:r w:rsidR="00160C98" w:rsidRPr="00E1558E">
              <w:rPr>
                <w:szCs w:val="24"/>
              </w:rPr>
              <w:t xml:space="preserve"> </w:t>
            </w:r>
            <w:r w:rsidRPr="00E1558E">
              <w:rPr>
                <w:szCs w:val="24"/>
              </w:rPr>
              <w:br/>
            </w:r>
            <w:bookmarkStart w:id="13" w:name="lt_pId075"/>
            <w:r w:rsidRPr="00E1558E">
              <w:rPr>
                <w:szCs w:val="24"/>
              </w:rPr>
              <w:t>(Politique et questions juridiques)</w:t>
            </w:r>
            <w:bookmarkEnd w:id="13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F6D" w14:textId="1F981B90" w:rsidR="007D5A3F" w:rsidRPr="00E1558E" w:rsidRDefault="007D5A3F" w:rsidP="003B73A1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0"/>
              <w:rPr>
                <w:rFonts w:asciiTheme="minorHAnsi" w:eastAsia="SimSun" w:hAnsiTheme="minorHAnsi" w:cstheme="minorHAnsi"/>
                <w:b/>
                <w:szCs w:val="24"/>
              </w:rPr>
            </w:pPr>
            <w:r w:rsidRPr="00E1558E">
              <w:rPr>
                <w:b/>
              </w:rPr>
              <w:t>Présidente</w:t>
            </w:r>
            <w:r w:rsidRPr="00E1558E">
              <w:t>: Mme Mina Seonmin JUN (Corée (Rép. de))</w:t>
            </w:r>
          </w:p>
        </w:tc>
      </w:tr>
      <w:tr w:rsidR="007D5A3F" w:rsidRPr="00E1558E" w14:paraId="58664B58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639" w14:textId="5B00A655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bCs/>
                <w:szCs w:val="24"/>
              </w:rPr>
            </w:pPr>
            <w:bookmarkStart w:id="14" w:name="lt_pId077"/>
            <w:r w:rsidRPr="00E1558E">
              <w:rPr>
                <w:rFonts w:asciiTheme="minorHAnsi" w:hAnsiTheme="minorHAnsi"/>
                <w:bCs/>
                <w:szCs w:val="24"/>
              </w:rPr>
              <w:t>Commission 6</w:t>
            </w:r>
            <w:bookmarkEnd w:id="14"/>
            <w:r w:rsidRPr="00E1558E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Pr="00E1558E">
              <w:rPr>
                <w:rFonts w:asciiTheme="minorHAnsi" w:hAnsiTheme="minorHAnsi"/>
                <w:bCs/>
                <w:szCs w:val="24"/>
              </w:rPr>
              <w:br/>
            </w:r>
            <w:bookmarkStart w:id="15" w:name="lt_pId078"/>
            <w:r w:rsidRPr="00E1558E">
              <w:rPr>
                <w:rFonts w:asciiTheme="minorHAnsi" w:hAnsiTheme="minorHAnsi"/>
                <w:bCs/>
                <w:szCs w:val="24"/>
              </w:rPr>
              <w:t>(Administration et gestion)</w:t>
            </w:r>
            <w:bookmarkEnd w:id="15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608" w14:textId="2FAE5646" w:rsidR="007D5A3F" w:rsidRPr="00E1558E" w:rsidRDefault="007D5A3F" w:rsidP="003B73A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93"/>
                <w:tab w:val="left" w:pos="1802"/>
              </w:tabs>
              <w:spacing w:before="0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E1558E">
              <w:rPr>
                <w:b/>
              </w:rPr>
              <w:t>Présidente</w:t>
            </w:r>
            <w:r w:rsidRPr="00E1558E">
              <w:t>: Mme Vernita HARRIS (États-Unis)</w:t>
            </w:r>
          </w:p>
        </w:tc>
      </w:tr>
      <w:tr w:rsidR="007D5A3F" w:rsidRPr="00E1558E" w14:paraId="24616AF4" w14:textId="77777777" w:rsidTr="007D5A3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5BD" w14:textId="42F9F43A" w:rsidR="007D5A3F" w:rsidRPr="00E1558E" w:rsidRDefault="007D5A3F" w:rsidP="003B73A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rPr>
                <w:rFonts w:asciiTheme="minorHAnsi" w:eastAsia="SimSun" w:hAnsiTheme="minorHAnsi" w:cstheme="minorHAnsi"/>
                <w:bCs/>
                <w:szCs w:val="24"/>
              </w:rPr>
            </w:pPr>
            <w:bookmarkStart w:id="16" w:name="lt_pId080"/>
            <w:r w:rsidRPr="00E1558E">
              <w:rPr>
                <w:rFonts w:asciiTheme="minorHAnsi" w:hAnsiTheme="minorHAnsi"/>
                <w:bCs/>
                <w:szCs w:val="24"/>
              </w:rPr>
              <w:t>Groupe de travail de la plénière (GT-PL)</w:t>
            </w:r>
            <w:bookmarkEnd w:id="16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EF7" w14:textId="005B02C0" w:rsidR="007D5A3F" w:rsidRPr="00E1558E" w:rsidRDefault="007D5A3F" w:rsidP="003B73A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93"/>
                <w:tab w:val="left" w:pos="1802"/>
              </w:tabs>
              <w:spacing w:before="0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E1558E">
              <w:rPr>
                <w:b/>
              </w:rPr>
              <w:t>Président</w:t>
            </w:r>
            <w:r w:rsidRPr="00E1558E">
              <w:t>: M. Kwame BAAH-ACHEAMFUOR (Ghana)</w:t>
            </w:r>
          </w:p>
        </w:tc>
      </w:tr>
    </w:tbl>
    <w:p w14:paraId="45723EFF" w14:textId="6DCAD390" w:rsidR="007D5A3F" w:rsidRPr="00E1558E" w:rsidRDefault="007D5A3F" w:rsidP="00160C98">
      <w:pPr>
        <w:spacing w:after="120"/>
      </w:pPr>
      <w:r w:rsidRPr="00E1558E">
        <w:t>10</w:t>
      </w:r>
      <w:r w:rsidRPr="00E1558E">
        <w:tab/>
      </w:r>
      <w:bookmarkStart w:id="17" w:name="lt_pId083"/>
      <w:r w:rsidRPr="00E1558E">
        <w:t>La PP-22 a élu ou réélu les membres d</w:t>
      </w:r>
      <w:r w:rsidR="00803917" w:rsidRPr="00E1558E">
        <w:t>'</w:t>
      </w:r>
      <w:r w:rsidRPr="00E1558E">
        <w:t xml:space="preserve">une nouvelle équipe de direction qui a pris ses fonctions le </w:t>
      </w:r>
      <w:r w:rsidR="00160C98" w:rsidRPr="00E1558E">
        <w:t>1er</w:t>
      </w:r>
      <w:r w:rsidRPr="00E1558E">
        <w:t xml:space="preserve"> janvier 2023, comme suit:</w:t>
      </w:r>
      <w:bookmarkEnd w:id="17"/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517"/>
      </w:tblGrid>
      <w:tr w:rsidR="00160C98" w:rsidRPr="00E1558E" w14:paraId="51AB5430" w14:textId="77777777" w:rsidTr="003D178B">
        <w:tc>
          <w:tcPr>
            <w:tcW w:w="3402" w:type="dxa"/>
          </w:tcPr>
          <w:p w14:paraId="403707FE" w14:textId="33061B3C" w:rsidR="00160C98" w:rsidRPr="00E1558E" w:rsidRDefault="00CC7CAF" w:rsidP="00CC7CAF">
            <w:pPr>
              <w:pStyle w:val="enumlev1"/>
            </w:pPr>
            <w:bookmarkStart w:id="18" w:name="lt_pId084"/>
            <w:r w:rsidRPr="00E1558E">
              <w:t>–</w:t>
            </w:r>
            <w:r w:rsidRPr="00E1558E">
              <w:tab/>
            </w:r>
            <w:r w:rsidR="00160C98" w:rsidRPr="00E1558E">
              <w:t>Secrétaire générale:</w:t>
            </w:r>
            <w:bookmarkEnd w:id="18"/>
          </w:p>
        </w:tc>
        <w:tc>
          <w:tcPr>
            <w:tcW w:w="5517" w:type="dxa"/>
          </w:tcPr>
          <w:p w14:paraId="1A3A8274" w14:textId="5B5EF358" w:rsidR="00160C98" w:rsidRPr="00E1558E" w:rsidRDefault="00160C98" w:rsidP="00CC7CAF">
            <w:pPr>
              <w:pStyle w:val="enumlev1"/>
            </w:pPr>
            <w:r w:rsidRPr="00E1558E">
              <w:t>Mme Doreen BOGDAN-MARTIN (États-Unis)</w:t>
            </w:r>
          </w:p>
        </w:tc>
      </w:tr>
      <w:tr w:rsidR="00160C98" w:rsidRPr="00E1558E" w14:paraId="1522560F" w14:textId="77777777" w:rsidTr="003D178B">
        <w:tc>
          <w:tcPr>
            <w:tcW w:w="3402" w:type="dxa"/>
          </w:tcPr>
          <w:p w14:paraId="34C98A2F" w14:textId="600A2F1B" w:rsidR="00160C98" w:rsidRPr="00E1558E" w:rsidRDefault="00CC7CAF" w:rsidP="00CC7CAF">
            <w:pPr>
              <w:pStyle w:val="enumlev1"/>
            </w:pPr>
            <w:bookmarkStart w:id="19" w:name="lt_pId086"/>
            <w:r w:rsidRPr="00E1558E">
              <w:t>–</w:t>
            </w:r>
            <w:r w:rsidRPr="00E1558E">
              <w:tab/>
            </w:r>
            <w:r w:rsidR="00160C98" w:rsidRPr="00E1558E">
              <w:t>Vice-Secrétaire général:</w:t>
            </w:r>
            <w:bookmarkEnd w:id="19"/>
          </w:p>
        </w:tc>
        <w:tc>
          <w:tcPr>
            <w:tcW w:w="5517" w:type="dxa"/>
          </w:tcPr>
          <w:p w14:paraId="32C6F143" w14:textId="02B6B502" w:rsidR="00160C98" w:rsidRPr="00E1558E" w:rsidRDefault="00160C98" w:rsidP="00CC7CAF">
            <w:pPr>
              <w:pStyle w:val="enumlev1"/>
            </w:pPr>
            <w:r w:rsidRPr="00E1558E">
              <w:t>M. Tomas LAMANAUSKAS (Lituanie)</w:t>
            </w:r>
          </w:p>
        </w:tc>
      </w:tr>
      <w:tr w:rsidR="00160C98" w:rsidRPr="00E1558E" w14:paraId="6F45F818" w14:textId="77777777" w:rsidTr="003D178B">
        <w:tc>
          <w:tcPr>
            <w:tcW w:w="3402" w:type="dxa"/>
          </w:tcPr>
          <w:p w14:paraId="614C3232" w14:textId="6B2A7301" w:rsidR="00160C98" w:rsidRPr="00E1558E" w:rsidRDefault="00CC7CAF" w:rsidP="00CC7CAF">
            <w:pPr>
              <w:pStyle w:val="enumlev1"/>
            </w:pPr>
            <w:bookmarkStart w:id="20" w:name="lt_pId088"/>
            <w:r w:rsidRPr="00E1558E">
              <w:t>–</w:t>
            </w:r>
            <w:r w:rsidRPr="00E1558E">
              <w:tab/>
            </w:r>
            <w:r w:rsidR="00160C98" w:rsidRPr="00E1558E">
              <w:t>Directeur du BR:</w:t>
            </w:r>
            <w:bookmarkEnd w:id="20"/>
          </w:p>
        </w:tc>
        <w:tc>
          <w:tcPr>
            <w:tcW w:w="5517" w:type="dxa"/>
          </w:tcPr>
          <w:p w14:paraId="432EA392" w14:textId="08B1BFFF" w:rsidR="00160C98" w:rsidRPr="00E1558E" w:rsidRDefault="00160C98" w:rsidP="00CC7CAF">
            <w:pPr>
              <w:pStyle w:val="enumlev1"/>
            </w:pPr>
            <w:bookmarkStart w:id="21" w:name="lt_pId089"/>
            <w:r w:rsidRPr="00E1558E">
              <w:t>M. Mario MANIEWICZ (Uruguay)</w:t>
            </w:r>
            <w:bookmarkEnd w:id="21"/>
          </w:p>
        </w:tc>
      </w:tr>
      <w:tr w:rsidR="00160C98" w:rsidRPr="00E1558E" w14:paraId="21B69DB2" w14:textId="77777777" w:rsidTr="003D178B">
        <w:tc>
          <w:tcPr>
            <w:tcW w:w="3402" w:type="dxa"/>
          </w:tcPr>
          <w:p w14:paraId="6A4BABAC" w14:textId="7C679AC9" w:rsidR="00160C98" w:rsidRPr="00E1558E" w:rsidRDefault="00CC7CAF" w:rsidP="00CC7CAF">
            <w:pPr>
              <w:pStyle w:val="enumlev1"/>
            </w:pPr>
            <w:bookmarkStart w:id="22" w:name="lt_pId090"/>
            <w:r w:rsidRPr="00E1558E">
              <w:t>–</w:t>
            </w:r>
            <w:r w:rsidRPr="00E1558E">
              <w:tab/>
            </w:r>
            <w:r w:rsidR="00160C98" w:rsidRPr="00E1558E">
              <w:t>Directeur du TSB:</w:t>
            </w:r>
            <w:bookmarkEnd w:id="22"/>
          </w:p>
        </w:tc>
        <w:tc>
          <w:tcPr>
            <w:tcW w:w="5517" w:type="dxa"/>
          </w:tcPr>
          <w:p w14:paraId="7405E888" w14:textId="5F1A2604" w:rsidR="00160C98" w:rsidRPr="00E1558E" w:rsidRDefault="00160C98" w:rsidP="00CC7CAF">
            <w:pPr>
              <w:pStyle w:val="enumlev1"/>
            </w:pPr>
            <w:r w:rsidRPr="00E1558E">
              <w:t>M. Seizo ONOE (Japon)</w:t>
            </w:r>
          </w:p>
        </w:tc>
      </w:tr>
      <w:tr w:rsidR="00160C98" w:rsidRPr="00E1558E" w14:paraId="426E9B8F" w14:textId="77777777" w:rsidTr="003D178B">
        <w:tc>
          <w:tcPr>
            <w:tcW w:w="3402" w:type="dxa"/>
          </w:tcPr>
          <w:p w14:paraId="75CC8BE7" w14:textId="0A5932FE" w:rsidR="00160C98" w:rsidRPr="00E1558E" w:rsidRDefault="00CC7CAF" w:rsidP="00CC7CAF">
            <w:pPr>
              <w:pStyle w:val="enumlev1"/>
            </w:pPr>
            <w:bookmarkStart w:id="23" w:name="lt_pId092"/>
            <w:r w:rsidRPr="00E1558E">
              <w:t>–</w:t>
            </w:r>
            <w:r w:rsidRPr="00E1558E">
              <w:tab/>
            </w:r>
            <w:r w:rsidR="00160C98" w:rsidRPr="00E1558E">
              <w:t>Directeur du BDT:</w:t>
            </w:r>
            <w:bookmarkEnd w:id="23"/>
          </w:p>
        </w:tc>
        <w:tc>
          <w:tcPr>
            <w:tcW w:w="5517" w:type="dxa"/>
          </w:tcPr>
          <w:p w14:paraId="43201FBE" w14:textId="5DF1792C" w:rsidR="00160C98" w:rsidRPr="00E1558E" w:rsidRDefault="00160C98" w:rsidP="00CC7CAF">
            <w:pPr>
              <w:pStyle w:val="enumlev1"/>
            </w:pPr>
            <w:r w:rsidRPr="00E1558E">
              <w:t>M. Cosmas ZAVAZAVA (Zimbabwe)</w:t>
            </w:r>
          </w:p>
        </w:tc>
      </w:tr>
    </w:tbl>
    <w:p w14:paraId="291C8555" w14:textId="583AD361" w:rsidR="007D5A3F" w:rsidRPr="00E1558E" w:rsidRDefault="007D5A3F" w:rsidP="003B73A1">
      <w:pPr>
        <w:rPr>
          <w:bCs/>
        </w:rPr>
      </w:pPr>
      <w:bookmarkStart w:id="24" w:name="lt_pId094"/>
      <w:r w:rsidRPr="00E1558E">
        <w:t>La Conférence a également élu les États Membres du Conseil et les membres du Comité du Règlement des radiocommunications.</w:t>
      </w:r>
      <w:bookmarkEnd w:id="24"/>
      <w:r w:rsidRPr="00E1558E">
        <w:t xml:space="preserve"> Toutes les informations, y compris les biographies des candidats, les entretiens et des précisions concernant chaque tour de scrutin sont disponibles à l</w:t>
      </w:r>
      <w:r w:rsidR="00803917" w:rsidRPr="00E1558E">
        <w:t>'</w:t>
      </w:r>
      <w:r w:rsidRPr="00E1558E">
        <w:t xml:space="preserve">adresse: </w:t>
      </w:r>
      <w:hyperlink r:id="rId22" w:history="1">
        <w:r w:rsidRPr="00E1558E">
          <w:rPr>
            <w:rStyle w:val="Hyperlink"/>
          </w:rPr>
          <w:t>https://pp22.itu.int/en/elections/elections-results/</w:t>
        </w:r>
      </w:hyperlink>
      <w:r w:rsidRPr="00E1558E">
        <w:t xml:space="preserve">. </w:t>
      </w:r>
      <w:r w:rsidR="004E70A0" w:rsidRPr="00E1558E">
        <w:t>Les candidats ont été invités à présenter une déclaration d</w:t>
      </w:r>
      <w:r w:rsidR="00803917" w:rsidRPr="00E1558E">
        <w:t>'</w:t>
      </w:r>
      <w:r w:rsidR="004E70A0" w:rsidRPr="00E1558E">
        <w:t>intention et un curriculum vitae, qui ont été publiés ensemble à titre de document officiel de la conférence. La plupart des candidats ont a</w:t>
      </w:r>
      <w:r w:rsidR="00014D2C" w:rsidRPr="00E1558E">
        <w:t>ussi communiqué</w:t>
      </w:r>
      <w:r w:rsidR="004E70A0" w:rsidRPr="00E1558E">
        <w:t xml:space="preserve"> une brochure au format pdf </w:t>
      </w:r>
      <w:r w:rsidR="00164A4A" w:rsidRPr="00E1558E">
        <w:t>et même, dans certains cas,</w:t>
      </w:r>
      <w:r w:rsidR="004E70A0" w:rsidRPr="00E1558E">
        <w:t xml:space="preserve"> un lien vers une vidéo de présentation ou leur propre site web de campagne. Une édition spéciale des Nouvelles de l</w:t>
      </w:r>
      <w:r w:rsidR="00803917" w:rsidRPr="00E1558E">
        <w:t>'</w:t>
      </w:r>
      <w:r w:rsidR="004E70A0" w:rsidRPr="00E1558E">
        <w:t>UIT est parue sur les élections et les candidats</w:t>
      </w:r>
      <w:r w:rsidRPr="00E1558E">
        <w:rPr>
          <w:bCs/>
        </w:rPr>
        <w:t>.</w:t>
      </w:r>
      <w:bookmarkStart w:id="25" w:name="lt_pId096"/>
      <w:r w:rsidR="00BE096F" w:rsidRPr="00E1558E">
        <w:t xml:space="preserve"> </w:t>
      </w:r>
      <w:r w:rsidR="004E70A0" w:rsidRPr="00E1558E">
        <w:rPr>
          <w:bCs/>
        </w:rPr>
        <w:t>L</w:t>
      </w:r>
      <w:r w:rsidR="00BE096F" w:rsidRPr="00E1558E">
        <w:rPr>
          <w:bCs/>
        </w:rPr>
        <w:t xml:space="preserve">es </w:t>
      </w:r>
      <w:hyperlink r:id="rId23" w:history="1">
        <w:r w:rsidR="00BE096F" w:rsidRPr="00E1558E">
          <w:rPr>
            <w:rStyle w:val="Hyperlink"/>
            <w:bCs/>
          </w:rPr>
          <w:t>lignes directrices en matière d</w:t>
        </w:r>
        <w:r w:rsidR="00803917" w:rsidRPr="00E1558E">
          <w:rPr>
            <w:rStyle w:val="Hyperlink"/>
            <w:bCs/>
          </w:rPr>
          <w:t>'</w:t>
        </w:r>
        <w:r w:rsidR="00BE096F" w:rsidRPr="00E1558E">
          <w:rPr>
            <w:rStyle w:val="Hyperlink"/>
            <w:bCs/>
          </w:rPr>
          <w:t>éthique</w:t>
        </w:r>
      </w:hyperlink>
      <w:r w:rsidR="00BE096F" w:rsidRPr="00E1558E">
        <w:rPr>
          <w:bCs/>
        </w:rPr>
        <w:t xml:space="preserve"> ont été publiées sur le site web de la PP-22.</w:t>
      </w:r>
      <w:bookmarkEnd w:id="25"/>
    </w:p>
    <w:p w14:paraId="2BD57203" w14:textId="5763CB4D" w:rsidR="00BE096F" w:rsidRPr="00E1558E" w:rsidRDefault="00BE096F" w:rsidP="003B73A1">
      <w:r w:rsidRPr="00E1558E">
        <w:t>11</w:t>
      </w:r>
      <w:r w:rsidRPr="00E1558E">
        <w:tab/>
      </w:r>
      <w:bookmarkStart w:id="26" w:name="lt_pId098"/>
      <w:r w:rsidRPr="00E1558E">
        <w:t>Au total, 119 déclarations de politique générale ont été prononcées à la PP-22.</w:t>
      </w:r>
      <w:bookmarkEnd w:id="26"/>
      <w:r w:rsidRPr="00E1558E">
        <w:t xml:space="preserve"> </w:t>
      </w:r>
      <w:r w:rsidR="00014D2C" w:rsidRPr="00E1558E">
        <w:t>Les</w:t>
      </w:r>
      <w:r w:rsidR="00160C98" w:rsidRPr="00E1558E">
        <w:t> </w:t>
      </w:r>
      <w:r w:rsidR="00014D2C" w:rsidRPr="00E1558E">
        <w:t xml:space="preserve">orateurs ont prononcé leurs déclarations depuis la tribune. Une fois prononcées, les déclarations ont été publiées sur le </w:t>
      </w:r>
      <w:hyperlink r:id="rId24" w:history="1">
        <w:r w:rsidR="00014D2C" w:rsidRPr="00E1558E">
          <w:rPr>
            <w:rStyle w:val="Hyperlink"/>
          </w:rPr>
          <w:t xml:space="preserve">site web de la </w:t>
        </w:r>
        <w:r w:rsidR="00AA36FB" w:rsidRPr="00E1558E">
          <w:rPr>
            <w:rStyle w:val="Hyperlink"/>
          </w:rPr>
          <w:t>P-22</w:t>
        </w:r>
      </w:hyperlink>
      <w:r w:rsidR="00AA36FB" w:rsidRPr="00E1558E">
        <w:t>.</w:t>
      </w:r>
    </w:p>
    <w:p w14:paraId="42920FD2" w14:textId="5A1C380C" w:rsidR="00AA36FB" w:rsidRPr="00E1558E" w:rsidRDefault="00AA36FB" w:rsidP="003B73A1">
      <w:r w:rsidRPr="00E1558E">
        <w:t>12</w:t>
      </w:r>
      <w:r w:rsidRPr="00E1558E">
        <w:tab/>
      </w:r>
      <w:bookmarkStart w:id="27" w:name="lt_pId104"/>
      <w:r w:rsidRPr="00E1558E">
        <w:t>Les États Membres ont été encouragés à utiliser l</w:t>
      </w:r>
      <w:r w:rsidR="00803917" w:rsidRPr="00E1558E">
        <w:t>'</w:t>
      </w:r>
      <w:r w:rsidRPr="00E1558E">
        <w:t xml:space="preserve">Interface pour les propositions aux conférences (CPI) pour soumettre leurs propositions </w:t>
      </w:r>
      <w:r w:rsidR="00164A4A" w:rsidRPr="00E1558E">
        <w:t>concernant</w:t>
      </w:r>
      <w:r w:rsidRPr="00E1558E">
        <w:t xml:space="preserve"> les travaux de la Conférence.</w:t>
      </w:r>
      <w:bookmarkEnd w:id="27"/>
      <w:r w:rsidRPr="00E1558E">
        <w:t xml:space="preserve"> </w:t>
      </w:r>
      <w:r w:rsidR="00014D2C" w:rsidRPr="00E1558E">
        <w:t>Le nombre total de propositions reçues pour la PP-22 a atteint 211, dont 2 ont été retirées avant la fin de la conférence, ce qui a représenté 1 503 pages originales au total.</w:t>
      </w:r>
    </w:p>
    <w:p w14:paraId="7961DA2E" w14:textId="4C19712E" w:rsidR="00AA36FB" w:rsidRPr="00E1558E" w:rsidRDefault="00AA36FB" w:rsidP="003B73A1">
      <w:r w:rsidRPr="00E1558E">
        <w:t>13</w:t>
      </w:r>
      <w:r w:rsidRPr="00E1558E">
        <w:tab/>
      </w:r>
      <w:bookmarkStart w:id="28" w:name="lt_pId111"/>
      <w:r w:rsidRPr="00E1558E">
        <w:t xml:space="preserve">La PP-22 a adopté </w:t>
      </w:r>
      <w:r w:rsidR="00164A4A" w:rsidRPr="00E1558E">
        <w:t>6</w:t>
      </w:r>
      <w:r w:rsidRPr="00E1558E">
        <w:t xml:space="preserve"> nouvelles Résolutions, révisé </w:t>
      </w:r>
      <w:r w:rsidR="00164A4A" w:rsidRPr="00E1558E">
        <w:t xml:space="preserve">2 </w:t>
      </w:r>
      <w:r w:rsidRPr="00E1558E">
        <w:t xml:space="preserve">Décisions et 57 Résolutions et supprimé </w:t>
      </w:r>
      <w:r w:rsidR="00164A4A" w:rsidRPr="00E1558E">
        <w:t xml:space="preserve">1 </w:t>
      </w:r>
      <w:r w:rsidRPr="00E1558E">
        <w:t>Résolution.</w:t>
      </w:r>
      <w:bookmarkEnd w:id="28"/>
      <w:r w:rsidRPr="00E1558E">
        <w:t xml:space="preserve"> </w:t>
      </w:r>
      <w:bookmarkStart w:id="29" w:name="lt_pId112"/>
      <w:r w:rsidRPr="00E1558E">
        <w:t>Ni la Constitution, ni la Convention n</w:t>
      </w:r>
      <w:r w:rsidR="00803917" w:rsidRPr="00E1558E">
        <w:t>'</w:t>
      </w:r>
      <w:r w:rsidRPr="00E1558E">
        <w:t>ont été modifiées.</w:t>
      </w:r>
      <w:bookmarkEnd w:id="29"/>
      <w:r w:rsidRPr="00E1558E">
        <w:t xml:space="preserve"> </w:t>
      </w:r>
      <w:bookmarkStart w:id="30" w:name="lt_pId113"/>
      <w:r w:rsidRPr="00E1558E">
        <w:t>Les Actes finals de la PP-22 sont accessibles sur le site web de l</w:t>
      </w:r>
      <w:r w:rsidR="00803917" w:rsidRPr="00E1558E">
        <w:t>'</w:t>
      </w:r>
      <w:r w:rsidRPr="00E1558E">
        <w:t>UIT à l</w:t>
      </w:r>
      <w:r w:rsidR="00803917" w:rsidRPr="00E1558E">
        <w:t>'</w:t>
      </w:r>
      <w:r w:rsidRPr="00E1558E">
        <w:t xml:space="preserve">adresse </w:t>
      </w:r>
      <w:hyperlink r:id="rId25" w:history="1">
        <w:r w:rsidRPr="00E1558E">
          <w:rPr>
            <w:rStyle w:val="Hyperlink"/>
          </w:rPr>
          <w:t>https://www.itu.int/pub/S-CONF-ACTF-2022</w:t>
        </w:r>
      </w:hyperlink>
      <w:r w:rsidRPr="00E1558E">
        <w:t>.</w:t>
      </w:r>
      <w:bookmarkStart w:id="31" w:name="lt_pId186"/>
      <w:bookmarkEnd w:id="30"/>
      <w:r w:rsidRPr="00E1558E">
        <w:t xml:space="preserve"> </w:t>
      </w:r>
      <w:r w:rsidR="0026617E" w:rsidRPr="00E1558E">
        <w:t xml:space="preserve">Les </w:t>
      </w:r>
      <w:r w:rsidRPr="00E1558E">
        <w:t xml:space="preserve">décisions adoptées par la </w:t>
      </w:r>
      <w:r w:rsidR="0026617E" w:rsidRPr="00E1558E">
        <w:t xml:space="preserve">PP-22 </w:t>
      </w:r>
      <w:r w:rsidRPr="00E1558E">
        <w:t>ont été consignées dans les procès-verbaux des séances plénières de la conférence, en particulier les décisions fondées sur les recommandations des Commissions</w:t>
      </w:r>
      <w:r w:rsidR="0026617E" w:rsidRPr="00E1558E">
        <w:t xml:space="preserve"> et du Groupe de travail de la p</w:t>
      </w:r>
      <w:r w:rsidRPr="00E1558E">
        <w:t>lénière (</w:t>
      </w:r>
      <w:r w:rsidR="0026617E" w:rsidRPr="00E1558E">
        <w:t>voir</w:t>
      </w:r>
      <w:r w:rsidRPr="00E1558E">
        <w:t xml:space="preserve"> </w:t>
      </w:r>
      <w:hyperlink r:id="rId26" w:history="1">
        <w:r w:rsidRPr="00E1558E">
          <w:rPr>
            <w:rStyle w:val="Hyperlink"/>
          </w:rPr>
          <w:t>C23/INF/1</w:t>
        </w:r>
      </w:hyperlink>
      <w:r w:rsidRPr="00E1558E">
        <w:t>).</w:t>
      </w:r>
      <w:bookmarkEnd w:id="31"/>
      <w:r w:rsidRPr="00E1558E">
        <w:t xml:space="preserve"> </w:t>
      </w:r>
      <w:r w:rsidR="0026617E" w:rsidRPr="00E1558E">
        <w:t xml:space="preserve">Parmi celles-ci, la recommandation 4 de la </w:t>
      </w:r>
      <w:r w:rsidRPr="00E1558E">
        <w:t>Commission 5</w:t>
      </w:r>
      <w:r w:rsidR="0026617E" w:rsidRPr="00E1558E">
        <w:t>, adoptée à la 1</w:t>
      </w:r>
      <w:r w:rsidR="00160C98" w:rsidRPr="00E1558E">
        <w:t>6ème</w:t>
      </w:r>
      <w:r w:rsidR="0026617E" w:rsidRPr="00E1558E">
        <w:t xml:space="preserve"> séance plénière, charge </w:t>
      </w:r>
      <w:r w:rsidRPr="00E1558E">
        <w:t>le Conseil d</w:t>
      </w:r>
      <w:r w:rsidR="00803917" w:rsidRPr="00E1558E">
        <w:t>'</w:t>
      </w:r>
      <w:r w:rsidRPr="00E1558E">
        <w:t>examiner la question de la conduite des campagnes électorales et procédures d</w:t>
      </w:r>
      <w:r w:rsidR="00803917" w:rsidRPr="00E1558E">
        <w:t>'</w:t>
      </w:r>
      <w:r w:rsidRPr="00E1558E">
        <w:t>élection du Secrétaire général, du Vice</w:t>
      </w:r>
      <w:r w:rsidRPr="00E1558E">
        <w:noBreakHyphen/>
        <w:t>Secrétaire général, des Directeurs des Bureaux des Secteurs et des membres du Comité du Règlement des radiocommunications, tout en veillant à ce que tous les candidats aient la possibilité de participer conformément aux principes d</w:t>
      </w:r>
      <w:r w:rsidR="00803917" w:rsidRPr="00E1558E">
        <w:t>'</w:t>
      </w:r>
      <w:r w:rsidRPr="00E1558E">
        <w:t>équité, de transparence, d</w:t>
      </w:r>
      <w:r w:rsidR="00803917" w:rsidRPr="00E1558E">
        <w:t>'</w:t>
      </w:r>
      <w:r w:rsidRPr="00E1558E">
        <w:t xml:space="preserve">intégrité et </w:t>
      </w:r>
      <w:r w:rsidR="0026617E" w:rsidRPr="00E1558E">
        <w:t>d</w:t>
      </w:r>
      <w:r w:rsidR="00803917" w:rsidRPr="00E1558E">
        <w:t>'</w:t>
      </w:r>
      <w:r w:rsidRPr="00E1558E">
        <w:t>impartialité régissant la conduite des campagnes électorales.</w:t>
      </w:r>
    </w:p>
    <w:p w14:paraId="4011FE2E" w14:textId="2757C13B" w:rsidR="00AA36FB" w:rsidRPr="00E1558E" w:rsidRDefault="00AA36FB" w:rsidP="003B73A1">
      <w:r w:rsidRPr="00E1558E">
        <w:t>14</w:t>
      </w:r>
      <w:r w:rsidRPr="00E1558E">
        <w:tab/>
      </w:r>
      <w:r w:rsidR="00915234" w:rsidRPr="00E1558E">
        <w:t xml:space="preserve">Un certain nombre de manifestations parallèles ont eu lieu pendant la </w:t>
      </w:r>
      <w:r w:rsidRPr="00E1558E">
        <w:t xml:space="preserve">PP-22, </w:t>
      </w:r>
      <w:r w:rsidR="00915234" w:rsidRPr="00E1558E">
        <w:t>parmi lesquelles</w:t>
      </w:r>
      <w:r w:rsidRPr="00E1558E">
        <w:t>:</w:t>
      </w:r>
    </w:p>
    <w:p w14:paraId="0D50EF33" w14:textId="36CC874E" w:rsidR="00AA36FB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915234" w:rsidRPr="00E1558E">
        <w:t xml:space="preserve">une table ronde ministérielle sur le thème </w:t>
      </w:r>
      <w:r w:rsidR="00160C98" w:rsidRPr="00E1558E">
        <w:t>"</w:t>
      </w:r>
      <w:r w:rsidR="00915234" w:rsidRPr="00E1558E">
        <w:t>Bâtir un meilleur avenir numérique pour tous</w:t>
      </w:r>
      <w:r w:rsidR="00160C98" w:rsidRPr="00E1558E">
        <w:t>"</w:t>
      </w:r>
      <w:r w:rsidR="00915234" w:rsidRPr="00E1558E">
        <w:t>, organisée par le pays hôte;</w:t>
      </w:r>
    </w:p>
    <w:p w14:paraId="35DFF282" w14:textId="355923DF" w:rsidR="00915234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915234" w:rsidRPr="00E1558E">
        <w:t xml:space="preserve">une réunion-petit déjeuner de rencontres professionnelles de haut niveau </w:t>
      </w:r>
      <w:r w:rsidR="00E6421E" w:rsidRPr="00E1558E">
        <w:t xml:space="preserve">pour les femmes, </w:t>
      </w:r>
      <w:r w:rsidR="00915234" w:rsidRPr="00E1558E">
        <w:t>parrainée par le Gouvernement de l</w:t>
      </w:r>
      <w:r w:rsidR="00803917" w:rsidRPr="00E1558E">
        <w:t>'</w:t>
      </w:r>
      <w:r w:rsidR="00E6421E" w:rsidRPr="00E1558E">
        <w:t>Australie</w:t>
      </w:r>
      <w:r w:rsidRPr="00E1558E">
        <w:t>;</w:t>
      </w:r>
    </w:p>
    <w:p w14:paraId="7C9C55BD" w14:textId="2771D12C" w:rsidR="00AA36FB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E6421E" w:rsidRPr="00E1558E">
        <w:t>des dialogues entre les générations sur l</w:t>
      </w:r>
      <w:r w:rsidR="00803917" w:rsidRPr="00E1558E">
        <w:t>'</w:t>
      </w:r>
      <w:r w:rsidR="00E6421E" w:rsidRPr="00E1558E">
        <w:t>éducation, les emplois de demain, les compétences numériques et la réduction des disparités hommes-femmes dans le domaine du numérique;</w:t>
      </w:r>
    </w:p>
    <w:p w14:paraId="14923092" w14:textId="1B124A51" w:rsidR="00AA36FB" w:rsidRPr="00E1558E" w:rsidRDefault="00AA36FB" w:rsidP="003B73A1">
      <w:pPr>
        <w:pStyle w:val="enumlev1"/>
      </w:pPr>
      <w:r w:rsidRPr="00E1558E">
        <w:t>–</w:t>
      </w:r>
      <w:r w:rsidRPr="00E1558E">
        <w:tab/>
      </w:r>
      <w:r w:rsidR="00E6421E" w:rsidRPr="00E1558E">
        <w:t xml:space="preserve">un atelier sur le thème </w:t>
      </w:r>
      <w:r w:rsidR="00160C98" w:rsidRPr="00E1558E">
        <w:t>"</w:t>
      </w:r>
      <w:r w:rsidR="00E6421E" w:rsidRPr="00E1558E">
        <w:t>Participation effective des jeunes: former la prochaine génération de délégués de l</w:t>
      </w:r>
      <w:r w:rsidR="00803917" w:rsidRPr="00E1558E">
        <w:t>'</w:t>
      </w:r>
      <w:r w:rsidR="00E6421E" w:rsidRPr="00E1558E">
        <w:t>UIT</w:t>
      </w:r>
      <w:r w:rsidR="00160C98" w:rsidRPr="00E1558E">
        <w:t>"</w:t>
      </w:r>
      <w:r w:rsidR="00E6421E" w:rsidRPr="00E1558E">
        <w:t>, au titre d</w:t>
      </w:r>
      <w:r w:rsidR="00803917" w:rsidRPr="00E1558E">
        <w:t>'</w:t>
      </w:r>
      <w:r w:rsidR="00E6421E" w:rsidRPr="00E1558E">
        <w:t>un projet financé par les gouvernements du Canada et de l</w:t>
      </w:r>
      <w:r w:rsidR="00803917" w:rsidRPr="00E1558E">
        <w:t>'</w:t>
      </w:r>
      <w:r w:rsidR="00E6421E" w:rsidRPr="00E1558E">
        <w:t>Australie, en coordination avec le pays hôte, pour promouvoir la participation des jeunes à la conférence.</w:t>
      </w:r>
    </w:p>
    <w:p w14:paraId="475DFCB9" w14:textId="734DCDA9" w:rsidR="00AA36FB" w:rsidRPr="00E1558E" w:rsidRDefault="00AA36FB" w:rsidP="003B73A1">
      <w:pPr>
        <w:rPr>
          <w:bCs/>
        </w:rPr>
      </w:pPr>
      <w:r w:rsidRPr="00E1558E">
        <w:t>15</w:t>
      </w:r>
      <w:r w:rsidRPr="00E1558E">
        <w:tab/>
      </w:r>
      <w:r w:rsidR="00E6421E" w:rsidRPr="00E1558E">
        <w:t xml:space="preserve">Un </w:t>
      </w:r>
      <w:hyperlink r:id="rId27" w:history="1">
        <w:r w:rsidR="00E6421E" w:rsidRPr="00E1558E">
          <w:rPr>
            <w:rStyle w:val="Hyperlink"/>
          </w:rPr>
          <w:t>plan de respect de l</w:t>
        </w:r>
        <w:r w:rsidR="00803917" w:rsidRPr="00E1558E">
          <w:rPr>
            <w:rStyle w:val="Hyperlink"/>
          </w:rPr>
          <w:t>'</w:t>
        </w:r>
        <w:r w:rsidR="00E6421E" w:rsidRPr="00E1558E">
          <w:rPr>
            <w:rStyle w:val="Hyperlink"/>
          </w:rPr>
          <w:t>environnement</w:t>
        </w:r>
      </w:hyperlink>
      <w:r w:rsidR="00E6421E" w:rsidRPr="00E1558E">
        <w:t xml:space="preserve"> a été établi et la liste de vérification de l</w:t>
      </w:r>
      <w:r w:rsidR="00803917" w:rsidRPr="00E1558E">
        <w:t>'</w:t>
      </w:r>
      <w:r w:rsidR="00E6421E" w:rsidRPr="00E1558E">
        <w:t xml:space="preserve">UIT concernant les manifestations écologiques a été dûment suivie. </w:t>
      </w:r>
      <w:r w:rsidR="009651C6" w:rsidRPr="00E1558E">
        <w:t>Un effort général a été fait pour que la conférence soit aussi respectueuse de l</w:t>
      </w:r>
      <w:r w:rsidR="00803917" w:rsidRPr="00E1558E">
        <w:t>'</w:t>
      </w:r>
      <w:r w:rsidR="009651C6" w:rsidRPr="00E1558E">
        <w:t xml:space="preserve">environnement que possible, </w:t>
      </w:r>
      <w:r w:rsidR="00164A4A" w:rsidRPr="00E1558E">
        <w:t xml:space="preserve">associant </w:t>
      </w:r>
      <w:r w:rsidR="009651C6" w:rsidRPr="00E1558E">
        <w:t xml:space="preserve">le </w:t>
      </w:r>
      <w:r w:rsidR="00E6421E" w:rsidRPr="00E1558E">
        <w:t>secrétariat de l</w:t>
      </w:r>
      <w:r w:rsidR="00803917" w:rsidRPr="00E1558E">
        <w:t>'</w:t>
      </w:r>
      <w:r w:rsidR="00E6421E" w:rsidRPr="00E1558E">
        <w:t xml:space="preserve">UIT, </w:t>
      </w:r>
      <w:r w:rsidR="009651C6" w:rsidRPr="00E1558E">
        <w:t xml:space="preserve">le </w:t>
      </w:r>
      <w:r w:rsidR="00E6421E" w:rsidRPr="00E1558E">
        <w:t xml:space="preserve">pays hôte, </w:t>
      </w:r>
      <w:r w:rsidR="009651C6" w:rsidRPr="00E1558E">
        <w:t xml:space="preserve">les </w:t>
      </w:r>
      <w:r w:rsidR="00E6421E" w:rsidRPr="00E1558E">
        <w:t xml:space="preserve">États membres participants et </w:t>
      </w:r>
      <w:r w:rsidR="009651C6" w:rsidRPr="00E1558E">
        <w:t xml:space="preserve">les </w:t>
      </w:r>
      <w:r w:rsidR="00E6421E" w:rsidRPr="00E1558E">
        <w:t>délégués eux</w:t>
      </w:r>
      <w:r w:rsidR="00EC1495" w:rsidRPr="00E1558E">
        <w:noBreakHyphen/>
      </w:r>
      <w:r w:rsidR="00E6421E" w:rsidRPr="00E1558E">
        <w:t>mêmes</w:t>
      </w:r>
      <w:r w:rsidRPr="00E1558E">
        <w:rPr>
          <w:bCs/>
        </w:rPr>
        <w:t>.</w:t>
      </w:r>
    </w:p>
    <w:p w14:paraId="7BB51B12" w14:textId="06E67EB5" w:rsidR="00AA36FB" w:rsidRPr="00E1558E" w:rsidRDefault="00AA36FB" w:rsidP="003B73A1">
      <w:r w:rsidRPr="00E1558E">
        <w:rPr>
          <w:bCs/>
        </w:rPr>
        <w:t>16</w:t>
      </w:r>
      <w:r w:rsidRPr="00E1558E">
        <w:rPr>
          <w:bCs/>
        </w:rPr>
        <w:tab/>
      </w:r>
      <w:r w:rsidR="009651C6" w:rsidRPr="00E1558E">
        <w:t xml:space="preserve">Un </w:t>
      </w:r>
      <w:hyperlink r:id="rId28" w:history="1">
        <w:r w:rsidR="009651C6" w:rsidRPr="00E1558E">
          <w:rPr>
            <w:rStyle w:val="Hyperlink"/>
          </w:rPr>
          <w:t>plan de manifestation intégrant le principe de l</w:t>
        </w:r>
        <w:r w:rsidR="00803917" w:rsidRPr="00E1558E">
          <w:rPr>
            <w:rStyle w:val="Hyperlink"/>
          </w:rPr>
          <w:t>'</w:t>
        </w:r>
        <w:r w:rsidR="009651C6" w:rsidRPr="00E1558E">
          <w:rPr>
            <w:rStyle w:val="Hyperlink"/>
          </w:rPr>
          <w:t>égalité hommes-femmes</w:t>
        </w:r>
      </w:hyperlink>
      <w:r w:rsidR="009651C6" w:rsidRPr="00E1558E">
        <w:t xml:space="preserve"> a été établi pour faire en sorte que cette dimension soit respectée avant, pendant et après la conférence. Parmi les délégués présents </w:t>
      </w:r>
      <w:r w:rsidR="00164A4A" w:rsidRPr="00E1558E">
        <w:t>sur place</w:t>
      </w:r>
      <w:r w:rsidR="009651C6" w:rsidRPr="00E1558E">
        <w:t>, environ 33% étaient des femmes, ce qui ne représente pas seulement une augmentation de 4% par rapport à la PP-18, mais est aussi très proche de l</w:t>
      </w:r>
      <w:r w:rsidR="00803917" w:rsidRPr="00E1558E">
        <w:t>'</w:t>
      </w:r>
      <w:r w:rsidR="009651C6" w:rsidRPr="00E1558E">
        <w:t>objectif de 35% qui avait été fixé. Parmi les délégués présents à distance, il</w:t>
      </w:r>
      <w:r w:rsidR="00E1558E" w:rsidRPr="00E1558E">
        <w:t> </w:t>
      </w:r>
      <w:r w:rsidR="009651C6" w:rsidRPr="00E1558E">
        <w:t>y</w:t>
      </w:r>
      <w:r w:rsidR="00EC1495" w:rsidRPr="00E1558E">
        <w:t> </w:t>
      </w:r>
      <w:r w:rsidR="009651C6" w:rsidRPr="00E1558E">
        <w:t>a eu 43% de femmes, qui ont pris part aussi bien aux débats de fond qu</w:t>
      </w:r>
      <w:r w:rsidR="00803917" w:rsidRPr="00E1558E">
        <w:t>'</w:t>
      </w:r>
      <w:r w:rsidR="009651C6" w:rsidRPr="00E1558E">
        <w:t>aux négociations</w:t>
      </w:r>
      <w:r w:rsidRPr="00E1558E">
        <w:t xml:space="preserve">. </w:t>
      </w:r>
      <w:r w:rsidR="00EC6B1B" w:rsidRPr="00E1558E">
        <w:t>D</w:t>
      </w:r>
      <w:r w:rsidR="00AE51E8" w:rsidRPr="00E1558E">
        <w:t xml:space="preserve">eux commissions chargées des questions de fond </w:t>
      </w:r>
      <w:r w:rsidR="00EC6B1B" w:rsidRPr="00E1558E">
        <w:t>ont été présidées par des déléguées: la Commission</w:t>
      </w:r>
      <w:r w:rsidR="00EC1495" w:rsidRPr="00E1558E">
        <w:t> </w:t>
      </w:r>
      <w:r w:rsidR="00EC6B1B" w:rsidRPr="00E1558E">
        <w:t xml:space="preserve">5 </w:t>
      </w:r>
      <w:r w:rsidR="00AE51E8" w:rsidRPr="00E1558E">
        <w:t>(Pol</w:t>
      </w:r>
      <w:r w:rsidR="00EC6B1B" w:rsidRPr="00E1558E">
        <w:t>itique et questions juridiques</w:t>
      </w:r>
      <w:r w:rsidR="00AE51E8" w:rsidRPr="00E1558E">
        <w:t xml:space="preserve">) et </w:t>
      </w:r>
      <w:r w:rsidR="00EC6B1B" w:rsidRPr="00E1558E">
        <w:t xml:space="preserve">la Commission 6 </w:t>
      </w:r>
      <w:r w:rsidR="00AE51E8" w:rsidRPr="00E1558E">
        <w:t>(</w:t>
      </w:r>
      <w:r w:rsidR="00EC6B1B" w:rsidRPr="00E1558E">
        <w:t>Administration et gestion). Parmi les 38 groupes ad hoc, groupes de rédaction et groupes informels, 13 ont été présidés et/ou coordonnés par des déléguées.</w:t>
      </w:r>
    </w:p>
    <w:p w14:paraId="6DDC87E2" w14:textId="37D364E0" w:rsidR="00AA36FB" w:rsidRPr="00E1558E" w:rsidRDefault="00AE51E8" w:rsidP="003B73A1">
      <w:pPr>
        <w:rPr>
          <w:u w:val="single"/>
        </w:rPr>
      </w:pPr>
      <w:r w:rsidRPr="00E1558E">
        <w:t>17</w:t>
      </w:r>
      <w:r w:rsidRPr="00E1558E">
        <w:tab/>
        <w:t>Des informations complètes sur la PP-22, y compris tous les documents, les déclarations de politique générale, les résultats des élections, des photos, des vidéos et les points forts de la Conférence, sont disponibles à l</w:t>
      </w:r>
      <w:r w:rsidR="00803917" w:rsidRPr="00E1558E">
        <w:t>'</w:t>
      </w:r>
      <w:r w:rsidRPr="00E1558E">
        <w:t xml:space="preserve">adresse: </w:t>
      </w:r>
      <w:hyperlink r:id="rId29" w:history="1">
        <w:r w:rsidR="00AA36FB" w:rsidRPr="00E1558E">
          <w:rPr>
            <w:rStyle w:val="Hyperlink"/>
          </w:rPr>
          <w:t>https://pp22.itu.int/en/</w:t>
        </w:r>
      </w:hyperlink>
      <w:r w:rsidR="00AA36FB" w:rsidRPr="00E1558E">
        <w:t>.</w:t>
      </w:r>
    </w:p>
    <w:p w14:paraId="17BF4A1F" w14:textId="28ACC19C" w:rsidR="00AA36FB" w:rsidRPr="00E1558E" w:rsidRDefault="00AE51E8" w:rsidP="003B73A1">
      <w:pPr>
        <w:jc w:val="center"/>
      </w:pPr>
      <w:r w:rsidRPr="00E1558E">
        <w:t>______________</w:t>
      </w:r>
    </w:p>
    <w:sectPr w:rsidR="00AA36FB" w:rsidRPr="00E1558E" w:rsidSect="00D72F49">
      <w:headerReference w:type="even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EC6B1B" w:rsidRDefault="00EC6B1B">
      <w:r>
        <w:separator/>
      </w:r>
    </w:p>
  </w:endnote>
  <w:endnote w:type="continuationSeparator" w:id="0">
    <w:p w14:paraId="3D4797BD" w14:textId="77777777" w:rsidR="00EC6B1B" w:rsidRDefault="00EC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7B16BF47" w:rsidR="00EC6B1B" w:rsidRDefault="0023660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C7CAF">
      <w:t>P:\FRA\SG\CONSEIL\C23\000\004F.docx</w:t>
    </w:r>
    <w:r>
      <w:fldChar w:fldCharType="end"/>
    </w:r>
    <w:r w:rsidR="00EC6B1B">
      <w:tab/>
    </w:r>
    <w:r w:rsidR="00EC6B1B">
      <w:fldChar w:fldCharType="begin"/>
    </w:r>
    <w:r w:rsidR="00EC6B1B">
      <w:instrText xml:space="preserve"> savedate \@ dd.MM.yy </w:instrText>
    </w:r>
    <w:r w:rsidR="00EC6B1B">
      <w:fldChar w:fldCharType="separate"/>
    </w:r>
    <w:r>
      <w:t>09.06.23</w:t>
    </w:r>
    <w:r w:rsidR="00EC6B1B">
      <w:fldChar w:fldCharType="end"/>
    </w:r>
    <w:r w:rsidR="00EC6B1B">
      <w:tab/>
    </w:r>
    <w:r w:rsidR="00EC6B1B">
      <w:fldChar w:fldCharType="begin"/>
    </w:r>
    <w:r w:rsidR="00EC6B1B">
      <w:instrText xml:space="preserve"> printdate \@ dd.MM.yy </w:instrText>
    </w:r>
    <w:r w:rsidR="00EC6B1B">
      <w:fldChar w:fldCharType="separate"/>
    </w:r>
    <w:r w:rsidR="00CC7CAF">
      <w:t>18.07.00</w:t>
    </w:r>
    <w:r w:rsidR="00EC6B1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C6B1B" w:rsidRPr="00784011" w14:paraId="4C87AA90" w14:textId="77777777" w:rsidTr="00EC6B1B">
      <w:trPr>
        <w:jc w:val="center"/>
      </w:trPr>
      <w:tc>
        <w:tcPr>
          <w:tcW w:w="1803" w:type="dxa"/>
          <w:vAlign w:val="center"/>
        </w:tcPr>
        <w:p w14:paraId="2C2E77A4" w14:textId="6A683FA5" w:rsidR="00EC6B1B" w:rsidRDefault="00EC6B1B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DE2ED4">
            <w:rPr>
              <w:noProof/>
            </w:rPr>
            <w:t>520354</w:t>
          </w:r>
        </w:p>
      </w:tc>
      <w:tc>
        <w:tcPr>
          <w:tcW w:w="8261" w:type="dxa"/>
        </w:tcPr>
        <w:p w14:paraId="0DB0A3C6" w14:textId="707AC5ED" w:rsidR="00EC6B1B" w:rsidRPr="00E06FD5" w:rsidRDefault="00EC6B1B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64A4A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14:paraId="0BA722AB" w14:textId="6BE2AE94" w:rsidR="00EC6B1B" w:rsidRPr="00A51849" w:rsidRDefault="0023660F" w:rsidP="00DE2ED4">
    <w:pPr>
      <w:pStyle w:val="Footer"/>
    </w:pPr>
    <w:r w:rsidRPr="0023660F">
      <w:rPr>
        <w:color w:val="F2F2F2" w:themeColor="background1" w:themeShade="F2"/>
      </w:rPr>
      <w:fldChar w:fldCharType="begin"/>
    </w:r>
    <w:r w:rsidRPr="0023660F">
      <w:rPr>
        <w:color w:val="F2F2F2" w:themeColor="background1" w:themeShade="F2"/>
      </w:rPr>
      <w:instrText xml:space="preserve"> FILENAME \p  \* MERGEFORMAT </w:instrText>
    </w:r>
    <w:r w:rsidRPr="0023660F">
      <w:rPr>
        <w:color w:val="F2F2F2" w:themeColor="background1" w:themeShade="F2"/>
      </w:rPr>
      <w:fldChar w:fldCharType="separate"/>
    </w:r>
    <w:r w:rsidR="00CC7CAF" w:rsidRPr="0023660F">
      <w:rPr>
        <w:color w:val="F2F2F2" w:themeColor="background1" w:themeShade="F2"/>
      </w:rPr>
      <w:t>P:\FRA\SG\CONSEIL\C23\000\004F.docx</w:t>
    </w:r>
    <w:r w:rsidRPr="0023660F">
      <w:rPr>
        <w:color w:val="F2F2F2" w:themeColor="background1" w:themeShade="F2"/>
      </w:rPr>
      <w:fldChar w:fldCharType="end"/>
    </w:r>
    <w:r w:rsidR="00EC6B1B" w:rsidRPr="0023660F">
      <w:rPr>
        <w:color w:val="F2F2F2" w:themeColor="background1" w:themeShade="F2"/>
      </w:rPr>
      <w:t xml:space="preserve"> (520354)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C6B1B" w:rsidRPr="00784011" w14:paraId="5C9C0095" w14:textId="77777777" w:rsidTr="00EC6B1B">
      <w:trPr>
        <w:jc w:val="center"/>
      </w:trPr>
      <w:tc>
        <w:tcPr>
          <w:tcW w:w="1803" w:type="dxa"/>
          <w:vAlign w:val="center"/>
        </w:tcPr>
        <w:p w14:paraId="5151DAA0" w14:textId="77777777" w:rsidR="00EC6B1B" w:rsidRDefault="0023660F" w:rsidP="00A51849">
          <w:pPr>
            <w:pStyle w:val="Header"/>
            <w:jc w:val="left"/>
            <w:rPr>
              <w:noProof/>
            </w:rPr>
          </w:pPr>
          <w:hyperlink r:id="rId1" w:history="1">
            <w:r w:rsidR="00EC6B1B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0ED58950" w:rsidR="00EC6B1B" w:rsidRPr="00E06FD5" w:rsidRDefault="00EC6B1B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6457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10741A4A" w:rsidR="00EC6B1B" w:rsidRPr="00A51849" w:rsidRDefault="0023660F" w:rsidP="00DE2ED4">
    <w:pPr>
      <w:pStyle w:val="Footer"/>
    </w:pPr>
    <w:r w:rsidRPr="0023660F">
      <w:rPr>
        <w:color w:val="F2F2F2" w:themeColor="background1" w:themeShade="F2"/>
      </w:rPr>
      <w:fldChar w:fldCharType="begin"/>
    </w:r>
    <w:r w:rsidRPr="0023660F">
      <w:rPr>
        <w:color w:val="F2F2F2" w:themeColor="background1" w:themeShade="F2"/>
      </w:rPr>
      <w:instrText xml:space="preserve"> FILENAME \p  \* MERGEFORMAT </w:instrText>
    </w:r>
    <w:r w:rsidRPr="0023660F">
      <w:rPr>
        <w:color w:val="F2F2F2" w:themeColor="background1" w:themeShade="F2"/>
      </w:rPr>
      <w:fldChar w:fldCharType="separate"/>
    </w:r>
    <w:r w:rsidR="00CC7CAF" w:rsidRPr="0023660F">
      <w:rPr>
        <w:color w:val="F2F2F2" w:themeColor="background1" w:themeShade="F2"/>
      </w:rPr>
      <w:t>P:\FRA\SG\CONSEIL\C23\000\004F.docx</w:t>
    </w:r>
    <w:r w:rsidRPr="0023660F">
      <w:rPr>
        <w:color w:val="F2F2F2" w:themeColor="background1" w:themeShade="F2"/>
      </w:rPr>
      <w:fldChar w:fldCharType="end"/>
    </w:r>
    <w:r w:rsidR="00EC6B1B" w:rsidRPr="0023660F">
      <w:rPr>
        <w:color w:val="F2F2F2" w:themeColor="background1" w:themeShade="F2"/>
      </w:rPr>
      <w:t xml:space="preserve"> (520354)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EC6B1B" w:rsidRDefault="00EC6B1B">
      <w:r>
        <w:t>____________________</w:t>
      </w:r>
    </w:p>
  </w:footnote>
  <w:footnote w:type="continuationSeparator" w:id="0">
    <w:p w14:paraId="073173F3" w14:textId="77777777" w:rsidR="00EC6B1B" w:rsidRDefault="00EC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EC6B1B" w:rsidRDefault="00EC6B1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0E3D5AC" w14:textId="77777777" w:rsidR="00EC6B1B" w:rsidRDefault="00EC6B1B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C6B1B" w:rsidRPr="00784011" w14:paraId="33F25067" w14:textId="77777777" w:rsidTr="00EC6B1B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EC6B1B" w:rsidRPr="009621F8" w:rsidRDefault="00EC6B1B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EC6B1B" w:rsidRDefault="00EC6B1B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EC6B1B" w:rsidRDefault="00EC6B1B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EC6B1B" w:rsidRPr="00784011" w:rsidRDefault="00EC6B1B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EC6B1B" w:rsidRDefault="00EC6B1B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14D2C"/>
    <w:rsid w:val="00076A2C"/>
    <w:rsid w:val="00091EFF"/>
    <w:rsid w:val="000A1155"/>
    <w:rsid w:val="000D0D0A"/>
    <w:rsid w:val="00102505"/>
    <w:rsid w:val="00103163"/>
    <w:rsid w:val="00106B19"/>
    <w:rsid w:val="00115D93"/>
    <w:rsid w:val="001247A8"/>
    <w:rsid w:val="001378C0"/>
    <w:rsid w:val="00160C98"/>
    <w:rsid w:val="00164A4A"/>
    <w:rsid w:val="0018694A"/>
    <w:rsid w:val="001A3287"/>
    <w:rsid w:val="001A6508"/>
    <w:rsid w:val="001D4C31"/>
    <w:rsid w:val="001E4D21"/>
    <w:rsid w:val="00207CD1"/>
    <w:rsid w:val="00226657"/>
    <w:rsid w:val="0023660F"/>
    <w:rsid w:val="002477A2"/>
    <w:rsid w:val="00263A51"/>
    <w:rsid w:val="0026617E"/>
    <w:rsid w:val="00267E02"/>
    <w:rsid w:val="00292B46"/>
    <w:rsid w:val="002A5D44"/>
    <w:rsid w:val="002B71FF"/>
    <w:rsid w:val="002E0BC4"/>
    <w:rsid w:val="002F1B76"/>
    <w:rsid w:val="0033568E"/>
    <w:rsid w:val="00355FF5"/>
    <w:rsid w:val="00361350"/>
    <w:rsid w:val="003B73A1"/>
    <w:rsid w:val="003C3FAE"/>
    <w:rsid w:val="003D178B"/>
    <w:rsid w:val="003E2BD3"/>
    <w:rsid w:val="003F3810"/>
    <w:rsid w:val="004038CB"/>
    <w:rsid w:val="0040546F"/>
    <w:rsid w:val="00406A47"/>
    <w:rsid w:val="0042404A"/>
    <w:rsid w:val="0044618F"/>
    <w:rsid w:val="0046769A"/>
    <w:rsid w:val="00475FB3"/>
    <w:rsid w:val="004C37A9"/>
    <w:rsid w:val="004D1D50"/>
    <w:rsid w:val="004E70A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97FD2"/>
    <w:rsid w:val="005B1938"/>
    <w:rsid w:val="005C3890"/>
    <w:rsid w:val="005F7BFE"/>
    <w:rsid w:val="00600017"/>
    <w:rsid w:val="006235CA"/>
    <w:rsid w:val="00644EF3"/>
    <w:rsid w:val="006643AB"/>
    <w:rsid w:val="006F0A53"/>
    <w:rsid w:val="007210CD"/>
    <w:rsid w:val="00732045"/>
    <w:rsid w:val="007369DB"/>
    <w:rsid w:val="007956C2"/>
    <w:rsid w:val="007A187E"/>
    <w:rsid w:val="007C72C2"/>
    <w:rsid w:val="007D4436"/>
    <w:rsid w:val="007D5981"/>
    <w:rsid w:val="007D5A3F"/>
    <w:rsid w:val="007F257A"/>
    <w:rsid w:val="007F3665"/>
    <w:rsid w:val="00800037"/>
    <w:rsid w:val="00803917"/>
    <w:rsid w:val="0083391C"/>
    <w:rsid w:val="00861D73"/>
    <w:rsid w:val="00897553"/>
    <w:rsid w:val="008A4E87"/>
    <w:rsid w:val="008D76E6"/>
    <w:rsid w:val="009118A4"/>
    <w:rsid w:val="00915234"/>
    <w:rsid w:val="0092392D"/>
    <w:rsid w:val="0093234A"/>
    <w:rsid w:val="00956A78"/>
    <w:rsid w:val="009651C6"/>
    <w:rsid w:val="0097363B"/>
    <w:rsid w:val="00973F53"/>
    <w:rsid w:val="009C307F"/>
    <w:rsid w:val="009C353C"/>
    <w:rsid w:val="009C7435"/>
    <w:rsid w:val="009E24CA"/>
    <w:rsid w:val="00A2113E"/>
    <w:rsid w:val="00A23A51"/>
    <w:rsid w:val="00A24607"/>
    <w:rsid w:val="00A25CD3"/>
    <w:rsid w:val="00A41643"/>
    <w:rsid w:val="00A51849"/>
    <w:rsid w:val="00A709FE"/>
    <w:rsid w:val="00A73C60"/>
    <w:rsid w:val="00A82767"/>
    <w:rsid w:val="00AA332F"/>
    <w:rsid w:val="00AA36FB"/>
    <w:rsid w:val="00AA7BBB"/>
    <w:rsid w:val="00AB64A8"/>
    <w:rsid w:val="00AC0266"/>
    <w:rsid w:val="00AD24EC"/>
    <w:rsid w:val="00AE51E8"/>
    <w:rsid w:val="00B309F9"/>
    <w:rsid w:val="00B32B60"/>
    <w:rsid w:val="00B61619"/>
    <w:rsid w:val="00B72151"/>
    <w:rsid w:val="00B93F05"/>
    <w:rsid w:val="00BB4545"/>
    <w:rsid w:val="00BD5873"/>
    <w:rsid w:val="00BE096F"/>
    <w:rsid w:val="00BF6380"/>
    <w:rsid w:val="00C04BE3"/>
    <w:rsid w:val="00C25D29"/>
    <w:rsid w:val="00C27A7C"/>
    <w:rsid w:val="00C42437"/>
    <w:rsid w:val="00CA08ED"/>
    <w:rsid w:val="00CC7CAF"/>
    <w:rsid w:val="00CF183B"/>
    <w:rsid w:val="00D33670"/>
    <w:rsid w:val="00D375CD"/>
    <w:rsid w:val="00D553A2"/>
    <w:rsid w:val="00D72F49"/>
    <w:rsid w:val="00D774D3"/>
    <w:rsid w:val="00D904E8"/>
    <w:rsid w:val="00DA08C3"/>
    <w:rsid w:val="00DB2ABC"/>
    <w:rsid w:val="00DB5A3E"/>
    <w:rsid w:val="00DC22AA"/>
    <w:rsid w:val="00DE2ED4"/>
    <w:rsid w:val="00DF74DD"/>
    <w:rsid w:val="00E1558E"/>
    <w:rsid w:val="00E25AD0"/>
    <w:rsid w:val="00E4428F"/>
    <w:rsid w:val="00E6421E"/>
    <w:rsid w:val="00E8788C"/>
    <w:rsid w:val="00E93668"/>
    <w:rsid w:val="00E95647"/>
    <w:rsid w:val="00EB6350"/>
    <w:rsid w:val="00EC1495"/>
    <w:rsid w:val="00EC6B1B"/>
    <w:rsid w:val="00F05681"/>
    <w:rsid w:val="00F15B57"/>
    <w:rsid w:val="00F35EF4"/>
    <w:rsid w:val="00F37FE5"/>
    <w:rsid w:val="00F427DB"/>
    <w:rsid w:val="00F64570"/>
    <w:rsid w:val="00F91AE4"/>
    <w:rsid w:val="00FA5EB1"/>
    <w:rsid w:val="00FA7439"/>
    <w:rsid w:val="00FC4EC0"/>
    <w:rsid w:val="00FE2755"/>
    <w:rsid w:val="00FE43AA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8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60C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0C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0C9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C98"/>
    <w:rPr>
      <w:rFonts w:ascii="Calibri" w:hAnsi="Calibri"/>
      <w:b/>
      <w:bCs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101/en" TargetMode="External"/><Relationship Id="rId18" Type="http://schemas.openxmlformats.org/officeDocument/2006/relationships/hyperlink" Target="https://www.itu.int/md/S22-CL-C-0004/en" TargetMode="External"/><Relationship Id="rId26" Type="http://schemas.openxmlformats.org/officeDocument/2006/relationships/hyperlink" Target="https://www.itu.int/md/S23-CL-INF-0001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2-PP-C-0097/en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itu.int/md/S19-SG-CIR-0033/en" TargetMode="External"/><Relationship Id="rId12" Type="http://schemas.openxmlformats.org/officeDocument/2006/relationships/hyperlink" Target="https://www.itu.int/md/S19-CL-C-0067/en" TargetMode="External"/><Relationship Id="rId17" Type="http://schemas.openxmlformats.org/officeDocument/2006/relationships/hyperlink" Target="https://www.itu.int/md/S21-CL-C-0004/en" TargetMode="External"/><Relationship Id="rId25" Type="http://schemas.openxmlformats.org/officeDocument/2006/relationships/hyperlink" Target="https://www.itu.int/pub/S-CONF-ACTF-2022/fr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04/en" TargetMode="External"/><Relationship Id="rId20" Type="http://schemas.openxmlformats.org/officeDocument/2006/relationships/hyperlink" Target="https://www.itu.int/md/S22-PP-C-0103/en" TargetMode="External"/><Relationship Id="rId29" Type="http://schemas.openxmlformats.org/officeDocument/2006/relationships/hyperlink" Target="https://pp22.itu.int/f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04/en" TargetMode="External"/><Relationship Id="rId24" Type="http://schemas.openxmlformats.org/officeDocument/2006/relationships/hyperlink" Target="https://pp22.itu.int/en/policy-statements/policy-statements-and-plenary-speeches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13/en" TargetMode="External"/><Relationship Id="rId23" Type="http://schemas.openxmlformats.org/officeDocument/2006/relationships/hyperlink" Target="https://plenipotprod.wpengine.com/wp-content/uploads/2021/09/PP-Ethical-guidelines.pdf" TargetMode="External"/><Relationship Id="rId28" Type="http://schemas.openxmlformats.org/officeDocument/2006/relationships/hyperlink" Target="https://s42372.pcdn.co/wp-content/uploads/2022/05/Gender-Responsive-PP-22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23-CL-INF-0001/en" TargetMode="External"/><Relationship Id="rId19" Type="http://schemas.openxmlformats.org/officeDocument/2006/relationships/hyperlink" Target="https://www.itu.int/md/S22-PP-C-0210/e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77-F.pdf" TargetMode="External"/><Relationship Id="rId14" Type="http://schemas.openxmlformats.org/officeDocument/2006/relationships/hyperlink" Target="https://www.itu.int/md/S20-CL-C-0013/en" TargetMode="External"/><Relationship Id="rId22" Type="http://schemas.openxmlformats.org/officeDocument/2006/relationships/hyperlink" Target="https://pp22.itu.int/en/elections/elections-results/" TargetMode="External"/><Relationship Id="rId27" Type="http://schemas.openxmlformats.org/officeDocument/2006/relationships/hyperlink" Target="https://pp22.itu.int/fr/about/greening-the-pp/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hyperlink" Target="http://www.itu.int/md/S19-SG-CIR-0045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D2B5-5FF6-4239-8705-859C2597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2002</Words>
  <Characters>12621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14594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la vingt-et-unième Conférence de plénipotentiaires (PP-22)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2023-06-14T09:00:00Z</dcterms:created>
  <dcterms:modified xsi:type="dcterms:W3CDTF">2023-06-14T09:00:00Z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