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66D3E" w14:paraId="09BC43AD" w14:textId="77777777" w:rsidTr="00D72F49">
        <w:trPr>
          <w:cantSplit/>
          <w:trHeight w:val="23"/>
        </w:trPr>
        <w:tc>
          <w:tcPr>
            <w:tcW w:w="3969" w:type="dxa"/>
            <w:vMerge w:val="restart"/>
            <w:tcMar>
              <w:left w:w="0" w:type="dxa"/>
            </w:tcMar>
          </w:tcPr>
          <w:p w14:paraId="7C0941F3" w14:textId="26F26764" w:rsidR="00D72F49" w:rsidRPr="00566D3E" w:rsidRDefault="00D72F49" w:rsidP="004A6B2F">
            <w:pPr>
              <w:tabs>
                <w:tab w:val="left" w:pos="851"/>
              </w:tabs>
              <w:spacing w:before="0"/>
              <w:rPr>
                <w:b/>
              </w:rPr>
            </w:pPr>
            <w:r w:rsidRPr="00566D3E">
              <w:rPr>
                <w:b/>
              </w:rPr>
              <w:t xml:space="preserve">Point de l'ordre du jour: </w:t>
            </w:r>
            <w:r w:rsidR="00171CF6" w:rsidRPr="00566D3E">
              <w:rPr>
                <w:b/>
              </w:rPr>
              <w:t xml:space="preserve">PL </w:t>
            </w:r>
            <w:r w:rsidR="0089505F" w:rsidRPr="00566D3E">
              <w:rPr>
                <w:b/>
              </w:rPr>
              <w:t>3</w:t>
            </w:r>
          </w:p>
        </w:tc>
        <w:tc>
          <w:tcPr>
            <w:tcW w:w="5245" w:type="dxa"/>
          </w:tcPr>
          <w:p w14:paraId="0A340BFB" w14:textId="77777777" w:rsidR="00D72F49" w:rsidRPr="00566D3E" w:rsidRDefault="00D72F49" w:rsidP="004A6B2F">
            <w:pPr>
              <w:tabs>
                <w:tab w:val="left" w:pos="851"/>
              </w:tabs>
              <w:spacing w:before="0"/>
              <w:jc w:val="right"/>
              <w:rPr>
                <w:b/>
              </w:rPr>
            </w:pPr>
            <w:r w:rsidRPr="00566D3E">
              <w:rPr>
                <w:b/>
              </w:rPr>
              <w:t>Document C23/</w:t>
            </w:r>
            <w:r w:rsidR="0089505F" w:rsidRPr="00566D3E">
              <w:rPr>
                <w:b/>
              </w:rPr>
              <w:t>3</w:t>
            </w:r>
            <w:r w:rsidRPr="00566D3E">
              <w:rPr>
                <w:b/>
              </w:rPr>
              <w:t>-F</w:t>
            </w:r>
          </w:p>
        </w:tc>
      </w:tr>
      <w:tr w:rsidR="00D72F49" w:rsidRPr="00566D3E" w14:paraId="29AFB176" w14:textId="77777777" w:rsidTr="00D72F49">
        <w:trPr>
          <w:cantSplit/>
        </w:trPr>
        <w:tc>
          <w:tcPr>
            <w:tcW w:w="3969" w:type="dxa"/>
            <w:vMerge/>
          </w:tcPr>
          <w:p w14:paraId="167CECC3" w14:textId="77777777" w:rsidR="00D72F49" w:rsidRPr="00566D3E" w:rsidRDefault="00D72F49" w:rsidP="004A6B2F">
            <w:pPr>
              <w:tabs>
                <w:tab w:val="left" w:pos="851"/>
              </w:tabs>
              <w:rPr>
                <w:b/>
              </w:rPr>
            </w:pPr>
          </w:p>
        </w:tc>
        <w:tc>
          <w:tcPr>
            <w:tcW w:w="5245" w:type="dxa"/>
          </w:tcPr>
          <w:p w14:paraId="5193AF0F" w14:textId="444F9489" w:rsidR="00D72F49" w:rsidRPr="00566D3E" w:rsidRDefault="0089505F" w:rsidP="004A6B2F">
            <w:pPr>
              <w:tabs>
                <w:tab w:val="left" w:pos="851"/>
              </w:tabs>
              <w:spacing w:before="0"/>
              <w:jc w:val="right"/>
              <w:rPr>
                <w:b/>
              </w:rPr>
            </w:pPr>
            <w:r w:rsidRPr="00566D3E">
              <w:rPr>
                <w:b/>
              </w:rPr>
              <w:t>1</w:t>
            </w:r>
            <w:r w:rsidR="00D10D5E">
              <w:rPr>
                <w:b/>
              </w:rPr>
              <w:t>6</w:t>
            </w:r>
            <w:r w:rsidRPr="00566D3E">
              <w:rPr>
                <w:b/>
              </w:rPr>
              <w:t xml:space="preserve"> mai</w:t>
            </w:r>
            <w:r w:rsidR="00D72F49" w:rsidRPr="00566D3E">
              <w:rPr>
                <w:b/>
              </w:rPr>
              <w:t xml:space="preserve"> 2023</w:t>
            </w:r>
          </w:p>
        </w:tc>
      </w:tr>
      <w:tr w:rsidR="00D72F49" w:rsidRPr="00566D3E" w14:paraId="41C50709" w14:textId="77777777" w:rsidTr="00D72F49">
        <w:trPr>
          <w:cantSplit/>
          <w:trHeight w:val="23"/>
        </w:trPr>
        <w:tc>
          <w:tcPr>
            <w:tcW w:w="3969" w:type="dxa"/>
            <w:vMerge/>
          </w:tcPr>
          <w:p w14:paraId="5437BBA1" w14:textId="77777777" w:rsidR="00D72F49" w:rsidRPr="00566D3E" w:rsidRDefault="00D72F49" w:rsidP="004A6B2F">
            <w:pPr>
              <w:tabs>
                <w:tab w:val="left" w:pos="851"/>
              </w:tabs>
              <w:rPr>
                <w:b/>
              </w:rPr>
            </w:pPr>
          </w:p>
        </w:tc>
        <w:tc>
          <w:tcPr>
            <w:tcW w:w="5245" w:type="dxa"/>
          </w:tcPr>
          <w:p w14:paraId="7925FF6E" w14:textId="77777777" w:rsidR="00D72F49" w:rsidRPr="00566D3E" w:rsidRDefault="00D72F49" w:rsidP="004A6B2F">
            <w:pPr>
              <w:tabs>
                <w:tab w:val="left" w:pos="851"/>
              </w:tabs>
              <w:spacing w:before="0"/>
              <w:jc w:val="right"/>
              <w:rPr>
                <w:b/>
              </w:rPr>
            </w:pPr>
            <w:r w:rsidRPr="00566D3E">
              <w:rPr>
                <w:b/>
              </w:rPr>
              <w:t>Original: anglais</w:t>
            </w:r>
          </w:p>
        </w:tc>
      </w:tr>
      <w:tr w:rsidR="00D72F49" w:rsidRPr="00566D3E" w14:paraId="0F473006" w14:textId="77777777" w:rsidTr="00D72F49">
        <w:trPr>
          <w:cantSplit/>
          <w:trHeight w:val="23"/>
        </w:trPr>
        <w:tc>
          <w:tcPr>
            <w:tcW w:w="3969" w:type="dxa"/>
          </w:tcPr>
          <w:p w14:paraId="3EABC9A6" w14:textId="77777777" w:rsidR="00D72F49" w:rsidRPr="00566D3E" w:rsidRDefault="00D72F49" w:rsidP="004A6B2F">
            <w:pPr>
              <w:tabs>
                <w:tab w:val="left" w:pos="851"/>
              </w:tabs>
              <w:rPr>
                <w:b/>
              </w:rPr>
            </w:pPr>
          </w:p>
        </w:tc>
        <w:tc>
          <w:tcPr>
            <w:tcW w:w="5245" w:type="dxa"/>
          </w:tcPr>
          <w:p w14:paraId="5F63B5ED" w14:textId="77777777" w:rsidR="00D72F49" w:rsidRPr="00566D3E" w:rsidRDefault="00D72F49" w:rsidP="004A6B2F">
            <w:pPr>
              <w:tabs>
                <w:tab w:val="left" w:pos="851"/>
              </w:tabs>
              <w:spacing w:before="0"/>
              <w:jc w:val="right"/>
              <w:rPr>
                <w:b/>
              </w:rPr>
            </w:pPr>
          </w:p>
        </w:tc>
      </w:tr>
      <w:tr w:rsidR="00D72F49" w:rsidRPr="00566D3E" w14:paraId="52495662" w14:textId="77777777" w:rsidTr="00D72F49">
        <w:trPr>
          <w:cantSplit/>
        </w:trPr>
        <w:tc>
          <w:tcPr>
            <w:tcW w:w="9214" w:type="dxa"/>
            <w:gridSpan w:val="2"/>
            <w:tcMar>
              <w:left w:w="0" w:type="dxa"/>
            </w:tcMar>
          </w:tcPr>
          <w:p w14:paraId="390A1160" w14:textId="68A75BF3" w:rsidR="00D72F49" w:rsidRPr="00566D3E" w:rsidRDefault="00D72F49" w:rsidP="004A6B2F">
            <w:pPr>
              <w:pStyle w:val="Source"/>
              <w:jc w:val="left"/>
              <w:rPr>
                <w:sz w:val="34"/>
                <w:szCs w:val="34"/>
              </w:rPr>
            </w:pPr>
            <w:bookmarkStart w:id="0" w:name="_Hlk134687132"/>
            <w:r w:rsidRPr="00566D3E">
              <w:rPr>
                <w:rFonts w:cstheme="minorHAnsi"/>
                <w:color w:val="000000"/>
                <w:sz w:val="34"/>
                <w:szCs w:val="34"/>
              </w:rPr>
              <w:t>Rapport d</w:t>
            </w:r>
            <w:r w:rsidR="00171CF6" w:rsidRPr="00566D3E">
              <w:rPr>
                <w:rFonts w:cstheme="minorHAnsi"/>
                <w:color w:val="000000"/>
                <w:sz w:val="34"/>
                <w:szCs w:val="34"/>
              </w:rPr>
              <w:t xml:space="preserve">e la </w:t>
            </w:r>
            <w:r w:rsidRPr="00566D3E">
              <w:rPr>
                <w:rFonts w:cstheme="minorHAnsi"/>
                <w:color w:val="000000"/>
                <w:sz w:val="34"/>
                <w:szCs w:val="34"/>
              </w:rPr>
              <w:t>Secrétaire général</w:t>
            </w:r>
            <w:r w:rsidR="00171CF6" w:rsidRPr="00566D3E">
              <w:rPr>
                <w:rFonts w:cstheme="minorHAnsi"/>
                <w:color w:val="000000"/>
                <w:sz w:val="34"/>
                <w:szCs w:val="34"/>
              </w:rPr>
              <w:t>e</w:t>
            </w:r>
            <w:bookmarkEnd w:id="0"/>
          </w:p>
        </w:tc>
      </w:tr>
      <w:tr w:rsidR="009157F0" w:rsidRPr="00566D3E" w14:paraId="26CD6C43" w14:textId="77777777" w:rsidTr="009157F0">
        <w:trPr>
          <w:cantSplit/>
          <w:trHeight w:val="721"/>
        </w:trPr>
        <w:tc>
          <w:tcPr>
            <w:tcW w:w="9214" w:type="dxa"/>
            <w:gridSpan w:val="2"/>
            <w:tcMar>
              <w:left w:w="0" w:type="dxa"/>
            </w:tcMar>
          </w:tcPr>
          <w:p w14:paraId="05C9B911" w14:textId="1A4CA805" w:rsidR="009157F0" w:rsidRPr="009157F0" w:rsidRDefault="009157F0" w:rsidP="009157F0">
            <w:pPr>
              <w:pStyle w:val="Subtitle"/>
              <w:framePr w:hSpace="0" w:wrap="auto" w:hAnchor="text" w:xAlign="left" w:yAlign="inline"/>
              <w:spacing w:after="120"/>
              <w:rPr>
                <w:rFonts w:cstheme="minorHAnsi"/>
                <w:color w:val="000000"/>
                <w:szCs w:val="34"/>
                <w:lang w:val="fr-FR"/>
              </w:rPr>
            </w:pPr>
            <w:bookmarkStart w:id="1" w:name="_Hlk90471971"/>
            <w:r w:rsidRPr="00566D3E">
              <w:rPr>
                <w:lang w:val="fr-FR"/>
              </w:rPr>
              <w:t>RÉSOLUTIONS ET DÉCISIONS DU CONSEIL DEVENUES CADUQUES</w:t>
            </w:r>
            <w:bookmarkEnd w:id="1"/>
          </w:p>
        </w:tc>
      </w:tr>
      <w:tr w:rsidR="00D72F49" w:rsidRPr="00566D3E" w14:paraId="6D5BCD06" w14:textId="77777777" w:rsidTr="00D72F49">
        <w:trPr>
          <w:cantSplit/>
        </w:trPr>
        <w:tc>
          <w:tcPr>
            <w:tcW w:w="9214" w:type="dxa"/>
            <w:gridSpan w:val="2"/>
            <w:tcBorders>
              <w:top w:val="single" w:sz="4" w:space="0" w:color="auto"/>
              <w:bottom w:val="single" w:sz="4" w:space="0" w:color="auto"/>
            </w:tcBorders>
            <w:tcMar>
              <w:left w:w="0" w:type="dxa"/>
            </w:tcMar>
          </w:tcPr>
          <w:p w14:paraId="2F1F6FDD" w14:textId="18C099D8" w:rsidR="00D72F49" w:rsidRPr="00566D3E" w:rsidRDefault="00171CF6" w:rsidP="004A6B2F">
            <w:pPr>
              <w:spacing w:before="160"/>
              <w:rPr>
                <w:b/>
                <w:bCs/>
                <w:sz w:val="26"/>
                <w:szCs w:val="26"/>
              </w:rPr>
            </w:pPr>
            <w:r w:rsidRPr="00566D3E">
              <w:rPr>
                <w:b/>
                <w:bCs/>
                <w:sz w:val="26"/>
                <w:szCs w:val="26"/>
              </w:rPr>
              <w:t>Objet</w:t>
            </w:r>
          </w:p>
          <w:p w14:paraId="6413310C" w14:textId="08F59685" w:rsidR="00D72F49" w:rsidRPr="00566D3E" w:rsidRDefault="00C8789F" w:rsidP="004A6B2F">
            <w:r w:rsidRPr="00566D3E">
              <w:t>Après chaque session ordinaire du Conseil</w:t>
            </w:r>
            <w:r w:rsidR="00171CF6" w:rsidRPr="00566D3E">
              <w:t xml:space="preserve"> de l</w:t>
            </w:r>
            <w:r w:rsidR="004A6B2F" w:rsidRPr="00566D3E">
              <w:t>'</w:t>
            </w:r>
            <w:r w:rsidR="00171CF6" w:rsidRPr="00566D3E">
              <w:t>UIT</w:t>
            </w:r>
            <w:r w:rsidRPr="00566D3E">
              <w:t>, il convient d'abroger et, par conséquent, de supprimer du Recueil des Résolutions et Décisions du Conseil celles qui ont été mises en œuvre</w:t>
            </w:r>
            <w:r w:rsidR="00171CF6" w:rsidRPr="00566D3E">
              <w:t xml:space="preserve"> ou qui sont devenues </w:t>
            </w:r>
            <w:r w:rsidR="00B403A2" w:rsidRPr="00566D3E">
              <w:t>caduques</w:t>
            </w:r>
            <w:r w:rsidRPr="00566D3E">
              <w:t>.</w:t>
            </w:r>
          </w:p>
          <w:p w14:paraId="4F4D894D" w14:textId="77777777" w:rsidR="00D72F49" w:rsidRPr="00566D3E" w:rsidRDefault="00D72F49" w:rsidP="004A6B2F">
            <w:pPr>
              <w:spacing w:before="160"/>
              <w:rPr>
                <w:b/>
                <w:bCs/>
                <w:sz w:val="26"/>
                <w:szCs w:val="26"/>
              </w:rPr>
            </w:pPr>
            <w:r w:rsidRPr="00566D3E">
              <w:rPr>
                <w:b/>
                <w:bCs/>
                <w:sz w:val="26"/>
                <w:szCs w:val="26"/>
              </w:rPr>
              <w:t>Suite à donner par le Conseil</w:t>
            </w:r>
          </w:p>
          <w:p w14:paraId="6C99370C" w14:textId="16A9BE48" w:rsidR="00D72F49" w:rsidRPr="00566D3E" w:rsidRDefault="00171CF6" w:rsidP="004A6B2F">
            <w:r w:rsidRPr="00566D3E">
              <w:t xml:space="preserve">Le Conseil </w:t>
            </w:r>
            <w:r w:rsidRPr="00D10D5E">
              <w:t xml:space="preserve">est invité à </w:t>
            </w:r>
            <w:r w:rsidRPr="00D10D5E">
              <w:rPr>
                <w:b/>
              </w:rPr>
              <w:t>examiner</w:t>
            </w:r>
            <w:r w:rsidRPr="00D10D5E">
              <w:t xml:space="preserve"> et à </w:t>
            </w:r>
            <w:r w:rsidRPr="00D10D5E">
              <w:rPr>
                <w:b/>
              </w:rPr>
              <w:t>approuver</w:t>
            </w:r>
            <w:r w:rsidRPr="00D10D5E">
              <w:t xml:space="preserve"> l</w:t>
            </w:r>
            <w:r w:rsidR="00C8789F" w:rsidRPr="00D10D5E">
              <w:t>a</w:t>
            </w:r>
            <w:r w:rsidR="00C8789F" w:rsidRPr="00566D3E">
              <w:t xml:space="preserve"> liste </w:t>
            </w:r>
            <w:r w:rsidRPr="00566D3E">
              <w:t xml:space="preserve">proposée </w:t>
            </w:r>
            <w:r w:rsidR="00C8789F" w:rsidRPr="00566D3E">
              <w:t>des Résolutions et Décisions qui devraient être abrogées, et donc supprimées du Recueil</w:t>
            </w:r>
            <w:r w:rsidRPr="00566D3E">
              <w:t>.</w:t>
            </w:r>
          </w:p>
          <w:p w14:paraId="4CE1ACA9" w14:textId="42F69DA9" w:rsidR="00D72F49" w:rsidRPr="00566D3E" w:rsidRDefault="00D72F49" w:rsidP="004A6B2F">
            <w:pPr>
              <w:spacing w:before="160"/>
              <w:rPr>
                <w:b/>
                <w:bCs/>
                <w:sz w:val="26"/>
                <w:szCs w:val="26"/>
              </w:rPr>
            </w:pPr>
            <w:r w:rsidRPr="00566D3E">
              <w:rPr>
                <w:b/>
                <w:bCs/>
                <w:sz w:val="26"/>
                <w:szCs w:val="26"/>
              </w:rPr>
              <w:t>Lien</w:t>
            </w:r>
            <w:r w:rsidR="00171CF6" w:rsidRPr="00566D3E">
              <w:rPr>
                <w:b/>
                <w:bCs/>
                <w:sz w:val="26"/>
                <w:szCs w:val="26"/>
              </w:rPr>
              <w:t xml:space="preserve"> </w:t>
            </w:r>
            <w:r w:rsidRPr="00566D3E">
              <w:rPr>
                <w:b/>
                <w:bCs/>
                <w:sz w:val="26"/>
                <w:szCs w:val="26"/>
              </w:rPr>
              <w:t>pertinent</w:t>
            </w:r>
            <w:r w:rsidR="00171CF6" w:rsidRPr="00566D3E">
              <w:rPr>
                <w:b/>
                <w:bCs/>
                <w:sz w:val="26"/>
                <w:szCs w:val="26"/>
              </w:rPr>
              <w:t xml:space="preserve"> </w:t>
            </w:r>
            <w:r w:rsidRPr="00566D3E">
              <w:rPr>
                <w:b/>
                <w:bCs/>
                <w:sz w:val="26"/>
                <w:szCs w:val="26"/>
              </w:rPr>
              <w:t>avec le Plan stratégique</w:t>
            </w:r>
          </w:p>
          <w:p w14:paraId="08A9BF6B" w14:textId="509C0EEF" w:rsidR="00D72F49" w:rsidRPr="00566D3E" w:rsidRDefault="00171CF6" w:rsidP="004A6B2F">
            <w:r w:rsidRPr="00566D3E">
              <w:t>Sans objet</w:t>
            </w:r>
            <w:r w:rsidR="004A6B2F" w:rsidRPr="00566D3E">
              <w:t>.</w:t>
            </w:r>
          </w:p>
          <w:p w14:paraId="73210E2F" w14:textId="77777777" w:rsidR="00D72F49" w:rsidRPr="00566D3E" w:rsidRDefault="00D72F49" w:rsidP="004A6B2F">
            <w:pPr>
              <w:spacing w:before="160"/>
              <w:rPr>
                <w:b/>
                <w:bCs/>
                <w:sz w:val="26"/>
                <w:szCs w:val="26"/>
              </w:rPr>
            </w:pPr>
            <w:r w:rsidRPr="00566D3E">
              <w:rPr>
                <w:b/>
                <w:bCs/>
                <w:sz w:val="26"/>
                <w:szCs w:val="26"/>
              </w:rPr>
              <w:t>Inciden</w:t>
            </w:r>
            <w:r w:rsidR="00C8789F" w:rsidRPr="00566D3E">
              <w:rPr>
                <w:b/>
                <w:bCs/>
                <w:sz w:val="26"/>
                <w:szCs w:val="26"/>
              </w:rPr>
              <w:t>ces financières</w:t>
            </w:r>
          </w:p>
          <w:p w14:paraId="562A289E" w14:textId="77777777" w:rsidR="00C8789F" w:rsidRPr="00566D3E" w:rsidRDefault="00C8789F" w:rsidP="004A6B2F">
            <w:pPr>
              <w:spacing w:before="160"/>
              <w:rPr>
                <w:bCs/>
                <w:szCs w:val="24"/>
              </w:rPr>
            </w:pPr>
            <w:r w:rsidRPr="00566D3E">
              <w:rPr>
                <w:bCs/>
                <w:szCs w:val="24"/>
              </w:rPr>
              <w:t>Aucune.</w:t>
            </w:r>
          </w:p>
          <w:p w14:paraId="2A6525DE" w14:textId="77777777" w:rsidR="00D72F49" w:rsidRPr="00566D3E" w:rsidRDefault="00D72F49" w:rsidP="004A6B2F">
            <w:pPr>
              <w:spacing w:before="160"/>
              <w:rPr>
                <w:caps/>
                <w:sz w:val="22"/>
              </w:rPr>
            </w:pPr>
            <w:r w:rsidRPr="00566D3E">
              <w:rPr>
                <w:sz w:val="22"/>
              </w:rPr>
              <w:t>__________________</w:t>
            </w:r>
          </w:p>
          <w:p w14:paraId="056A81C8" w14:textId="77777777" w:rsidR="00D72F49" w:rsidRPr="00566D3E" w:rsidRDefault="00D72F49" w:rsidP="004A6B2F">
            <w:pPr>
              <w:spacing w:before="160"/>
              <w:rPr>
                <w:b/>
                <w:bCs/>
                <w:sz w:val="26"/>
                <w:szCs w:val="26"/>
              </w:rPr>
            </w:pPr>
            <w:r w:rsidRPr="00566D3E">
              <w:rPr>
                <w:b/>
                <w:bCs/>
                <w:sz w:val="26"/>
                <w:szCs w:val="26"/>
              </w:rPr>
              <w:t>Références</w:t>
            </w:r>
          </w:p>
          <w:p w14:paraId="620177BF" w14:textId="665C72DB" w:rsidR="00D72F49" w:rsidRPr="00566D3E" w:rsidRDefault="001A113D" w:rsidP="004A6B2F">
            <w:pPr>
              <w:spacing w:after="160"/>
            </w:pPr>
            <w:hyperlink r:id="rId7" w:history="1">
              <w:r w:rsidR="004A6B2F" w:rsidRPr="00566D3E">
                <w:rPr>
                  <w:rStyle w:val="Hyperlink"/>
                </w:rPr>
                <w:t>Résolutions et Décisions du Conseil (2022)</w:t>
              </w:r>
            </w:hyperlink>
          </w:p>
        </w:tc>
      </w:tr>
    </w:tbl>
    <w:p w14:paraId="1534CA4D" w14:textId="77777777" w:rsidR="00A51849" w:rsidRPr="00566D3E" w:rsidRDefault="00A51849" w:rsidP="004A6B2F">
      <w:pPr>
        <w:tabs>
          <w:tab w:val="clear" w:pos="567"/>
          <w:tab w:val="clear" w:pos="1134"/>
          <w:tab w:val="clear" w:pos="1701"/>
          <w:tab w:val="clear" w:pos="2268"/>
          <w:tab w:val="clear" w:pos="2835"/>
        </w:tabs>
        <w:overflowPunct/>
        <w:autoSpaceDE/>
        <w:autoSpaceDN/>
        <w:adjustRightInd/>
        <w:spacing w:before="0"/>
        <w:textAlignment w:val="auto"/>
      </w:pPr>
      <w:r w:rsidRPr="00566D3E">
        <w:br w:type="page"/>
      </w:r>
    </w:p>
    <w:p w14:paraId="2541A3CC" w14:textId="3D41FBD5" w:rsidR="00C8789F" w:rsidRPr="00566D3E" w:rsidRDefault="00C8789F" w:rsidP="004A6B2F">
      <w:pPr>
        <w:tabs>
          <w:tab w:val="clear" w:pos="567"/>
          <w:tab w:val="clear" w:pos="1134"/>
          <w:tab w:val="clear" w:pos="1701"/>
          <w:tab w:val="clear" w:pos="2268"/>
          <w:tab w:val="clear" w:pos="2835"/>
        </w:tabs>
        <w:overflowPunct/>
        <w:autoSpaceDE/>
        <w:autoSpaceDN/>
        <w:adjustRightInd/>
        <w:spacing w:before="0" w:after="240"/>
        <w:textAlignment w:val="auto"/>
        <w:rPr>
          <w:b/>
          <w:sz w:val="28"/>
          <w:szCs w:val="28"/>
        </w:rPr>
      </w:pPr>
      <w:r w:rsidRPr="00566D3E">
        <w:rPr>
          <w:b/>
          <w:sz w:val="28"/>
          <w:szCs w:val="28"/>
        </w:rPr>
        <w:lastRenderedPageBreak/>
        <w:t xml:space="preserve">Résolutions et Décisions </w:t>
      </w:r>
      <w:r w:rsidR="00171CF6" w:rsidRPr="00566D3E">
        <w:rPr>
          <w:b/>
          <w:sz w:val="28"/>
          <w:szCs w:val="28"/>
        </w:rPr>
        <w:t>devant être abrogées</w:t>
      </w:r>
    </w:p>
    <w:tbl>
      <w:tblPr>
        <w:tblW w:w="5000" w:type="pct"/>
        <w:jc w:val="center"/>
        <w:tblBorders>
          <w:top w:val="single" w:sz="12" w:space="0" w:color="009CD6"/>
          <w:left w:val="single" w:sz="12" w:space="0" w:color="009CD6"/>
          <w:bottom w:val="single" w:sz="12" w:space="0" w:color="009CD6"/>
          <w:right w:val="single" w:sz="12" w:space="0" w:color="009CD6"/>
          <w:insideH w:val="single" w:sz="4" w:space="0" w:color="BFBFBF" w:themeColor="background1" w:themeShade="BF"/>
          <w:insideV w:val="single" w:sz="12" w:space="0" w:color="009CD6"/>
        </w:tblBorders>
        <w:tblLook w:val="0000" w:firstRow="0" w:lastRow="0" w:firstColumn="0" w:lastColumn="0" w:noHBand="0" w:noVBand="0"/>
      </w:tblPr>
      <w:tblGrid>
        <w:gridCol w:w="951"/>
        <w:gridCol w:w="1175"/>
        <w:gridCol w:w="6915"/>
      </w:tblGrid>
      <w:tr w:rsidR="00C8789F" w:rsidRPr="00566D3E" w14:paraId="625F8BFC" w14:textId="77777777" w:rsidTr="00516ED2">
        <w:trPr>
          <w:tblHeader/>
          <w:jc w:val="center"/>
        </w:trPr>
        <w:tc>
          <w:tcPr>
            <w:tcW w:w="526" w:type="pct"/>
            <w:shd w:val="clear" w:color="auto" w:fill="009CD6"/>
          </w:tcPr>
          <w:p w14:paraId="623588F2"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b/>
                <w:color w:val="FFFFFF" w:themeColor="background1"/>
                <w:sz w:val="22"/>
                <w:szCs w:val="22"/>
              </w:rPr>
            </w:pPr>
            <w:r w:rsidRPr="00566D3E">
              <w:rPr>
                <w:rFonts w:asciiTheme="minorHAnsi" w:hAnsiTheme="minorHAnsi"/>
                <w:b/>
                <w:color w:val="FFFFFF" w:themeColor="background1"/>
                <w:sz w:val="22"/>
                <w:szCs w:val="22"/>
              </w:rPr>
              <w:t>Section</w:t>
            </w:r>
          </w:p>
        </w:tc>
        <w:tc>
          <w:tcPr>
            <w:tcW w:w="650" w:type="pct"/>
            <w:shd w:val="clear" w:color="auto" w:fill="009CD6"/>
          </w:tcPr>
          <w:p w14:paraId="3AD3A2D3"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b/>
                <w:color w:val="FFFFFF" w:themeColor="background1"/>
                <w:sz w:val="22"/>
                <w:szCs w:val="22"/>
              </w:rPr>
            </w:pPr>
            <w:r w:rsidRPr="00566D3E">
              <w:rPr>
                <w:rFonts w:asciiTheme="minorHAnsi" w:hAnsiTheme="minorHAnsi"/>
                <w:b/>
                <w:color w:val="FFFFFF" w:themeColor="background1"/>
                <w:sz w:val="22"/>
                <w:szCs w:val="22"/>
              </w:rPr>
              <w:t>Rés./Déc.</w:t>
            </w:r>
          </w:p>
        </w:tc>
        <w:tc>
          <w:tcPr>
            <w:tcW w:w="3824" w:type="pct"/>
            <w:shd w:val="clear" w:color="auto" w:fill="009CD6"/>
          </w:tcPr>
          <w:p w14:paraId="641A5C9B"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b/>
                <w:color w:val="FFFFFF" w:themeColor="background1"/>
                <w:sz w:val="22"/>
                <w:szCs w:val="22"/>
              </w:rPr>
            </w:pPr>
            <w:r w:rsidRPr="00566D3E">
              <w:rPr>
                <w:rFonts w:asciiTheme="minorHAnsi" w:hAnsiTheme="minorHAnsi"/>
                <w:b/>
                <w:color w:val="FFFFFF" w:themeColor="background1"/>
                <w:sz w:val="22"/>
                <w:szCs w:val="22"/>
              </w:rPr>
              <w:t>Titre</w:t>
            </w:r>
          </w:p>
        </w:tc>
      </w:tr>
      <w:tr w:rsidR="00C8789F" w:rsidRPr="00566D3E" w14:paraId="1BE0242D" w14:textId="77777777" w:rsidTr="00516ED2">
        <w:trPr>
          <w:jc w:val="center"/>
        </w:trPr>
        <w:tc>
          <w:tcPr>
            <w:tcW w:w="526" w:type="pct"/>
            <w:shd w:val="clear" w:color="auto" w:fill="FFFFFF"/>
          </w:tcPr>
          <w:p w14:paraId="068A2F0C"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1.2</w:t>
            </w:r>
          </w:p>
        </w:tc>
        <w:tc>
          <w:tcPr>
            <w:tcW w:w="650" w:type="pct"/>
            <w:shd w:val="clear" w:color="auto" w:fill="FFFFFF"/>
          </w:tcPr>
          <w:p w14:paraId="7E3B936E"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R 1397</w:t>
            </w:r>
            <w:bookmarkStart w:id="2" w:name="_Ref134025920"/>
            <w:r w:rsidRPr="00566D3E">
              <w:rPr>
                <w:rStyle w:val="FootnoteReference"/>
                <w:rFonts w:asciiTheme="minorHAnsi" w:hAnsiTheme="minorHAnsi"/>
                <w:bCs/>
                <w:sz w:val="18"/>
                <w:szCs w:val="18"/>
              </w:rPr>
              <w:footnoteReference w:id="1"/>
            </w:r>
            <w:bookmarkEnd w:id="2"/>
          </w:p>
        </w:tc>
        <w:tc>
          <w:tcPr>
            <w:tcW w:w="3824" w:type="pct"/>
            <w:shd w:val="clear" w:color="auto" w:fill="FFFFFF"/>
          </w:tcPr>
          <w:p w14:paraId="4E93EC61" w14:textId="0DF5BD85" w:rsidR="00C8789F" w:rsidRPr="009157F0"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9157F0">
              <w:rPr>
                <w:sz w:val="22"/>
                <w:szCs w:val="22"/>
              </w:rPr>
              <w:t xml:space="preserve">Rapport de gestion financière pour l'exercice </w:t>
            </w:r>
            <w:r w:rsidR="00171CF6" w:rsidRPr="009157F0">
              <w:rPr>
                <w:sz w:val="22"/>
                <w:szCs w:val="22"/>
              </w:rPr>
              <w:t xml:space="preserve">financier </w:t>
            </w:r>
            <w:r w:rsidRPr="009157F0">
              <w:rPr>
                <w:sz w:val="22"/>
                <w:szCs w:val="22"/>
              </w:rPr>
              <w:t>2018</w:t>
            </w:r>
          </w:p>
        </w:tc>
      </w:tr>
      <w:tr w:rsidR="00C8789F" w:rsidRPr="00566D3E" w14:paraId="1E07FA9F" w14:textId="77777777" w:rsidTr="00516ED2">
        <w:trPr>
          <w:jc w:val="center"/>
        </w:trPr>
        <w:tc>
          <w:tcPr>
            <w:tcW w:w="526" w:type="pct"/>
            <w:shd w:val="clear" w:color="auto" w:fill="FFFFFF"/>
          </w:tcPr>
          <w:p w14:paraId="00D88B26"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1.2</w:t>
            </w:r>
          </w:p>
        </w:tc>
        <w:tc>
          <w:tcPr>
            <w:tcW w:w="650" w:type="pct"/>
            <w:shd w:val="clear" w:color="auto" w:fill="FFFFFF"/>
          </w:tcPr>
          <w:p w14:paraId="0E5ED825" w14:textId="23033BF0"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R 1400</w:t>
            </w:r>
            <w:r w:rsidRPr="00566D3E">
              <w:rPr>
                <w:rFonts w:asciiTheme="minorHAnsi" w:hAnsiTheme="minorHAnsi"/>
                <w:b/>
                <w:bCs/>
                <w:sz w:val="18"/>
                <w:szCs w:val="18"/>
              </w:rPr>
              <w:fldChar w:fldCharType="begin"/>
            </w:r>
            <w:r w:rsidRPr="00566D3E">
              <w:rPr>
                <w:rFonts w:asciiTheme="minorHAnsi" w:hAnsiTheme="minorHAnsi"/>
                <w:b/>
                <w:bCs/>
                <w:sz w:val="18"/>
                <w:szCs w:val="18"/>
              </w:rPr>
              <w:instrText xml:space="preserve"> NOTEREF _Ref134025920 \f \h  \* MERGEFORMAT </w:instrText>
            </w:r>
            <w:r w:rsidRPr="00566D3E">
              <w:rPr>
                <w:rFonts w:asciiTheme="minorHAnsi" w:hAnsiTheme="minorHAnsi"/>
                <w:b/>
                <w:bCs/>
                <w:sz w:val="18"/>
                <w:szCs w:val="18"/>
              </w:rPr>
            </w:r>
            <w:r w:rsidRPr="00566D3E">
              <w:rPr>
                <w:rFonts w:asciiTheme="minorHAnsi" w:hAnsiTheme="minorHAnsi"/>
                <w:b/>
                <w:bCs/>
                <w:sz w:val="18"/>
                <w:szCs w:val="18"/>
              </w:rPr>
              <w:fldChar w:fldCharType="separate"/>
            </w:r>
            <w:r w:rsidR="004A6B2F" w:rsidRPr="00566D3E">
              <w:rPr>
                <w:rStyle w:val="FootnoteReference"/>
                <w:rFonts w:asciiTheme="minorHAnsi" w:hAnsiTheme="minorHAnsi"/>
                <w:sz w:val="18"/>
                <w:szCs w:val="18"/>
              </w:rPr>
              <w:t>1</w:t>
            </w:r>
            <w:r w:rsidRPr="00566D3E">
              <w:rPr>
                <w:rFonts w:asciiTheme="minorHAnsi" w:hAnsiTheme="minorHAnsi"/>
                <w:b/>
                <w:bCs/>
                <w:sz w:val="18"/>
                <w:szCs w:val="18"/>
              </w:rPr>
              <w:fldChar w:fldCharType="end"/>
            </w:r>
          </w:p>
        </w:tc>
        <w:tc>
          <w:tcPr>
            <w:tcW w:w="3824" w:type="pct"/>
            <w:shd w:val="clear" w:color="auto" w:fill="FFFFFF"/>
          </w:tcPr>
          <w:p w14:paraId="6796C4C7" w14:textId="2019C01E" w:rsidR="00C8789F" w:rsidRPr="009157F0"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9157F0">
              <w:rPr>
                <w:sz w:val="22"/>
                <w:szCs w:val="22"/>
              </w:rPr>
              <w:t xml:space="preserve">Rapport de gestion financière pour l'exercice </w:t>
            </w:r>
            <w:r w:rsidR="00171CF6" w:rsidRPr="009157F0">
              <w:rPr>
                <w:sz w:val="22"/>
                <w:szCs w:val="22"/>
              </w:rPr>
              <w:t xml:space="preserve">financier </w:t>
            </w:r>
            <w:r w:rsidRPr="009157F0">
              <w:rPr>
                <w:sz w:val="22"/>
                <w:szCs w:val="22"/>
              </w:rPr>
              <w:t>2019</w:t>
            </w:r>
          </w:p>
        </w:tc>
      </w:tr>
      <w:tr w:rsidR="00C8789F" w:rsidRPr="00566D3E" w14:paraId="7DEF857E" w14:textId="77777777" w:rsidTr="00516ED2">
        <w:trPr>
          <w:jc w:val="center"/>
        </w:trPr>
        <w:tc>
          <w:tcPr>
            <w:tcW w:w="526" w:type="pct"/>
            <w:shd w:val="clear" w:color="auto" w:fill="FFFFFF"/>
          </w:tcPr>
          <w:p w14:paraId="33266C58"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1.2</w:t>
            </w:r>
          </w:p>
        </w:tc>
        <w:tc>
          <w:tcPr>
            <w:tcW w:w="650" w:type="pct"/>
            <w:shd w:val="clear" w:color="auto" w:fill="FFFFFF"/>
          </w:tcPr>
          <w:p w14:paraId="641749DA"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R 1402</w:t>
            </w:r>
          </w:p>
        </w:tc>
        <w:tc>
          <w:tcPr>
            <w:tcW w:w="3824" w:type="pct"/>
            <w:shd w:val="clear" w:color="auto" w:fill="FFFFFF"/>
          </w:tcPr>
          <w:p w14:paraId="6C7920E3" w14:textId="5CB1D151" w:rsidR="00C8789F" w:rsidRPr="009157F0"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9157F0">
              <w:rPr>
                <w:sz w:val="22"/>
                <w:szCs w:val="22"/>
              </w:rPr>
              <w:t>Parts contributives aux dépenses de l'</w:t>
            </w:r>
            <w:r w:rsidR="009157F0">
              <w:rPr>
                <w:sz w:val="22"/>
                <w:szCs w:val="22"/>
              </w:rPr>
              <w:t>U</w:t>
            </w:r>
            <w:r w:rsidRPr="009157F0">
              <w:rPr>
                <w:sz w:val="22"/>
                <w:szCs w:val="22"/>
              </w:rPr>
              <w:t>nion</w:t>
            </w:r>
          </w:p>
        </w:tc>
      </w:tr>
      <w:tr w:rsidR="00C8789F" w:rsidRPr="00566D3E" w14:paraId="7B4F4BE4" w14:textId="77777777" w:rsidTr="00516ED2">
        <w:trPr>
          <w:jc w:val="center"/>
        </w:trPr>
        <w:tc>
          <w:tcPr>
            <w:tcW w:w="526" w:type="pct"/>
            <w:shd w:val="clear" w:color="auto" w:fill="FFFFFF"/>
          </w:tcPr>
          <w:p w14:paraId="68E13BAA"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1.2</w:t>
            </w:r>
          </w:p>
        </w:tc>
        <w:tc>
          <w:tcPr>
            <w:tcW w:w="650" w:type="pct"/>
            <w:shd w:val="clear" w:color="auto" w:fill="FFFFFF"/>
          </w:tcPr>
          <w:p w14:paraId="23BAE391"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R 1409</w:t>
            </w:r>
          </w:p>
        </w:tc>
        <w:tc>
          <w:tcPr>
            <w:tcW w:w="3824" w:type="pct"/>
            <w:shd w:val="clear" w:color="auto" w:fill="FFFFFF"/>
          </w:tcPr>
          <w:p w14:paraId="53B9005A" w14:textId="27F5E9DE" w:rsidR="00C8789F" w:rsidRPr="009157F0"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sz w:val="22"/>
                <w:szCs w:val="22"/>
              </w:rPr>
            </w:pPr>
            <w:r w:rsidRPr="009157F0">
              <w:rPr>
                <w:sz w:val="22"/>
                <w:szCs w:val="22"/>
              </w:rPr>
              <w:t xml:space="preserve">Rapport de gestion financière pour l'exercice </w:t>
            </w:r>
            <w:r w:rsidR="00171CF6" w:rsidRPr="009157F0">
              <w:rPr>
                <w:sz w:val="22"/>
                <w:szCs w:val="22"/>
              </w:rPr>
              <w:t xml:space="preserve">financier </w:t>
            </w:r>
            <w:r w:rsidRPr="009157F0">
              <w:rPr>
                <w:sz w:val="22"/>
                <w:szCs w:val="22"/>
              </w:rPr>
              <w:t>2020</w:t>
            </w:r>
          </w:p>
        </w:tc>
      </w:tr>
      <w:tr w:rsidR="00C8789F" w:rsidRPr="00566D3E" w14:paraId="78539D25" w14:textId="77777777" w:rsidTr="00516ED2">
        <w:trPr>
          <w:jc w:val="center"/>
        </w:trPr>
        <w:tc>
          <w:tcPr>
            <w:tcW w:w="526" w:type="pct"/>
            <w:shd w:val="clear" w:color="auto" w:fill="FFFFFF"/>
          </w:tcPr>
          <w:p w14:paraId="2C1F69CF"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1.2</w:t>
            </w:r>
          </w:p>
        </w:tc>
        <w:tc>
          <w:tcPr>
            <w:tcW w:w="650" w:type="pct"/>
            <w:shd w:val="clear" w:color="auto" w:fill="FFFFFF"/>
          </w:tcPr>
          <w:p w14:paraId="4C2AE6F7"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R 1411</w:t>
            </w:r>
          </w:p>
        </w:tc>
        <w:tc>
          <w:tcPr>
            <w:tcW w:w="3824" w:type="pct"/>
            <w:shd w:val="clear" w:color="auto" w:fill="FFFFFF"/>
          </w:tcPr>
          <w:p w14:paraId="24EB777C" w14:textId="33859D72" w:rsidR="00C8789F" w:rsidRPr="009157F0"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sz w:val="22"/>
                <w:szCs w:val="22"/>
              </w:rPr>
            </w:pPr>
            <w:r w:rsidRPr="009157F0">
              <w:rPr>
                <w:sz w:val="22"/>
                <w:szCs w:val="22"/>
              </w:rPr>
              <w:t xml:space="preserve">Rapport de gestion financière pour l'exercice </w:t>
            </w:r>
            <w:r w:rsidR="00171CF6" w:rsidRPr="009157F0">
              <w:rPr>
                <w:sz w:val="22"/>
                <w:szCs w:val="22"/>
              </w:rPr>
              <w:t xml:space="preserve">financier </w:t>
            </w:r>
            <w:r w:rsidRPr="009157F0">
              <w:rPr>
                <w:sz w:val="22"/>
                <w:szCs w:val="22"/>
              </w:rPr>
              <w:t>2021</w:t>
            </w:r>
          </w:p>
        </w:tc>
      </w:tr>
      <w:tr w:rsidR="00C8789F" w:rsidRPr="00566D3E" w14:paraId="150D514C" w14:textId="77777777" w:rsidTr="00516ED2">
        <w:trPr>
          <w:jc w:val="center"/>
        </w:trPr>
        <w:tc>
          <w:tcPr>
            <w:tcW w:w="526" w:type="pct"/>
            <w:shd w:val="clear" w:color="auto" w:fill="FFFFFF"/>
          </w:tcPr>
          <w:p w14:paraId="3AC0911F"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1.2</w:t>
            </w:r>
          </w:p>
        </w:tc>
        <w:tc>
          <w:tcPr>
            <w:tcW w:w="650" w:type="pct"/>
            <w:shd w:val="clear" w:color="auto" w:fill="FFFFFF"/>
          </w:tcPr>
          <w:p w14:paraId="088C35B2"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D 614</w:t>
            </w:r>
          </w:p>
        </w:tc>
        <w:tc>
          <w:tcPr>
            <w:tcW w:w="3824" w:type="pct"/>
            <w:shd w:val="clear" w:color="auto" w:fill="FFFFFF"/>
          </w:tcPr>
          <w:p w14:paraId="05F4A291" w14:textId="77777777" w:rsidR="00C8789F" w:rsidRPr="009157F0"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9157F0">
              <w:rPr>
                <w:sz w:val="22"/>
                <w:szCs w:val="22"/>
              </w:rPr>
              <w:t>Vérification des comptes de l'Union</w:t>
            </w:r>
          </w:p>
        </w:tc>
      </w:tr>
      <w:tr w:rsidR="00C8789F" w:rsidRPr="00566D3E" w14:paraId="113A8A8F" w14:textId="77777777" w:rsidTr="00516ED2">
        <w:trPr>
          <w:jc w:val="center"/>
        </w:trPr>
        <w:tc>
          <w:tcPr>
            <w:tcW w:w="526" w:type="pct"/>
            <w:shd w:val="clear" w:color="auto" w:fill="FFFFFF"/>
          </w:tcPr>
          <w:p w14:paraId="3AF48210"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1.2</w:t>
            </w:r>
          </w:p>
        </w:tc>
        <w:tc>
          <w:tcPr>
            <w:tcW w:w="650" w:type="pct"/>
            <w:shd w:val="clear" w:color="auto" w:fill="FFFFFF"/>
          </w:tcPr>
          <w:p w14:paraId="512E7528"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D 615</w:t>
            </w:r>
            <w:bookmarkStart w:id="3" w:name="_Ref134026442"/>
            <w:r w:rsidRPr="00566D3E">
              <w:rPr>
                <w:rStyle w:val="FootnoteReference"/>
                <w:rFonts w:asciiTheme="minorHAnsi" w:hAnsiTheme="minorHAnsi"/>
                <w:bCs/>
                <w:sz w:val="18"/>
                <w:szCs w:val="18"/>
              </w:rPr>
              <w:footnoteReference w:id="2"/>
            </w:r>
            <w:bookmarkEnd w:id="3"/>
          </w:p>
        </w:tc>
        <w:tc>
          <w:tcPr>
            <w:tcW w:w="3824" w:type="pct"/>
            <w:shd w:val="clear" w:color="auto" w:fill="FFFFFF"/>
          </w:tcPr>
          <w:p w14:paraId="7E515519"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Nomination des membres du Comité consultatif indépendant pour les questions de gestion (CCIG)</w:t>
            </w:r>
          </w:p>
        </w:tc>
      </w:tr>
      <w:tr w:rsidR="00C8789F" w:rsidRPr="00566D3E" w14:paraId="4E66E07D" w14:textId="77777777" w:rsidTr="00516ED2">
        <w:trPr>
          <w:jc w:val="center"/>
        </w:trPr>
        <w:tc>
          <w:tcPr>
            <w:tcW w:w="526" w:type="pct"/>
            <w:shd w:val="clear" w:color="auto" w:fill="FFFFFF"/>
          </w:tcPr>
          <w:p w14:paraId="0DE247C6"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1.2</w:t>
            </w:r>
          </w:p>
        </w:tc>
        <w:tc>
          <w:tcPr>
            <w:tcW w:w="650" w:type="pct"/>
            <w:shd w:val="clear" w:color="auto" w:fill="FFFFFF"/>
          </w:tcPr>
          <w:p w14:paraId="3CE836C5"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D 624</w:t>
            </w:r>
          </w:p>
        </w:tc>
        <w:tc>
          <w:tcPr>
            <w:tcW w:w="3824" w:type="pct"/>
            <w:shd w:val="clear" w:color="auto" w:fill="FFFFFF"/>
          </w:tcPr>
          <w:p w14:paraId="3389F41E"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Passation par pertes et profits d'intérêts moratoires et de créances irrécupérables</w:t>
            </w:r>
          </w:p>
        </w:tc>
      </w:tr>
      <w:tr w:rsidR="00C8789F" w:rsidRPr="00566D3E" w14:paraId="7D5B85E2" w14:textId="77777777" w:rsidTr="00516ED2">
        <w:trPr>
          <w:jc w:val="center"/>
        </w:trPr>
        <w:tc>
          <w:tcPr>
            <w:tcW w:w="526" w:type="pct"/>
            <w:shd w:val="clear" w:color="auto" w:fill="FFFFFF"/>
          </w:tcPr>
          <w:p w14:paraId="5BBF0116"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1.2</w:t>
            </w:r>
          </w:p>
        </w:tc>
        <w:tc>
          <w:tcPr>
            <w:tcW w:w="650" w:type="pct"/>
            <w:shd w:val="clear" w:color="auto" w:fill="FFFFFF"/>
          </w:tcPr>
          <w:p w14:paraId="4999957D"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D 628</w:t>
            </w:r>
          </w:p>
        </w:tc>
        <w:tc>
          <w:tcPr>
            <w:tcW w:w="3824" w:type="pct"/>
            <w:shd w:val="clear" w:color="auto" w:fill="FFFFFF"/>
          </w:tcPr>
          <w:p w14:paraId="2408B6DA"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Passation par pertes et profits d'intérêts moratoires et de créances irrécupérables</w:t>
            </w:r>
          </w:p>
        </w:tc>
      </w:tr>
      <w:tr w:rsidR="00C8789F" w:rsidRPr="00566D3E" w14:paraId="703C2F65" w14:textId="77777777" w:rsidTr="00516ED2">
        <w:trPr>
          <w:jc w:val="center"/>
        </w:trPr>
        <w:tc>
          <w:tcPr>
            <w:tcW w:w="526" w:type="pct"/>
            <w:shd w:val="clear" w:color="auto" w:fill="FFFFFF"/>
          </w:tcPr>
          <w:p w14:paraId="3B2C3440"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2.1</w:t>
            </w:r>
          </w:p>
        </w:tc>
        <w:tc>
          <w:tcPr>
            <w:tcW w:w="650" w:type="pct"/>
            <w:shd w:val="clear" w:color="auto" w:fill="FFFFFF"/>
          </w:tcPr>
          <w:p w14:paraId="29DD4C8D"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R 1410</w:t>
            </w:r>
            <w:bookmarkStart w:id="4" w:name="_Ref134026482"/>
            <w:r w:rsidRPr="00566D3E">
              <w:rPr>
                <w:rStyle w:val="FootnoteReference"/>
                <w:rFonts w:asciiTheme="minorHAnsi" w:hAnsiTheme="minorHAnsi"/>
                <w:bCs/>
                <w:sz w:val="18"/>
                <w:szCs w:val="18"/>
              </w:rPr>
              <w:footnoteReference w:id="3"/>
            </w:r>
            <w:bookmarkEnd w:id="4"/>
          </w:p>
        </w:tc>
        <w:tc>
          <w:tcPr>
            <w:tcW w:w="3824" w:type="pct"/>
            <w:shd w:val="clear" w:color="auto" w:fill="FFFFFF"/>
          </w:tcPr>
          <w:p w14:paraId="29CE73C6"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Conditions d'emploi des fonctionnaires élus de l'UIT</w:t>
            </w:r>
          </w:p>
        </w:tc>
      </w:tr>
      <w:tr w:rsidR="00C8789F" w:rsidRPr="00566D3E" w14:paraId="2DD549AB" w14:textId="77777777" w:rsidTr="00516ED2">
        <w:trPr>
          <w:jc w:val="center"/>
        </w:trPr>
        <w:tc>
          <w:tcPr>
            <w:tcW w:w="526" w:type="pct"/>
            <w:shd w:val="clear" w:color="auto" w:fill="FFFFFF"/>
          </w:tcPr>
          <w:p w14:paraId="4FF325EF"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2.3</w:t>
            </w:r>
          </w:p>
        </w:tc>
        <w:tc>
          <w:tcPr>
            <w:tcW w:w="650" w:type="pct"/>
            <w:shd w:val="clear" w:color="auto" w:fill="FFFFFF"/>
          </w:tcPr>
          <w:p w14:paraId="3E031F8F"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R 1394</w:t>
            </w:r>
          </w:p>
        </w:tc>
        <w:tc>
          <w:tcPr>
            <w:tcW w:w="3824" w:type="pct"/>
            <w:shd w:val="clear" w:color="auto" w:fill="FFFFFF"/>
          </w:tcPr>
          <w:p w14:paraId="18DE93B5"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Composition du Comité des pensions du personnel de l'UIT</w:t>
            </w:r>
          </w:p>
        </w:tc>
      </w:tr>
      <w:tr w:rsidR="00C8789F" w:rsidRPr="00566D3E" w14:paraId="1823E3E2" w14:textId="77777777" w:rsidTr="00516ED2">
        <w:trPr>
          <w:jc w:val="center"/>
        </w:trPr>
        <w:tc>
          <w:tcPr>
            <w:tcW w:w="526" w:type="pct"/>
            <w:shd w:val="clear" w:color="auto" w:fill="FFFFFF"/>
          </w:tcPr>
          <w:p w14:paraId="6A77E076"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3.2</w:t>
            </w:r>
          </w:p>
        </w:tc>
        <w:tc>
          <w:tcPr>
            <w:tcW w:w="650" w:type="pct"/>
            <w:shd w:val="clear" w:color="auto" w:fill="FFFFFF"/>
          </w:tcPr>
          <w:p w14:paraId="13EB09AD" w14:textId="1A8CFBE8"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D 626</w:t>
            </w:r>
            <w:r w:rsidRPr="00566D3E">
              <w:rPr>
                <w:rFonts w:asciiTheme="minorHAnsi" w:hAnsiTheme="minorHAnsi"/>
                <w:b/>
                <w:bCs/>
                <w:sz w:val="18"/>
                <w:szCs w:val="18"/>
              </w:rPr>
              <w:fldChar w:fldCharType="begin"/>
            </w:r>
            <w:r w:rsidRPr="00566D3E">
              <w:rPr>
                <w:rFonts w:asciiTheme="minorHAnsi" w:hAnsiTheme="minorHAnsi"/>
                <w:b/>
                <w:bCs/>
                <w:sz w:val="18"/>
                <w:szCs w:val="18"/>
              </w:rPr>
              <w:instrText xml:space="preserve"> NOTEREF _Ref134026442 \f \h  \* MERGEFORMAT </w:instrText>
            </w:r>
            <w:r w:rsidRPr="00566D3E">
              <w:rPr>
                <w:rFonts w:asciiTheme="minorHAnsi" w:hAnsiTheme="minorHAnsi"/>
                <w:b/>
                <w:bCs/>
                <w:sz w:val="18"/>
                <w:szCs w:val="18"/>
              </w:rPr>
            </w:r>
            <w:r w:rsidRPr="00566D3E">
              <w:rPr>
                <w:rFonts w:asciiTheme="minorHAnsi" w:hAnsiTheme="minorHAnsi"/>
                <w:b/>
                <w:bCs/>
                <w:sz w:val="18"/>
                <w:szCs w:val="18"/>
              </w:rPr>
              <w:fldChar w:fldCharType="separate"/>
            </w:r>
            <w:r w:rsidR="004A6B2F" w:rsidRPr="00566D3E">
              <w:rPr>
                <w:rStyle w:val="FootnoteReference"/>
                <w:rFonts w:asciiTheme="minorHAnsi" w:hAnsiTheme="minorHAnsi"/>
                <w:sz w:val="18"/>
                <w:szCs w:val="18"/>
              </w:rPr>
              <w:t>2</w:t>
            </w:r>
            <w:r w:rsidRPr="00566D3E">
              <w:rPr>
                <w:rFonts w:asciiTheme="minorHAnsi" w:hAnsiTheme="minorHAnsi"/>
                <w:b/>
                <w:bCs/>
                <w:sz w:val="18"/>
                <w:szCs w:val="18"/>
              </w:rPr>
              <w:fldChar w:fldCharType="end"/>
            </w:r>
          </w:p>
        </w:tc>
        <w:tc>
          <w:tcPr>
            <w:tcW w:w="3824" w:type="pct"/>
            <w:shd w:val="clear" w:color="auto" w:fill="FFFFFF"/>
          </w:tcPr>
          <w:p w14:paraId="3ADF0086"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Dates et durée des sessions de 2023, 2024, 2025 et 2026 du Conseil et des séries de réunions des Groupes de travail du Conseil et des Groupes d'experts de 2023, 2024 et 2025</w:t>
            </w:r>
          </w:p>
        </w:tc>
      </w:tr>
      <w:tr w:rsidR="00C8789F" w:rsidRPr="00566D3E" w14:paraId="288A15E2" w14:textId="77777777" w:rsidTr="00516ED2">
        <w:trPr>
          <w:jc w:val="center"/>
        </w:trPr>
        <w:tc>
          <w:tcPr>
            <w:tcW w:w="526" w:type="pct"/>
            <w:shd w:val="clear" w:color="auto" w:fill="FFFFFF"/>
          </w:tcPr>
          <w:p w14:paraId="33EA085B"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3.3</w:t>
            </w:r>
          </w:p>
        </w:tc>
        <w:tc>
          <w:tcPr>
            <w:tcW w:w="650" w:type="pct"/>
            <w:shd w:val="clear" w:color="auto" w:fill="FFFFFF"/>
          </w:tcPr>
          <w:p w14:paraId="344F47D4"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D 610</w:t>
            </w:r>
          </w:p>
        </w:tc>
        <w:tc>
          <w:tcPr>
            <w:tcW w:w="3824" w:type="pct"/>
            <w:shd w:val="clear" w:color="auto" w:fill="FFFFFF"/>
          </w:tcPr>
          <w:p w14:paraId="60834F67"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Convocation de la prochaine Conférence de plénipotentiaires ordinaire</w:t>
            </w:r>
          </w:p>
        </w:tc>
      </w:tr>
      <w:tr w:rsidR="00C8789F" w:rsidRPr="00566D3E" w14:paraId="719986C6" w14:textId="77777777" w:rsidTr="00516ED2">
        <w:trPr>
          <w:jc w:val="center"/>
        </w:trPr>
        <w:tc>
          <w:tcPr>
            <w:tcW w:w="526" w:type="pct"/>
            <w:shd w:val="clear" w:color="auto" w:fill="FFFFFF"/>
          </w:tcPr>
          <w:p w14:paraId="5476556B"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3.4</w:t>
            </w:r>
          </w:p>
        </w:tc>
        <w:tc>
          <w:tcPr>
            <w:tcW w:w="650" w:type="pct"/>
            <w:shd w:val="clear" w:color="auto" w:fill="FFFFFF"/>
          </w:tcPr>
          <w:p w14:paraId="5AB7CD4D"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R 1292</w:t>
            </w:r>
          </w:p>
        </w:tc>
        <w:tc>
          <w:tcPr>
            <w:tcW w:w="3824" w:type="pct"/>
            <w:shd w:val="clear" w:color="auto" w:fill="FFFFFF"/>
          </w:tcPr>
          <w:p w14:paraId="584BDE3C"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Expositions et forums mondiaux ou régionaux sur les télécommunications/technologies de l'information et de la communication</w:t>
            </w:r>
          </w:p>
        </w:tc>
      </w:tr>
      <w:tr w:rsidR="00C8789F" w:rsidRPr="00566D3E" w14:paraId="16B718CB" w14:textId="77777777" w:rsidTr="00516ED2">
        <w:trPr>
          <w:jc w:val="center"/>
        </w:trPr>
        <w:tc>
          <w:tcPr>
            <w:tcW w:w="526" w:type="pct"/>
            <w:shd w:val="clear" w:color="auto" w:fill="FFFFFF"/>
          </w:tcPr>
          <w:p w14:paraId="29D4581C"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3.4</w:t>
            </w:r>
          </w:p>
        </w:tc>
        <w:tc>
          <w:tcPr>
            <w:tcW w:w="650" w:type="pct"/>
            <w:shd w:val="clear" w:color="auto" w:fill="FFFFFF"/>
          </w:tcPr>
          <w:p w14:paraId="5244FF84"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D 608</w:t>
            </w:r>
          </w:p>
        </w:tc>
        <w:tc>
          <w:tcPr>
            <w:tcW w:w="3824" w:type="pct"/>
            <w:shd w:val="clear" w:color="auto" w:fill="FFFFFF"/>
          </w:tcPr>
          <w:p w14:paraId="3C0B4086"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Convocation de la prochaine Assemblée mondiale de normalisation des télécommunications (AMNT-20)</w:t>
            </w:r>
          </w:p>
        </w:tc>
      </w:tr>
      <w:tr w:rsidR="00C8789F" w:rsidRPr="00566D3E" w14:paraId="6884D345" w14:textId="77777777" w:rsidTr="00516ED2">
        <w:trPr>
          <w:jc w:val="center"/>
        </w:trPr>
        <w:tc>
          <w:tcPr>
            <w:tcW w:w="526" w:type="pct"/>
            <w:shd w:val="clear" w:color="auto" w:fill="FFFFFF"/>
          </w:tcPr>
          <w:p w14:paraId="093EDB7F"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3.4</w:t>
            </w:r>
          </w:p>
        </w:tc>
        <w:tc>
          <w:tcPr>
            <w:tcW w:w="650" w:type="pct"/>
            <w:shd w:val="clear" w:color="auto" w:fill="FFFFFF"/>
          </w:tcPr>
          <w:p w14:paraId="4B775002"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D 611</w:t>
            </w:r>
          </w:p>
        </w:tc>
        <w:tc>
          <w:tcPr>
            <w:tcW w:w="3824" w:type="pct"/>
            <w:shd w:val="clear" w:color="auto" w:fill="FFFFFF"/>
          </w:tcPr>
          <w:p w14:paraId="3B453165"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Sixième Forum mondial des politiques de télécommunication/technologies de l'information et de la communication</w:t>
            </w:r>
          </w:p>
        </w:tc>
      </w:tr>
      <w:tr w:rsidR="00C8789F" w:rsidRPr="00566D3E" w14:paraId="747FECD8" w14:textId="77777777" w:rsidTr="00516ED2">
        <w:trPr>
          <w:jc w:val="center"/>
        </w:trPr>
        <w:tc>
          <w:tcPr>
            <w:tcW w:w="526" w:type="pct"/>
            <w:shd w:val="clear" w:color="auto" w:fill="FFFFFF"/>
          </w:tcPr>
          <w:p w14:paraId="4AA9E744" w14:textId="77777777"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rFonts w:asciiTheme="minorHAnsi" w:hAnsiTheme="minorHAnsi"/>
                <w:sz w:val="22"/>
                <w:szCs w:val="22"/>
              </w:rPr>
              <w:t>7.2</w:t>
            </w:r>
          </w:p>
        </w:tc>
        <w:tc>
          <w:tcPr>
            <w:tcW w:w="650" w:type="pct"/>
            <w:shd w:val="clear" w:color="auto" w:fill="FFFFFF"/>
          </w:tcPr>
          <w:p w14:paraId="7319F670" w14:textId="3B628305" w:rsidR="00C8789F" w:rsidRPr="00566D3E" w:rsidRDefault="00C8789F"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b/>
                <w:bCs/>
                <w:sz w:val="22"/>
                <w:szCs w:val="22"/>
              </w:rPr>
            </w:pPr>
            <w:r w:rsidRPr="00566D3E">
              <w:rPr>
                <w:rFonts w:asciiTheme="minorHAnsi" w:hAnsiTheme="minorHAnsi"/>
                <w:b/>
                <w:bCs/>
                <w:sz w:val="22"/>
                <w:szCs w:val="22"/>
              </w:rPr>
              <w:t>R 1379</w:t>
            </w:r>
            <w:r w:rsidRPr="00566D3E">
              <w:rPr>
                <w:rFonts w:asciiTheme="minorHAnsi" w:hAnsiTheme="minorHAnsi"/>
                <w:b/>
                <w:bCs/>
                <w:sz w:val="18"/>
                <w:szCs w:val="18"/>
              </w:rPr>
              <w:fldChar w:fldCharType="begin"/>
            </w:r>
            <w:r w:rsidRPr="00566D3E">
              <w:rPr>
                <w:rFonts w:asciiTheme="minorHAnsi" w:hAnsiTheme="minorHAnsi"/>
                <w:b/>
                <w:bCs/>
                <w:sz w:val="18"/>
                <w:szCs w:val="18"/>
              </w:rPr>
              <w:instrText xml:space="preserve"> NOTEREF _Ref134026482 \f \h  \* MERGEFORMAT </w:instrText>
            </w:r>
            <w:r w:rsidRPr="00566D3E">
              <w:rPr>
                <w:rFonts w:asciiTheme="minorHAnsi" w:hAnsiTheme="minorHAnsi"/>
                <w:b/>
                <w:bCs/>
                <w:sz w:val="18"/>
                <w:szCs w:val="18"/>
              </w:rPr>
            </w:r>
            <w:r w:rsidRPr="00566D3E">
              <w:rPr>
                <w:rFonts w:asciiTheme="minorHAnsi" w:hAnsiTheme="minorHAnsi"/>
                <w:b/>
                <w:bCs/>
                <w:sz w:val="18"/>
                <w:szCs w:val="18"/>
              </w:rPr>
              <w:fldChar w:fldCharType="separate"/>
            </w:r>
            <w:r w:rsidR="004A6B2F" w:rsidRPr="00566D3E">
              <w:rPr>
                <w:rStyle w:val="FootnoteReference"/>
                <w:rFonts w:asciiTheme="minorHAnsi" w:hAnsiTheme="minorHAnsi"/>
                <w:sz w:val="18"/>
                <w:szCs w:val="18"/>
              </w:rPr>
              <w:t>3</w:t>
            </w:r>
            <w:r w:rsidRPr="00566D3E">
              <w:rPr>
                <w:rFonts w:asciiTheme="minorHAnsi" w:hAnsiTheme="minorHAnsi"/>
                <w:b/>
                <w:bCs/>
                <w:sz w:val="18"/>
                <w:szCs w:val="18"/>
              </w:rPr>
              <w:fldChar w:fldCharType="end"/>
            </w:r>
          </w:p>
        </w:tc>
        <w:tc>
          <w:tcPr>
            <w:tcW w:w="3824" w:type="pct"/>
            <w:shd w:val="clear" w:color="auto" w:fill="FFFFFF"/>
          </w:tcPr>
          <w:p w14:paraId="4610259E" w14:textId="77777777" w:rsidR="00C8789F" w:rsidRPr="00566D3E" w:rsidRDefault="005C23C1" w:rsidP="004A6B2F">
            <w:pPr>
              <w:tabs>
                <w:tab w:val="clear" w:pos="567"/>
                <w:tab w:val="clear" w:pos="1134"/>
                <w:tab w:val="clear" w:pos="1701"/>
                <w:tab w:val="clear" w:pos="2268"/>
                <w:tab w:val="clear" w:pos="2835"/>
              </w:tabs>
              <w:overflowPunct/>
              <w:autoSpaceDE/>
              <w:autoSpaceDN/>
              <w:adjustRightInd/>
              <w:spacing w:before="40" w:after="40"/>
              <w:textAlignment w:val="auto"/>
              <w:rPr>
                <w:rFonts w:asciiTheme="minorHAnsi" w:hAnsiTheme="minorHAnsi"/>
                <w:sz w:val="22"/>
                <w:szCs w:val="22"/>
              </w:rPr>
            </w:pPr>
            <w:r w:rsidRPr="00566D3E">
              <w:rPr>
                <w:sz w:val="22"/>
                <w:szCs w:val="22"/>
              </w:rPr>
              <w:t>Groupe d'experts sur le Règlement des télécommunications internationales (EG</w:t>
            </w:r>
            <w:r w:rsidRPr="00566D3E">
              <w:rPr>
                <w:sz w:val="22"/>
                <w:szCs w:val="22"/>
              </w:rPr>
              <w:noBreakHyphen/>
              <w:t>RTI)</w:t>
            </w:r>
          </w:p>
        </w:tc>
      </w:tr>
    </w:tbl>
    <w:p w14:paraId="6AAE217D" w14:textId="77777777" w:rsidR="00C8789F" w:rsidRPr="00566D3E" w:rsidRDefault="00C8789F" w:rsidP="004A6B2F">
      <w:pPr>
        <w:pStyle w:val="Reasons"/>
      </w:pPr>
    </w:p>
    <w:p w14:paraId="35479E8A" w14:textId="77777777" w:rsidR="00897553" w:rsidRPr="00566D3E" w:rsidRDefault="00C8789F" w:rsidP="004A6B2F">
      <w:pPr>
        <w:jc w:val="center"/>
      </w:pPr>
      <w:r w:rsidRPr="00566D3E">
        <w:t>______________</w:t>
      </w:r>
    </w:p>
    <w:sectPr w:rsidR="00897553" w:rsidRPr="00566D3E"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49B2" w14:textId="77777777" w:rsidR="00CD52C2" w:rsidRDefault="00CD52C2">
      <w:r>
        <w:separator/>
      </w:r>
    </w:p>
  </w:endnote>
  <w:endnote w:type="continuationSeparator" w:id="0">
    <w:p w14:paraId="0A8345B9" w14:textId="77777777" w:rsidR="00CD52C2" w:rsidRDefault="00CD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9DD6" w14:textId="741CC4E8" w:rsidR="00732045" w:rsidRDefault="001A113D">
    <w:pPr>
      <w:pStyle w:val="Footer"/>
    </w:pPr>
    <w:r>
      <w:fldChar w:fldCharType="begin"/>
    </w:r>
    <w:r>
      <w:instrText xml:space="preserve"> FILENAME \p \* MERGEFORMAT </w:instrText>
    </w:r>
    <w:r>
      <w:fldChar w:fldCharType="separate"/>
    </w:r>
    <w:r w:rsidR="004A6B2F">
      <w:t>P:\FRA\SG\CONSEIL\C23\000\003F.docx</w:t>
    </w:r>
    <w:r>
      <w:fldChar w:fldCharType="end"/>
    </w:r>
    <w:r w:rsidR="00732045">
      <w:tab/>
    </w:r>
    <w:r w:rsidR="002F1B76">
      <w:fldChar w:fldCharType="begin"/>
    </w:r>
    <w:r w:rsidR="00732045">
      <w:instrText xml:space="preserve"> savedate \@ dd.MM.yy </w:instrText>
    </w:r>
    <w:r w:rsidR="002F1B76">
      <w:fldChar w:fldCharType="separate"/>
    </w:r>
    <w:r w:rsidR="00D10D5E">
      <w:t>11.05.23</w:t>
    </w:r>
    <w:r w:rsidR="002F1B76">
      <w:fldChar w:fldCharType="end"/>
    </w:r>
    <w:r w:rsidR="00732045">
      <w:tab/>
    </w:r>
    <w:r w:rsidR="002F1B76">
      <w:fldChar w:fldCharType="begin"/>
    </w:r>
    <w:r w:rsidR="00732045">
      <w:instrText xml:space="preserve"> printdate \@ dd.MM.yy </w:instrText>
    </w:r>
    <w:r w:rsidR="002F1B76">
      <w:fldChar w:fldCharType="separate"/>
    </w:r>
    <w:r w:rsidR="004A6B2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DE70D47" w14:textId="77777777" w:rsidTr="00E31DCE">
      <w:trPr>
        <w:jc w:val="center"/>
      </w:trPr>
      <w:tc>
        <w:tcPr>
          <w:tcW w:w="1803" w:type="dxa"/>
          <w:vAlign w:val="center"/>
        </w:tcPr>
        <w:p w14:paraId="6C698AB0" w14:textId="77777777" w:rsidR="00A51849" w:rsidRDefault="00A51849" w:rsidP="00DC6321">
          <w:pPr>
            <w:pStyle w:val="Header"/>
            <w:jc w:val="left"/>
            <w:rPr>
              <w:noProof/>
            </w:rPr>
          </w:pPr>
          <w:r>
            <w:rPr>
              <w:noProof/>
            </w:rPr>
            <w:t xml:space="preserve">DPS </w:t>
          </w:r>
          <w:r w:rsidR="00DC6321">
            <w:rPr>
              <w:noProof/>
            </w:rPr>
            <w:t>520353</w:t>
          </w:r>
        </w:p>
      </w:tc>
      <w:tc>
        <w:tcPr>
          <w:tcW w:w="8261" w:type="dxa"/>
        </w:tcPr>
        <w:p w14:paraId="27FA71A8" w14:textId="13893841" w:rsidR="00A51849" w:rsidRPr="00E06FD5" w:rsidRDefault="00A51849" w:rsidP="00DC632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C6321">
            <w:rPr>
              <w:bCs/>
            </w:rPr>
            <w:t>3</w:t>
          </w:r>
          <w:r w:rsidRPr="00623AE3">
            <w:rPr>
              <w:bCs/>
            </w:rPr>
            <w:t>-</w:t>
          </w:r>
          <w:r w:rsidR="00973F53">
            <w:rPr>
              <w:bCs/>
            </w:rPr>
            <w:t>F</w:t>
          </w:r>
          <w:r>
            <w:rPr>
              <w:bCs/>
            </w:rPr>
            <w:tab/>
          </w:r>
          <w:r>
            <w:fldChar w:fldCharType="begin"/>
          </w:r>
          <w:r>
            <w:instrText>PAGE</w:instrText>
          </w:r>
          <w:r>
            <w:fldChar w:fldCharType="separate"/>
          </w:r>
          <w:r w:rsidR="009157F0">
            <w:rPr>
              <w:noProof/>
            </w:rPr>
            <w:t>2</w:t>
          </w:r>
          <w:r>
            <w:rPr>
              <w:noProof/>
            </w:rPr>
            <w:fldChar w:fldCharType="end"/>
          </w:r>
        </w:p>
      </w:tc>
    </w:tr>
  </w:tbl>
  <w:p w14:paraId="33F52F11" w14:textId="18F23BDC" w:rsidR="00732045" w:rsidRPr="00A51849" w:rsidRDefault="00732045" w:rsidP="005A4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754D609" w14:textId="77777777" w:rsidTr="00E31DCE">
      <w:trPr>
        <w:jc w:val="center"/>
      </w:trPr>
      <w:tc>
        <w:tcPr>
          <w:tcW w:w="1803" w:type="dxa"/>
          <w:vAlign w:val="center"/>
        </w:tcPr>
        <w:p w14:paraId="6EBD4D54" w14:textId="77777777" w:rsidR="00A51849" w:rsidRDefault="001A113D" w:rsidP="00A51849">
          <w:pPr>
            <w:pStyle w:val="Header"/>
            <w:jc w:val="left"/>
            <w:rPr>
              <w:noProof/>
            </w:rPr>
          </w:pPr>
          <w:hyperlink r:id="rId1" w:history="1">
            <w:r w:rsidR="00A51849" w:rsidRPr="00A514A4">
              <w:rPr>
                <w:rStyle w:val="Hyperlink"/>
                <w:szCs w:val="14"/>
              </w:rPr>
              <w:t>www.itu.int/council</w:t>
            </w:r>
          </w:hyperlink>
        </w:p>
      </w:tc>
      <w:tc>
        <w:tcPr>
          <w:tcW w:w="8261" w:type="dxa"/>
        </w:tcPr>
        <w:p w14:paraId="6F4C909D" w14:textId="32E76F9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DC6321">
            <w:rPr>
              <w:bCs/>
            </w:rPr>
            <w:t>/3</w:t>
          </w:r>
          <w:r w:rsidRPr="00623AE3">
            <w:rPr>
              <w:bCs/>
            </w:rPr>
            <w:t>-</w:t>
          </w:r>
          <w:r w:rsidR="00D72F49">
            <w:rPr>
              <w:bCs/>
            </w:rPr>
            <w:t>F</w:t>
          </w:r>
          <w:r>
            <w:rPr>
              <w:bCs/>
            </w:rPr>
            <w:tab/>
          </w:r>
          <w:r>
            <w:fldChar w:fldCharType="begin"/>
          </w:r>
          <w:r>
            <w:instrText>PAGE</w:instrText>
          </w:r>
          <w:r>
            <w:fldChar w:fldCharType="separate"/>
          </w:r>
          <w:r w:rsidR="009157F0">
            <w:rPr>
              <w:noProof/>
            </w:rPr>
            <w:t>1</w:t>
          </w:r>
          <w:r>
            <w:rPr>
              <w:noProof/>
            </w:rPr>
            <w:fldChar w:fldCharType="end"/>
          </w:r>
        </w:p>
      </w:tc>
    </w:tr>
  </w:tbl>
  <w:p w14:paraId="3CA412FA" w14:textId="77777777" w:rsidR="00732045" w:rsidRPr="00A51849" w:rsidRDefault="00732045" w:rsidP="00A5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7732" w14:textId="77777777" w:rsidR="00CD52C2" w:rsidRDefault="00CD52C2">
      <w:r>
        <w:t>____________________</w:t>
      </w:r>
    </w:p>
  </w:footnote>
  <w:footnote w:type="continuationSeparator" w:id="0">
    <w:p w14:paraId="12A46D77" w14:textId="77777777" w:rsidR="00CD52C2" w:rsidRDefault="00CD52C2">
      <w:r>
        <w:continuationSeparator/>
      </w:r>
    </w:p>
  </w:footnote>
  <w:footnote w:id="1">
    <w:p w14:paraId="0318C152" w14:textId="4FF484CE" w:rsidR="00C8789F" w:rsidRPr="004A6B2F" w:rsidRDefault="00C8789F" w:rsidP="009157F0">
      <w:pPr>
        <w:pStyle w:val="FootnoteText"/>
        <w:spacing w:before="60"/>
        <w:rPr>
          <w:i/>
          <w:iCs/>
          <w:sz w:val="20"/>
        </w:rPr>
      </w:pPr>
      <w:r>
        <w:rPr>
          <w:rStyle w:val="FootnoteReference"/>
        </w:rPr>
        <w:footnoteRef/>
      </w:r>
      <w:r w:rsidRPr="00F45F75">
        <w:rPr>
          <w:lang w:val="fr-CH"/>
        </w:rPr>
        <w:tab/>
      </w:r>
      <w:r w:rsidR="00F45F75" w:rsidRPr="004A6B2F">
        <w:rPr>
          <w:i/>
          <w:iCs/>
          <w:sz w:val="20"/>
        </w:rPr>
        <w:t>Les Résolutions relatives aux rapports de gestion financière sont maintenues dans l'intervalle entre deux Conférences de plénipotentiaires (PP) et ne sont abrogées qu'après la PP suivante.</w:t>
      </w:r>
    </w:p>
  </w:footnote>
  <w:footnote w:id="2">
    <w:p w14:paraId="67BD068E" w14:textId="7844B5EF" w:rsidR="00C8789F" w:rsidRPr="005C23C1" w:rsidRDefault="00C8789F" w:rsidP="009157F0">
      <w:pPr>
        <w:pStyle w:val="FootnoteText"/>
        <w:spacing w:before="60"/>
      </w:pPr>
      <w:r>
        <w:rPr>
          <w:rStyle w:val="FootnoteReference"/>
        </w:rPr>
        <w:footnoteRef/>
      </w:r>
      <w:r w:rsidRPr="005C23C1">
        <w:tab/>
      </w:r>
      <w:r w:rsidR="005C23C1" w:rsidRPr="005C23C1">
        <w:rPr>
          <w:i/>
          <w:iCs/>
          <w:sz w:val="20"/>
        </w:rPr>
        <w:t>Dès l'adoption d'une nouvelle Décision</w:t>
      </w:r>
      <w:r w:rsidRPr="005C23C1">
        <w:rPr>
          <w:i/>
          <w:iCs/>
          <w:sz w:val="20"/>
        </w:rPr>
        <w:t>.</w:t>
      </w:r>
    </w:p>
  </w:footnote>
  <w:footnote w:id="3">
    <w:p w14:paraId="59B17664" w14:textId="7F049BEA" w:rsidR="00C8789F" w:rsidRPr="005C23C1" w:rsidRDefault="00C8789F" w:rsidP="009157F0">
      <w:pPr>
        <w:pStyle w:val="FootnoteText"/>
        <w:spacing w:before="60" w:after="60"/>
        <w:rPr>
          <w:sz w:val="20"/>
        </w:rPr>
      </w:pPr>
      <w:r>
        <w:rPr>
          <w:rStyle w:val="FootnoteReference"/>
        </w:rPr>
        <w:footnoteRef/>
      </w:r>
      <w:r w:rsidRPr="005C23C1">
        <w:tab/>
      </w:r>
      <w:r w:rsidR="005C23C1" w:rsidRPr="005C23C1">
        <w:rPr>
          <w:i/>
          <w:iCs/>
          <w:sz w:val="20"/>
        </w:rPr>
        <w:t>Dès l'adoption d'une nouvelle Résolution</w:t>
      </w:r>
      <w:r w:rsidRPr="005C23C1">
        <w:rPr>
          <w:i/>
          <w:iCs/>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4F0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30F8EC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717"/>
    </w:tblGrid>
    <w:tr w:rsidR="00A51849" w:rsidRPr="00784011" w14:paraId="6C4C1EAF" w14:textId="77777777" w:rsidTr="0089505F">
      <w:trPr>
        <w:trHeight w:val="1104"/>
        <w:jc w:val="center"/>
      </w:trPr>
      <w:tc>
        <w:tcPr>
          <w:tcW w:w="4390" w:type="dxa"/>
          <w:vAlign w:val="center"/>
        </w:tcPr>
        <w:p w14:paraId="15C8451D"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76906CDF" wp14:editId="1DAD8D37">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717" w:type="dxa"/>
        </w:tcPr>
        <w:p w14:paraId="3F103849" w14:textId="77777777" w:rsidR="00A51849" w:rsidRPr="00784011" w:rsidRDefault="00A51849" w:rsidP="00A51849">
          <w:pPr>
            <w:pStyle w:val="Header"/>
            <w:jc w:val="right"/>
            <w:rPr>
              <w:rFonts w:ascii="Arial" w:hAnsi="Arial" w:cs="Arial"/>
              <w:color w:val="009CD6"/>
              <w:szCs w:val="18"/>
            </w:rPr>
          </w:pPr>
        </w:p>
      </w:tc>
    </w:tr>
  </w:tbl>
  <w:p w14:paraId="3F421B6E"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60F4788" wp14:editId="3337EA00">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A5B2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C2"/>
    <w:rsid w:val="00076A2C"/>
    <w:rsid w:val="000A209E"/>
    <w:rsid w:val="000D0D0A"/>
    <w:rsid w:val="00103163"/>
    <w:rsid w:val="00106B19"/>
    <w:rsid w:val="00115D93"/>
    <w:rsid w:val="001247A8"/>
    <w:rsid w:val="001378C0"/>
    <w:rsid w:val="00171CF6"/>
    <w:rsid w:val="0018694A"/>
    <w:rsid w:val="001A113D"/>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2959"/>
    <w:rsid w:val="004038CB"/>
    <w:rsid w:val="0040546F"/>
    <w:rsid w:val="0042404A"/>
    <w:rsid w:val="0044618F"/>
    <w:rsid w:val="0046769A"/>
    <w:rsid w:val="00475FB3"/>
    <w:rsid w:val="004A6B2F"/>
    <w:rsid w:val="004C37A9"/>
    <w:rsid w:val="004D1D50"/>
    <w:rsid w:val="004F259E"/>
    <w:rsid w:val="00511F1D"/>
    <w:rsid w:val="00520F36"/>
    <w:rsid w:val="00540615"/>
    <w:rsid w:val="00540A6D"/>
    <w:rsid w:val="005647BB"/>
    <w:rsid w:val="00566D3E"/>
    <w:rsid w:val="00571EEA"/>
    <w:rsid w:val="00575417"/>
    <w:rsid w:val="005768E1"/>
    <w:rsid w:val="005A4304"/>
    <w:rsid w:val="005B1938"/>
    <w:rsid w:val="005C23C1"/>
    <w:rsid w:val="005C3890"/>
    <w:rsid w:val="005C7A83"/>
    <w:rsid w:val="005F7BFE"/>
    <w:rsid w:val="00600017"/>
    <w:rsid w:val="0061343F"/>
    <w:rsid w:val="006235CA"/>
    <w:rsid w:val="006643AB"/>
    <w:rsid w:val="006F0A53"/>
    <w:rsid w:val="007210CD"/>
    <w:rsid w:val="00732045"/>
    <w:rsid w:val="007369DB"/>
    <w:rsid w:val="007956C2"/>
    <w:rsid w:val="007A187E"/>
    <w:rsid w:val="007C72C2"/>
    <w:rsid w:val="007D4436"/>
    <w:rsid w:val="007F257A"/>
    <w:rsid w:val="007F3665"/>
    <w:rsid w:val="00800037"/>
    <w:rsid w:val="0083391C"/>
    <w:rsid w:val="00861D73"/>
    <w:rsid w:val="0089505F"/>
    <w:rsid w:val="00897553"/>
    <w:rsid w:val="008A4E87"/>
    <w:rsid w:val="008D76E6"/>
    <w:rsid w:val="009157F0"/>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403A2"/>
    <w:rsid w:val="00B61619"/>
    <w:rsid w:val="00BB4545"/>
    <w:rsid w:val="00BD5873"/>
    <w:rsid w:val="00C04BE3"/>
    <w:rsid w:val="00C25D29"/>
    <w:rsid w:val="00C27A7C"/>
    <w:rsid w:val="00C8789F"/>
    <w:rsid w:val="00CA08ED"/>
    <w:rsid w:val="00CD52C2"/>
    <w:rsid w:val="00CF183B"/>
    <w:rsid w:val="00D10D5E"/>
    <w:rsid w:val="00D24B38"/>
    <w:rsid w:val="00D375CD"/>
    <w:rsid w:val="00D553A2"/>
    <w:rsid w:val="00D72F49"/>
    <w:rsid w:val="00D774D3"/>
    <w:rsid w:val="00D904E8"/>
    <w:rsid w:val="00DA08C3"/>
    <w:rsid w:val="00DB5A3E"/>
    <w:rsid w:val="00DC22AA"/>
    <w:rsid w:val="00DC6321"/>
    <w:rsid w:val="00DF74DD"/>
    <w:rsid w:val="00E25AD0"/>
    <w:rsid w:val="00E93668"/>
    <w:rsid w:val="00EB6350"/>
    <w:rsid w:val="00F15B57"/>
    <w:rsid w:val="00F35EF4"/>
    <w:rsid w:val="00F427DB"/>
    <w:rsid w:val="00F45F75"/>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FBD69A"/>
  <w15:docId w15:val="{F3A222E4-7F4B-4D44-985A-3BB3DF06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8789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pub/S-CONF-CL-2022/f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3/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GS\PF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AFA76-F740-4416-BC00-2BC91642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PF_Council23.dotx</Template>
  <TotalTime>3</TotalTime>
  <Pages>2</Pages>
  <Words>357</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RÉSOLUTIONS ET DÉCISIONS DU CONSEIL DEVENUES CADUQUES</dc:title>
  <dc:subject>Conseil 2023</dc:subject>
  <dc:creator>French</dc:creator>
  <cp:keywords>C2023, C23, Council-23</cp:keywords>
  <dc:description/>
  <cp:lastModifiedBy>Brouard, Ricarda</cp:lastModifiedBy>
  <cp:revision>5</cp:revision>
  <cp:lastPrinted>2000-07-18T08:55:00Z</cp:lastPrinted>
  <dcterms:created xsi:type="dcterms:W3CDTF">2023-05-18T06:01:00Z</dcterms:created>
  <dcterms:modified xsi:type="dcterms:W3CDTF">2023-05-18T06:04:00Z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