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61924" w14:paraId="2592CC74" w14:textId="77777777" w:rsidTr="00D72F49">
        <w:trPr>
          <w:cantSplit/>
          <w:trHeight w:val="23"/>
        </w:trPr>
        <w:tc>
          <w:tcPr>
            <w:tcW w:w="3969" w:type="dxa"/>
            <w:vMerge w:val="restart"/>
            <w:tcMar>
              <w:left w:w="0" w:type="dxa"/>
            </w:tcMar>
          </w:tcPr>
          <w:p w14:paraId="27E56DEB" w14:textId="288EE00A" w:rsidR="00D72F49" w:rsidRPr="00561924" w:rsidRDefault="00D72F49" w:rsidP="00542C03">
            <w:pPr>
              <w:tabs>
                <w:tab w:val="left" w:pos="851"/>
              </w:tabs>
              <w:spacing w:before="0"/>
              <w:rPr>
                <w:b/>
              </w:rPr>
            </w:pPr>
            <w:r w:rsidRPr="00561924">
              <w:rPr>
                <w:b/>
              </w:rPr>
              <w:t xml:space="preserve">Point de l'ordre du jour: </w:t>
            </w:r>
            <w:r w:rsidR="00FA6187" w:rsidRPr="00561924">
              <w:rPr>
                <w:b/>
              </w:rPr>
              <w:t>PL 3</w:t>
            </w:r>
          </w:p>
        </w:tc>
        <w:tc>
          <w:tcPr>
            <w:tcW w:w="5245" w:type="dxa"/>
          </w:tcPr>
          <w:p w14:paraId="27B6A98A" w14:textId="4657C2CD" w:rsidR="00D72F49" w:rsidRPr="00561924" w:rsidRDefault="00D72F49" w:rsidP="00542C03">
            <w:pPr>
              <w:tabs>
                <w:tab w:val="left" w:pos="851"/>
              </w:tabs>
              <w:spacing w:before="0"/>
              <w:jc w:val="right"/>
              <w:rPr>
                <w:b/>
              </w:rPr>
            </w:pPr>
            <w:r w:rsidRPr="00561924">
              <w:rPr>
                <w:b/>
              </w:rPr>
              <w:t>Document C23/</w:t>
            </w:r>
            <w:r w:rsidR="00FA6187" w:rsidRPr="00561924">
              <w:rPr>
                <w:b/>
              </w:rPr>
              <w:t>2</w:t>
            </w:r>
            <w:r w:rsidRPr="00561924">
              <w:rPr>
                <w:b/>
              </w:rPr>
              <w:t>-F</w:t>
            </w:r>
          </w:p>
        </w:tc>
      </w:tr>
      <w:tr w:rsidR="00D72F49" w:rsidRPr="00561924" w14:paraId="41096C77" w14:textId="77777777" w:rsidTr="00D72F49">
        <w:trPr>
          <w:cantSplit/>
        </w:trPr>
        <w:tc>
          <w:tcPr>
            <w:tcW w:w="3969" w:type="dxa"/>
            <w:vMerge/>
          </w:tcPr>
          <w:p w14:paraId="0BBA5643" w14:textId="77777777" w:rsidR="00D72F49" w:rsidRPr="00561924" w:rsidRDefault="00D72F49" w:rsidP="00542C03">
            <w:pPr>
              <w:tabs>
                <w:tab w:val="left" w:pos="851"/>
              </w:tabs>
              <w:rPr>
                <w:b/>
              </w:rPr>
            </w:pPr>
          </w:p>
        </w:tc>
        <w:tc>
          <w:tcPr>
            <w:tcW w:w="5245" w:type="dxa"/>
          </w:tcPr>
          <w:p w14:paraId="068BECD5" w14:textId="229FA339" w:rsidR="00D72F49" w:rsidRPr="00561924" w:rsidRDefault="00526468" w:rsidP="00542C03">
            <w:pPr>
              <w:tabs>
                <w:tab w:val="left" w:pos="851"/>
              </w:tabs>
              <w:spacing w:before="0"/>
              <w:jc w:val="right"/>
              <w:rPr>
                <w:b/>
              </w:rPr>
            </w:pPr>
            <w:r w:rsidRPr="00561924">
              <w:rPr>
                <w:b/>
              </w:rPr>
              <w:t>12 juin</w:t>
            </w:r>
            <w:r w:rsidR="00D72F49" w:rsidRPr="00561924">
              <w:rPr>
                <w:b/>
              </w:rPr>
              <w:t xml:space="preserve"> 2023</w:t>
            </w:r>
          </w:p>
        </w:tc>
      </w:tr>
      <w:tr w:rsidR="00D72F49" w:rsidRPr="00561924" w14:paraId="17E5B988" w14:textId="77777777" w:rsidTr="00D72F49">
        <w:trPr>
          <w:cantSplit/>
          <w:trHeight w:val="23"/>
        </w:trPr>
        <w:tc>
          <w:tcPr>
            <w:tcW w:w="3969" w:type="dxa"/>
            <w:vMerge/>
          </w:tcPr>
          <w:p w14:paraId="2192D6D7" w14:textId="77777777" w:rsidR="00D72F49" w:rsidRPr="00561924" w:rsidRDefault="00D72F49" w:rsidP="00542C03">
            <w:pPr>
              <w:tabs>
                <w:tab w:val="left" w:pos="851"/>
              </w:tabs>
              <w:rPr>
                <w:b/>
              </w:rPr>
            </w:pPr>
          </w:p>
        </w:tc>
        <w:tc>
          <w:tcPr>
            <w:tcW w:w="5245" w:type="dxa"/>
          </w:tcPr>
          <w:p w14:paraId="1948C622" w14:textId="77777777" w:rsidR="00D72F49" w:rsidRPr="00561924" w:rsidRDefault="00D72F49" w:rsidP="00542C03">
            <w:pPr>
              <w:tabs>
                <w:tab w:val="left" w:pos="851"/>
              </w:tabs>
              <w:spacing w:before="0"/>
              <w:jc w:val="right"/>
              <w:rPr>
                <w:b/>
              </w:rPr>
            </w:pPr>
            <w:r w:rsidRPr="00561924">
              <w:rPr>
                <w:b/>
                <w:rPrChange w:id="0" w:author="fleur" w:date="2023-06-23T10:38:00Z">
                  <w:rPr>
                    <w:b/>
                    <w:lang w:val="fr-CH"/>
                  </w:rPr>
                </w:rPrChange>
              </w:rPr>
              <w:t>Original: anglais</w:t>
            </w:r>
          </w:p>
        </w:tc>
      </w:tr>
      <w:tr w:rsidR="00D72F49" w:rsidRPr="00561924" w14:paraId="53623BEE" w14:textId="77777777" w:rsidTr="00D72F49">
        <w:trPr>
          <w:cantSplit/>
          <w:trHeight w:val="23"/>
        </w:trPr>
        <w:tc>
          <w:tcPr>
            <w:tcW w:w="3969" w:type="dxa"/>
          </w:tcPr>
          <w:p w14:paraId="630B4C34" w14:textId="77777777" w:rsidR="00D72F49" w:rsidRPr="00561924" w:rsidRDefault="00D72F49" w:rsidP="00542C03">
            <w:pPr>
              <w:tabs>
                <w:tab w:val="left" w:pos="851"/>
              </w:tabs>
              <w:rPr>
                <w:b/>
              </w:rPr>
            </w:pPr>
          </w:p>
        </w:tc>
        <w:tc>
          <w:tcPr>
            <w:tcW w:w="5245" w:type="dxa"/>
          </w:tcPr>
          <w:p w14:paraId="437750C4" w14:textId="77777777" w:rsidR="00D72F49" w:rsidRPr="00561924" w:rsidRDefault="00D72F49" w:rsidP="00542C03">
            <w:pPr>
              <w:tabs>
                <w:tab w:val="left" w:pos="851"/>
              </w:tabs>
              <w:spacing w:before="0"/>
              <w:jc w:val="right"/>
              <w:rPr>
                <w:b/>
              </w:rPr>
            </w:pPr>
          </w:p>
        </w:tc>
      </w:tr>
      <w:tr w:rsidR="00D72F49" w:rsidRPr="00561924" w14:paraId="31FFA2A5" w14:textId="77777777" w:rsidTr="00D72F49">
        <w:trPr>
          <w:cantSplit/>
        </w:trPr>
        <w:tc>
          <w:tcPr>
            <w:tcW w:w="9214" w:type="dxa"/>
            <w:gridSpan w:val="2"/>
            <w:tcMar>
              <w:left w:w="0" w:type="dxa"/>
            </w:tcMar>
          </w:tcPr>
          <w:p w14:paraId="7AA1F34C" w14:textId="0C35B069" w:rsidR="00D72F49" w:rsidRPr="00561924" w:rsidRDefault="00D72F49" w:rsidP="00542C03">
            <w:pPr>
              <w:pStyle w:val="Source"/>
              <w:jc w:val="left"/>
              <w:rPr>
                <w:sz w:val="34"/>
                <w:szCs w:val="34"/>
              </w:rPr>
            </w:pPr>
            <w:r w:rsidRPr="00561924">
              <w:rPr>
                <w:rFonts w:cstheme="minorHAnsi"/>
                <w:color w:val="000000"/>
                <w:sz w:val="34"/>
                <w:szCs w:val="34"/>
              </w:rPr>
              <w:t xml:space="preserve">Rapport </w:t>
            </w:r>
            <w:r w:rsidR="00E95647" w:rsidRPr="00561924">
              <w:rPr>
                <w:rFonts w:cstheme="minorHAnsi"/>
                <w:color w:val="000000"/>
                <w:sz w:val="34"/>
                <w:szCs w:val="34"/>
              </w:rPr>
              <w:t xml:space="preserve">de la </w:t>
            </w:r>
            <w:r w:rsidRPr="00561924">
              <w:rPr>
                <w:rFonts w:cstheme="minorHAnsi"/>
                <w:color w:val="000000"/>
                <w:sz w:val="34"/>
                <w:szCs w:val="34"/>
              </w:rPr>
              <w:t>Secrétaire général</w:t>
            </w:r>
            <w:r w:rsidR="00E95647" w:rsidRPr="00561924">
              <w:rPr>
                <w:rFonts w:cstheme="minorHAnsi"/>
                <w:color w:val="000000"/>
                <w:sz w:val="34"/>
                <w:szCs w:val="34"/>
              </w:rPr>
              <w:t>e</w:t>
            </w:r>
          </w:p>
        </w:tc>
      </w:tr>
      <w:tr w:rsidR="00D72F49" w:rsidRPr="00561924" w14:paraId="65E7E3D8" w14:textId="77777777" w:rsidTr="00D72F49">
        <w:trPr>
          <w:cantSplit/>
        </w:trPr>
        <w:tc>
          <w:tcPr>
            <w:tcW w:w="9214" w:type="dxa"/>
            <w:gridSpan w:val="2"/>
            <w:tcMar>
              <w:left w:w="0" w:type="dxa"/>
            </w:tcMar>
          </w:tcPr>
          <w:p w14:paraId="370F6D7B" w14:textId="09CB3B91" w:rsidR="00D72F49" w:rsidRPr="00561924" w:rsidRDefault="00FA6187" w:rsidP="00542C03">
            <w:pPr>
              <w:pStyle w:val="Subtitle"/>
              <w:framePr w:hSpace="0" w:wrap="auto" w:hAnchor="text" w:xAlign="left" w:yAlign="inline"/>
              <w:rPr>
                <w:lang w:val="fr-FR"/>
              </w:rPr>
            </w:pPr>
            <w:r w:rsidRPr="00561924">
              <w:rPr>
                <w:lang w:val="fr-FR"/>
              </w:rPr>
              <w:t>DATES ET DURÉE PROPOSÉES POUR LES SESSIONS DE 2024, 2025 ET</w:t>
            </w:r>
            <w:r w:rsidR="00C03545" w:rsidRPr="00561924">
              <w:rPr>
                <w:lang w:val="fr-FR"/>
              </w:rPr>
              <w:t> </w:t>
            </w:r>
            <w:r w:rsidRPr="00561924">
              <w:rPr>
                <w:lang w:val="fr-FR"/>
              </w:rPr>
              <w:t xml:space="preserve">2026 DU CONSEIL ET DATES PROPOSÉES POUR LES SÉRIES DE RÉUNIONS DES GROUPES DE TRAVAIL DU CONSEIL ET DES GROUPES D'EXPERTS </w:t>
            </w:r>
            <w:r w:rsidR="00911162" w:rsidRPr="00561924">
              <w:rPr>
                <w:lang w:val="fr-FR"/>
              </w:rPr>
              <w:t>POUR</w:t>
            </w:r>
            <w:r w:rsidR="00D20CE1" w:rsidRPr="00561924">
              <w:rPr>
                <w:lang w:val="fr-FR"/>
              </w:rPr>
              <w:t xml:space="preserve"> LA MÊME PÉRIODE</w:t>
            </w:r>
          </w:p>
        </w:tc>
      </w:tr>
      <w:tr w:rsidR="00D72F49" w:rsidRPr="00561924"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71AD113A" w:rsidR="00D72F49" w:rsidRPr="00561924" w:rsidRDefault="00F37FE5" w:rsidP="00542C03">
            <w:pPr>
              <w:spacing w:before="160"/>
              <w:rPr>
                <w:b/>
                <w:bCs/>
                <w:sz w:val="26"/>
                <w:szCs w:val="26"/>
                <w:rPrChange w:id="1" w:author="fleur" w:date="2023-06-23T10:38:00Z">
                  <w:rPr>
                    <w:b/>
                    <w:bCs/>
                    <w:sz w:val="26"/>
                    <w:szCs w:val="26"/>
                    <w:lang w:val="fr-CH"/>
                  </w:rPr>
                </w:rPrChange>
              </w:rPr>
            </w:pPr>
            <w:r w:rsidRPr="00561924">
              <w:rPr>
                <w:b/>
                <w:bCs/>
                <w:sz w:val="26"/>
                <w:szCs w:val="26"/>
                <w:rPrChange w:id="2" w:author="fleur" w:date="2023-06-23T10:38:00Z">
                  <w:rPr>
                    <w:b/>
                    <w:bCs/>
                    <w:sz w:val="26"/>
                    <w:szCs w:val="26"/>
                    <w:lang w:val="fr-CH"/>
                  </w:rPr>
                </w:rPrChange>
              </w:rPr>
              <w:t>Objet</w:t>
            </w:r>
          </w:p>
          <w:p w14:paraId="45E55FB2" w14:textId="7492F55F" w:rsidR="00D72F49" w:rsidRPr="00561924" w:rsidRDefault="00F253C5" w:rsidP="00542C03">
            <w:r w:rsidRPr="00561924">
              <w:t>Conformément à la Résolution 77 (Rév. Bucarest, 2022) de la Conférence de plénipotentiaires, aux termes de laquelle le Conseil de l'UIT, à chacune de ses sessions ordinaires, est chargé de planifier ses trois prochaines sessions ordinaires en juin-juillet</w:t>
            </w:r>
            <w:r w:rsidR="00911162" w:rsidRPr="00561924">
              <w:t xml:space="preserve"> et</w:t>
            </w:r>
            <w:r w:rsidRPr="00561924">
              <w:t xml:space="preserve"> de revoir son calendrier glissant</w:t>
            </w:r>
            <w:r w:rsidR="00911162" w:rsidRPr="00561924">
              <w:t>,</w:t>
            </w:r>
            <w:r w:rsidRPr="00561924">
              <w:t xml:space="preserve"> et </w:t>
            </w:r>
            <w:r w:rsidR="00911162" w:rsidRPr="00561924">
              <w:t>compte tenu de</w:t>
            </w:r>
            <w:r w:rsidRPr="00561924">
              <w:t xml:space="preserve"> l'Annexe 2 de la Décision</w:t>
            </w:r>
            <w:r w:rsidR="00C03545" w:rsidRPr="00561924">
              <w:t> </w:t>
            </w:r>
            <w:r w:rsidRPr="00561924">
              <w:t>5 (Rév.</w:t>
            </w:r>
            <w:r w:rsidR="00C03545" w:rsidRPr="00561924">
              <w:t> </w:t>
            </w:r>
            <w:r w:rsidRPr="00561924">
              <w:t>Bu</w:t>
            </w:r>
            <w:r w:rsidR="00C03545" w:rsidRPr="00561924">
              <w:t>carest</w:t>
            </w:r>
            <w:r w:rsidRPr="00561924">
              <w:t>,</w:t>
            </w:r>
            <w:r w:rsidR="00C03545" w:rsidRPr="00561924">
              <w:t> </w:t>
            </w:r>
            <w:r w:rsidRPr="00561924">
              <w:t>20</w:t>
            </w:r>
            <w:r w:rsidR="00C03545" w:rsidRPr="00561924">
              <w:t>22</w:t>
            </w:r>
            <w:r w:rsidRPr="00561924">
              <w:t>) de la Conférence de plénipotentiaires relative aux possibilités de réduction des</w:t>
            </w:r>
            <w:r w:rsidR="00C03545" w:rsidRPr="00561924">
              <w:t xml:space="preserve"> </w:t>
            </w:r>
            <w:r w:rsidR="0036171E" w:rsidRPr="00561924">
              <w:t>charges</w:t>
            </w:r>
            <w:r w:rsidRPr="00561924">
              <w:t xml:space="preserve">, il est proposé de réduire progressivement la durée des prochaines sessions ordinaires du Conseil et d'organiser </w:t>
            </w:r>
            <w:r w:rsidR="00AE5405" w:rsidRPr="00561924">
              <w:t>l'une</w:t>
            </w:r>
            <w:r w:rsidR="007E0957" w:rsidRPr="00561924">
              <w:t xml:space="preserve"> </w:t>
            </w:r>
            <w:r w:rsidR="00AE5405" w:rsidRPr="00561924">
              <w:t>d</w:t>
            </w:r>
            <w:r w:rsidRPr="00561924">
              <w:t>es séries de réunions des Groupes de travail du Conseil et des Groupes d'experts (GTC et EG)</w:t>
            </w:r>
            <w:r w:rsidR="00AE5405" w:rsidRPr="00561924">
              <w:t xml:space="preserve"> tenues chaque année de manière virtuelle</w:t>
            </w:r>
            <w:r w:rsidRPr="00561924">
              <w:t>.</w:t>
            </w:r>
          </w:p>
          <w:p w14:paraId="0B950982" w14:textId="77777777" w:rsidR="00D72F49" w:rsidRPr="00561924" w:rsidRDefault="00D72F49" w:rsidP="00542C03">
            <w:pPr>
              <w:spacing w:before="160"/>
              <w:rPr>
                <w:b/>
                <w:bCs/>
                <w:sz w:val="26"/>
                <w:szCs w:val="26"/>
              </w:rPr>
            </w:pPr>
            <w:r w:rsidRPr="00561924">
              <w:rPr>
                <w:b/>
                <w:bCs/>
                <w:sz w:val="26"/>
                <w:szCs w:val="26"/>
              </w:rPr>
              <w:t>Suite à donner par le Conseil</w:t>
            </w:r>
          </w:p>
          <w:p w14:paraId="6F9A6B88" w14:textId="537EE24B" w:rsidR="00D72F49" w:rsidRPr="00561924" w:rsidRDefault="001F27DB" w:rsidP="00542C03">
            <w:r w:rsidRPr="00561924">
              <w:t xml:space="preserve">Le Conseil est invité à </w:t>
            </w:r>
            <w:r w:rsidRPr="00561924">
              <w:rPr>
                <w:b/>
                <w:bCs/>
              </w:rPr>
              <w:t>confirmer</w:t>
            </w:r>
            <w:r w:rsidRPr="00561924">
              <w:t xml:space="preserve"> les dates de ses sessions de 2024, 2025 et 2026 ainsi que celles des séries de réunions des GTC et des EG pour la même période</w:t>
            </w:r>
            <w:r w:rsidR="005E2E90" w:rsidRPr="00561924">
              <w:t>,</w:t>
            </w:r>
            <w:r w:rsidRPr="00561924">
              <w:t xml:space="preserve"> et à </w:t>
            </w:r>
            <w:r w:rsidRPr="00561924">
              <w:rPr>
                <w:b/>
                <w:bCs/>
              </w:rPr>
              <w:t>adopter</w:t>
            </w:r>
            <w:r w:rsidRPr="00561924">
              <w:t xml:space="preserve"> le projet de Décision reproduit dans l'Annexe du présent document.</w:t>
            </w:r>
          </w:p>
          <w:p w14:paraId="121C402A" w14:textId="4FDE1FF1" w:rsidR="00D72F49" w:rsidRPr="00561924" w:rsidRDefault="00D72F49" w:rsidP="00542C03">
            <w:pPr>
              <w:spacing w:before="160"/>
              <w:rPr>
                <w:b/>
                <w:bCs/>
                <w:sz w:val="26"/>
                <w:szCs w:val="26"/>
              </w:rPr>
            </w:pPr>
            <w:r w:rsidRPr="00561924">
              <w:rPr>
                <w:b/>
                <w:bCs/>
                <w:sz w:val="26"/>
                <w:szCs w:val="26"/>
              </w:rPr>
              <w:t xml:space="preserve">Lien(s) pertinent(s) avec le </w:t>
            </w:r>
            <w:r w:rsidR="00F37FE5" w:rsidRPr="00561924">
              <w:rPr>
                <w:b/>
                <w:bCs/>
                <w:sz w:val="26"/>
                <w:szCs w:val="26"/>
              </w:rPr>
              <w:t>p</w:t>
            </w:r>
            <w:r w:rsidRPr="00561924">
              <w:rPr>
                <w:b/>
                <w:bCs/>
                <w:sz w:val="26"/>
                <w:szCs w:val="26"/>
              </w:rPr>
              <w:t>lan stratégique</w:t>
            </w:r>
          </w:p>
          <w:p w14:paraId="60D63331" w14:textId="676B6A16" w:rsidR="00D72F49" w:rsidRPr="00561924" w:rsidRDefault="00EE1F34" w:rsidP="00542C03">
            <w:r w:rsidRPr="00561924">
              <w:t>Plate-forme fédératrice</w:t>
            </w:r>
          </w:p>
          <w:p w14:paraId="11FAADC9" w14:textId="0E4402B1" w:rsidR="00E95647" w:rsidRPr="00561924" w:rsidRDefault="00D72F49" w:rsidP="00542C03">
            <w:pPr>
              <w:spacing w:before="160"/>
              <w:rPr>
                <w:b/>
                <w:bCs/>
                <w:sz w:val="26"/>
                <w:szCs w:val="26"/>
              </w:rPr>
            </w:pPr>
            <w:r w:rsidRPr="00561924">
              <w:rPr>
                <w:b/>
                <w:bCs/>
                <w:sz w:val="26"/>
                <w:szCs w:val="26"/>
              </w:rPr>
              <w:t>Incidences financières</w:t>
            </w:r>
          </w:p>
          <w:p w14:paraId="7A2DA241" w14:textId="3BF0C145" w:rsidR="00FA6187" w:rsidRPr="00561924" w:rsidRDefault="00FA6187" w:rsidP="00542C03">
            <w:pPr>
              <w:pStyle w:val="enumlev1"/>
            </w:pPr>
            <w:r w:rsidRPr="00561924">
              <w:t>–</w:t>
            </w:r>
            <w:r w:rsidRPr="00561924">
              <w:tab/>
            </w:r>
            <w:r w:rsidR="001E7657" w:rsidRPr="00561924">
              <w:t>Les coûts afférents à la tenue des sessions de 2024 et de 2025 du Conseil et des séries de réunions des Groupes de travail du Conseil et des Groupes d'experts à l'UIT sont couverts par le budget biennal 2024-2025</w:t>
            </w:r>
            <w:r w:rsidRPr="00561924">
              <w:t>.</w:t>
            </w:r>
          </w:p>
          <w:p w14:paraId="43B6902C" w14:textId="547CB11C" w:rsidR="00FA6187" w:rsidRPr="00561924" w:rsidRDefault="00FA6187" w:rsidP="00542C03">
            <w:pPr>
              <w:pStyle w:val="enumlev1"/>
            </w:pPr>
            <w:r w:rsidRPr="00561924">
              <w:t>–</w:t>
            </w:r>
            <w:r w:rsidRPr="00561924">
              <w:tab/>
            </w:r>
            <w:r w:rsidR="005E2E90" w:rsidRPr="00561924">
              <w:t>La tenue d'</w:t>
            </w:r>
            <w:r w:rsidR="001E7657" w:rsidRPr="00561924">
              <w:t>une session du Conseil au Centre international de conférences de Genève (CICG)</w:t>
            </w:r>
            <w:r w:rsidR="005E2E90" w:rsidRPr="00561924">
              <w:t xml:space="preserve"> entraînerait</w:t>
            </w:r>
            <w:r w:rsidR="001E7657" w:rsidRPr="00561924">
              <w:t xml:space="preserve"> des </w:t>
            </w:r>
            <w:r w:rsidR="005E2E90" w:rsidRPr="00561924">
              <w:t>coûts</w:t>
            </w:r>
            <w:r w:rsidR="001E7657" w:rsidRPr="00561924">
              <w:t xml:space="preserve"> supplémentaires, estimés à 34 163 CHF pour une session du Conseil de six jours, 39 496 CHF pour une session du Conseil de sept jours,</w:t>
            </w:r>
            <w:r w:rsidR="00032A7D" w:rsidRPr="00561924">
              <w:t xml:space="preserve"> </w:t>
            </w:r>
            <w:r w:rsidR="001E7657" w:rsidRPr="00561924">
              <w:t>43</w:t>
            </w:r>
            <w:r w:rsidR="00C03545" w:rsidRPr="00561924">
              <w:t> </w:t>
            </w:r>
            <w:r w:rsidR="001E7657" w:rsidRPr="00561924">
              <w:t>998</w:t>
            </w:r>
            <w:r w:rsidR="00C03545" w:rsidRPr="00561924">
              <w:t> </w:t>
            </w:r>
            <w:r w:rsidR="001E7657" w:rsidRPr="00561924">
              <w:t>CHF pour une session du Conseil de huit jours ou 51 250 CHF pour une session de neuf jours.</w:t>
            </w:r>
          </w:p>
          <w:p w14:paraId="1476D7E3" w14:textId="576B5EC4" w:rsidR="00D72F49" w:rsidRPr="00561924" w:rsidRDefault="00FA6187" w:rsidP="00542C03">
            <w:pPr>
              <w:pStyle w:val="enumlev1"/>
            </w:pPr>
            <w:r w:rsidRPr="00561924">
              <w:lastRenderedPageBreak/>
              <w:t>–</w:t>
            </w:r>
            <w:r w:rsidRPr="00561924">
              <w:tab/>
            </w:r>
            <w:r w:rsidR="005E2E90" w:rsidRPr="00561924">
              <w:t>La tenue</w:t>
            </w:r>
            <w:r w:rsidR="001A0C83" w:rsidRPr="00561924">
              <w:t xml:space="preserve"> </w:t>
            </w:r>
            <w:r w:rsidR="005E2E90" w:rsidRPr="00561924">
              <w:t>d</w:t>
            </w:r>
            <w:r w:rsidR="001A0C83" w:rsidRPr="00561924">
              <w:t xml:space="preserve">es séries de réunions des Groupes de travail du Conseil et des Groupes d'experts au CICG </w:t>
            </w:r>
            <w:r w:rsidR="005E2E90" w:rsidRPr="00561924">
              <w:t>entraînerait d</w:t>
            </w:r>
            <w:r w:rsidR="001A0C83" w:rsidRPr="00561924">
              <w:t>es coûts supplémentaires estimés à 26 173 CHF pour deux semaines</w:t>
            </w:r>
            <w:r w:rsidRPr="00561924">
              <w:t>.</w:t>
            </w:r>
          </w:p>
          <w:p w14:paraId="2E44E753" w14:textId="77777777" w:rsidR="00D72F49" w:rsidRPr="00561924" w:rsidRDefault="00D72F49" w:rsidP="00542C03">
            <w:pPr>
              <w:spacing w:before="160"/>
              <w:rPr>
                <w:caps/>
                <w:sz w:val="22"/>
              </w:rPr>
            </w:pPr>
            <w:r w:rsidRPr="00561924">
              <w:rPr>
                <w:sz w:val="22"/>
              </w:rPr>
              <w:t>__________________</w:t>
            </w:r>
          </w:p>
          <w:p w14:paraId="246B160C" w14:textId="77777777" w:rsidR="00D72F49" w:rsidRPr="00561924" w:rsidRDefault="00D72F49" w:rsidP="00542C03">
            <w:pPr>
              <w:spacing w:before="160"/>
              <w:rPr>
                <w:b/>
                <w:bCs/>
                <w:sz w:val="26"/>
                <w:szCs w:val="26"/>
              </w:rPr>
            </w:pPr>
            <w:r w:rsidRPr="00561924">
              <w:rPr>
                <w:b/>
                <w:bCs/>
                <w:sz w:val="26"/>
                <w:szCs w:val="26"/>
              </w:rPr>
              <w:t>Références</w:t>
            </w:r>
          </w:p>
          <w:p w14:paraId="3B399B5C" w14:textId="3CAE8F71" w:rsidR="00D72F49" w:rsidRPr="00561924" w:rsidRDefault="009C228C" w:rsidP="00542C03">
            <w:pPr>
              <w:spacing w:after="120"/>
              <w:rPr>
                <w:szCs w:val="24"/>
              </w:rPr>
            </w:pPr>
            <w:hyperlink r:id="rId7" w:history="1">
              <w:r w:rsidR="00E7607C" w:rsidRPr="00561924">
                <w:rPr>
                  <w:rStyle w:val="Hyperlink"/>
                  <w:i/>
                  <w:iCs/>
                </w:rPr>
                <w:t>Article 1, Règlement intérieur du Conseil</w:t>
              </w:r>
            </w:hyperlink>
            <w:r w:rsidR="00FA6187" w:rsidRPr="00561924">
              <w:rPr>
                <w:i/>
                <w:iCs/>
                <w:szCs w:val="24"/>
              </w:rPr>
              <w:t xml:space="preserve">; Résolution 77 (Rév. Bucarest, 2022), </w:t>
            </w:r>
            <w:hyperlink r:id="rId8" w:history="1">
              <w:r w:rsidR="00FA6187" w:rsidRPr="00561924">
                <w:rPr>
                  <w:rStyle w:val="Hyperlink"/>
                  <w:i/>
                  <w:iCs/>
                  <w:szCs w:val="24"/>
                </w:rPr>
                <w:t>Résolution 111 (Rév. Busan, 2014)</w:t>
              </w:r>
            </w:hyperlink>
            <w:r w:rsidR="00FA6187" w:rsidRPr="00561924">
              <w:rPr>
                <w:i/>
                <w:iCs/>
                <w:szCs w:val="24"/>
              </w:rPr>
              <w:t xml:space="preserve"> de la Conférence de plénipotentiaires; </w:t>
            </w:r>
            <w:hyperlink r:id="rId9" w:history="1">
              <w:r w:rsidR="00FA6187" w:rsidRPr="00561924">
                <w:rPr>
                  <w:rStyle w:val="Hyperlink"/>
                  <w:i/>
                  <w:iCs/>
                  <w:szCs w:val="24"/>
                </w:rPr>
                <w:t>Décision 626</w:t>
              </w:r>
            </w:hyperlink>
            <w:r w:rsidR="00FA6187" w:rsidRPr="00561924">
              <w:rPr>
                <w:i/>
                <w:iCs/>
                <w:szCs w:val="24"/>
              </w:rPr>
              <w:t xml:space="preserve"> (C22) du Conseil; Documents </w:t>
            </w:r>
            <w:hyperlink r:id="rId10" w:history="1">
              <w:r w:rsidR="00FA6187" w:rsidRPr="00561924">
                <w:rPr>
                  <w:rStyle w:val="Hyperlink"/>
                  <w:i/>
                  <w:iCs/>
                  <w:szCs w:val="24"/>
                </w:rPr>
                <w:t>C22/2</w:t>
              </w:r>
            </w:hyperlink>
            <w:r w:rsidR="00FA6187" w:rsidRPr="00561924">
              <w:rPr>
                <w:i/>
                <w:iCs/>
                <w:szCs w:val="24"/>
              </w:rPr>
              <w:t xml:space="preserve">; </w:t>
            </w:r>
            <w:hyperlink r:id="rId11" w:history="1">
              <w:r w:rsidR="00FA6187" w:rsidRPr="00561924">
                <w:rPr>
                  <w:rStyle w:val="Hyperlink"/>
                  <w:i/>
                  <w:iCs/>
                  <w:szCs w:val="24"/>
                </w:rPr>
                <w:t>C23/37</w:t>
              </w:r>
            </w:hyperlink>
            <w:r w:rsidR="00FA6187" w:rsidRPr="00561924">
              <w:rPr>
                <w:i/>
                <w:iCs/>
                <w:szCs w:val="24"/>
              </w:rPr>
              <w:t xml:space="preserve">, et </w:t>
            </w:r>
            <w:hyperlink r:id="rId12" w:history="1">
              <w:r w:rsidR="00FA6187" w:rsidRPr="00561924">
                <w:rPr>
                  <w:rStyle w:val="Hyperlink"/>
                  <w:i/>
                  <w:iCs/>
                  <w:szCs w:val="24"/>
                </w:rPr>
                <w:t>C23/7</w:t>
              </w:r>
            </w:hyperlink>
            <w:r w:rsidR="00FA6187" w:rsidRPr="00561924">
              <w:rPr>
                <w:i/>
                <w:iCs/>
              </w:rPr>
              <w:t xml:space="preserve"> du Conseil</w:t>
            </w:r>
            <w:r w:rsidR="00FA6187" w:rsidRPr="00561924">
              <w:rPr>
                <w:i/>
                <w:iCs/>
                <w:szCs w:val="24"/>
              </w:rPr>
              <w:t>;</w:t>
            </w:r>
          </w:p>
        </w:tc>
      </w:tr>
    </w:tbl>
    <w:p w14:paraId="10E850D2" w14:textId="77777777" w:rsidR="00A51849" w:rsidRPr="00561924" w:rsidRDefault="00A51849" w:rsidP="00542C03">
      <w:pPr>
        <w:rPr>
          <w:rPrChange w:id="3" w:author="fleur" w:date="2023-06-23T10:38:00Z">
            <w:rPr>
              <w:lang w:val="fr-CH"/>
            </w:rPr>
          </w:rPrChange>
        </w:rPr>
      </w:pPr>
    </w:p>
    <w:p w14:paraId="3B7150AC" w14:textId="00F08C36" w:rsidR="00A51849" w:rsidRPr="00561924" w:rsidRDefault="00A51849" w:rsidP="00542C03">
      <w:pPr>
        <w:tabs>
          <w:tab w:val="clear" w:pos="567"/>
          <w:tab w:val="clear" w:pos="1134"/>
          <w:tab w:val="clear" w:pos="1701"/>
          <w:tab w:val="clear" w:pos="2268"/>
          <w:tab w:val="clear" w:pos="2835"/>
        </w:tabs>
        <w:overflowPunct/>
        <w:autoSpaceDE/>
        <w:autoSpaceDN/>
        <w:adjustRightInd/>
        <w:spacing w:before="0"/>
        <w:textAlignment w:val="auto"/>
      </w:pPr>
      <w:r w:rsidRPr="00561924">
        <w:br w:type="page"/>
      </w:r>
    </w:p>
    <w:p w14:paraId="422CA254" w14:textId="77777777" w:rsidR="00FA6187" w:rsidRPr="00561924" w:rsidRDefault="00FA6187" w:rsidP="00542C03">
      <w:pPr>
        <w:pStyle w:val="Headingb"/>
      </w:pPr>
      <w:r w:rsidRPr="00561924">
        <w:lastRenderedPageBreak/>
        <w:t>Introduction</w:t>
      </w:r>
    </w:p>
    <w:p w14:paraId="455C4CAD" w14:textId="5C17BB1D" w:rsidR="00FA6187" w:rsidRPr="00561924" w:rsidRDefault="00FA6187" w:rsidP="00542C03">
      <w:r w:rsidRPr="00561924">
        <w:t>1</w:t>
      </w:r>
      <w:r w:rsidRPr="00561924">
        <w:tab/>
      </w:r>
      <w:r w:rsidR="00EF795F" w:rsidRPr="00561924">
        <w:t xml:space="preserve">À sa session de 2022, le Conseil de l'UIT a adopté </w:t>
      </w:r>
      <w:r w:rsidR="005E2E90" w:rsidRPr="00561924">
        <w:t>s</w:t>
      </w:r>
      <w:r w:rsidR="00EF795F" w:rsidRPr="00561924">
        <w:t xml:space="preserve">a </w:t>
      </w:r>
      <w:hyperlink r:id="rId13" w:history="1">
        <w:r w:rsidR="00EF795F" w:rsidRPr="00561924">
          <w:rPr>
            <w:rStyle w:val="Hyperlink"/>
          </w:rPr>
          <w:t>Décision 626</w:t>
        </w:r>
      </w:hyperlink>
      <w:r w:rsidR="00EF795F" w:rsidRPr="00561924">
        <w:t xml:space="preserve"> relative aux dates et durée</w:t>
      </w:r>
      <w:r w:rsidR="00D05EAE" w:rsidRPr="00561924">
        <w:t>s</w:t>
      </w:r>
      <w:r w:rsidR="00EF795F" w:rsidRPr="00561924">
        <w:t xml:space="preserve"> des sessions de 2023, 2024, 2025 et 2026 du Conseil, ainsi que des séries de réunions des Groupes de travail et des Groupes d'experts du Conseil pour les sessions de 2023, 2024 et</w:t>
      </w:r>
      <w:r w:rsidR="00C03545" w:rsidRPr="00561924">
        <w:t> </w:t>
      </w:r>
      <w:r w:rsidR="00EF795F" w:rsidRPr="00561924">
        <w:t>2025.</w:t>
      </w:r>
    </w:p>
    <w:p w14:paraId="00F672BA" w14:textId="06D12AF1" w:rsidR="00FA6187" w:rsidRPr="00561924" w:rsidRDefault="00FA6187" w:rsidP="00542C03">
      <w:r w:rsidRPr="00561924">
        <w:t>2</w:t>
      </w:r>
      <w:r w:rsidRPr="00561924">
        <w:tab/>
      </w:r>
      <w:r w:rsidR="00B50308" w:rsidRPr="00561924">
        <w:t xml:space="preserve">Les dates des sessions du Conseil et des séries de réunions des Groupes de travail du Conseil approuvées dans la Décision 626 </w:t>
      </w:r>
      <w:r w:rsidR="00090691" w:rsidRPr="00561924">
        <w:t xml:space="preserve">tenaient </w:t>
      </w:r>
      <w:r w:rsidR="00B50308" w:rsidRPr="00561924">
        <w:t>compte des grandes fêtes religieuses et de la disponibilité du Centre international de conférences de Genève (CICG) pendant la démolition et la phase de construction initiale du projet de locaux du siège.</w:t>
      </w:r>
    </w:p>
    <w:p w14:paraId="099BEFF0" w14:textId="0738858D" w:rsidR="00FA6187" w:rsidRPr="00561924" w:rsidRDefault="00FA6187" w:rsidP="00542C03">
      <w:r w:rsidRPr="00561924">
        <w:t>3</w:t>
      </w:r>
      <w:r w:rsidRPr="00561924">
        <w:tab/>
      </w:r>
      <w:r w:rsidR="00B50308" w:rsidRPr="00561924">
        <w:t xml:space="preserve">Néanmoins, compte tenu des progrès réalisés dans la mise en </w:t>
      </w:r>
      <w:r w:rsidR="00C03545" w:rsidRPr="00561924">
        <w:t>œuvre</w:t>
      </w:r>
      <w:r w:rsidR="00B50308" w:rsidRPr="00561924">
        <w:t xml:space="preserve"> du projet de locaux du siège de l'Union, comme indiqué dans le Document </w:t>
      </w:r>
      <w:hyperlink r:id="rId14" w:history="1">
        <w:r w:rsidR="00B50308" w:rsidRPr="00561924">
          <w:rPr>
            <w:rStyle w:val="Hyperlink"/>
          </w:rPr>
          <w:t>23/7</w:t>
        </w:r>
      </w:hyperlink>
      <w:r w:rsidR="00B50308" w:rsidRPr="00561924">
        <w:t xml:space="preserve"> du Conseil, mais sans préjudice des décisions et orientations que pourrait prendre le Conseil à cet égard, il sera</w:t>
      </w:r>
      <w:r w:rsidR="00345464" w:rsidRPr="00561924">
        <w:t xml:space="preserve"> peut</w:t>
      </w:r>
      <w:r w:rsidR="00467679" w:rsidRPr="00561924">
        <w:noBreakHyphen/>
      </w:r>
      <w:r w:rsidR="00345464" w:rsidRPr="00561924">
        <w:t>être</w:t>
      </w:r>
      <w:r w:rsidR="00B50308" w:rsidRPr="00561924">
        <w:t xml:space="preserve"> possible </w:t>
      </w:r>
      <w:r w:rsidR="00345464" w:rsidRPr="00561924">
        <w:t>d'envisager de tenir l</w:t>
      </w:r>
      <w:r w:rsidR="00B50308" w:rsidRPr="00561924">
        <w:t>es sessions de 2024 et 2025 du Conseil en juin à</w:t>
      </w:r>
      <w:r w:rsidR="00C03545" w:rsidRPr="00561924">
        <w:t> </w:t>
      </w:r>
      <w:r w:rsidR="00B50308" w:rsidRPr="00561924">
        <w:t>l'UIT</w:t>
      </w:r>
      <w:r w:rsidRPr="00561924">
        <w:t>.</w:t>
      </w:r>
    </w:p>
    <w:p w14:paraId="3E507DAA" w14:textId="7315ACE2" w:rsidR="00FA6187" w:rsidRPr="00561924" w:rsidRDefault="00FA6187" w:rsidP="00542C03">
      <w:r w:rsidRPr="00561924">
        <w:t>4</w:t>
      </w:r>
      <w:r w:rsidRPr="00561924">
        <w:tab/>
      </w:r>
      <w:r w:rsidR="00EE3F4D" w:rsidRPr="00561924">
        <w:t xml:space="preserve">Lors de la Conférence de plénipotentiaires (Bucarest, 2022), les </w:t>
      </w:r>
      <w:r w:rsidR="00D05EAE" w:rsidRPr="00561924">
        <w:t>É</w:t>
      </w:r>
      <w:r w:rsidR="00EE3F4D" w:rsidRPr="00561924">
        <w:t>tats Membres ont en outre souligné la nécessité de réduire le nombre et la durée des réunions traditionnelles. La </w:t>
      </w:r>
      <w:hyperlink r:id="rId15" w:history="1">
        <w:r w:rsidRPr="00561924">
          <w:rPr>
            <w:rStyle w:val="Hyperlink"/>
          </w:rPr>
          <w:t>D</w:t>
        </w:r>
        <w:r w:rsidR="00AC6967" w:rsidRPr="00561924">
          <w:rPr>
            <w:rStyle w:val="Hyperlink"/>
          </w:rPr>
          <w:t>é</w:t>
        </w:r>
        <w:r w:rsidRPr="00561924">
          <w:rPr>
            <w:rStyle w:val="Hyperlink"/>
          </w:rPr>
          <w:t>cision 11</w:t>
        </w:r>
      </w:hyperlink>
      <w:r w:rsidRPr="00561924">
        <w:t xml:space="preserve"> (R</w:t>
      </w:r>
      <w:r w:rsidR="00AC6967" w:rsidRPr="00561924">
        <w:t>é</w:t>
      </w:r>
      <w:r w:rsidRPr="00561924">
        <w:t xml:space="preserve">v. Bucarest, 2022) </w:t>
      </w:r>
      <w:r w:rsidR="0091232E" w:rsidRPr="00561924">
        <w:t xml:space="preserve">de la Conférence de plénipotentiaires relative à la création et à la gestion des groupes de travail du Conseil fait référence à l'Annexe 2 de la </w:t>
      </w:r>
      <w:hyperlink r:id="rId16" w:history="1">
        <w:r w:rsidRPr="00561924">
          <w:rPr>
            <w:rStyle w:val="Hyperlink"/>
          </w:rPr>
          <w:t>D</w:t>
        </w:r>
        <w:r w:rsidR="00AC6967" w:rsidRPr="00561924">
          <w:rPr>
            <w:rStyle w:val="Hyperlink"/>
          </w:rPr>
          <w:t>é</w:t>
        </w:r>
        <w:r w:rsidRPr="00561924">
          <w:rPr>
            <w:rStyle w:val="Hyperlink"/>
          </w:rPr>
          <w:t>cision 5</w:t>
        </w:r>
      </w:hyperlink>
      <w:r w:rsidRPr="00561924">
        <w:t xml:space="preserve"> (R</w:t>
      </w:r>
      <w:r w:rsidR="00AC6967" w:rsidRPr="00561924">
        <w:t>é</w:t>
      </w:r>
      <w:r w:rsidRPr="00561924">
        <w:t xml:space="preserve">v. Bucarest, 2022) </w:t>
      </w:r>
      <w:r w:rsidR="00C30819" w:rsidRPr="00561924">
        <w:t xml:space="preserve">de la </w:t>
      </w:r>
      <w:r w:rsidR="00345464" w:rsidRPr="00561924">
        <w:t>PP</w:t>
      </w:r>
      <w:r w:rsidR="00C30819" w:rsidRPr="00561924">
        <w:t xml:space="preserve"> relative aux possibilités de réduction des charges, qui prévoit notamment la réduction au strict minimum nécessaire du nombre de GTC et la réduction, dans la mesure du possible, du nombre et de la durée des réunions </w:t>
      </w:r>
      <w:r w:rsidR="00345464" w:rsidRPr="00561924">
        <w:t>traditionnelles</w:t>
      </w:r>
      <w:r w:rsidR="00C30819" w:rsidRPr="00561924">
        <w:t xml:space="preserve"> des GTC et, conformément au paragraphe 14, l'optimisation du nombre et de la durée des réunions.</w:t>
      </w:r>
    </w:p>
    <w:p w14:paraId="30F1BFEF" w14:textId="19A0DF3E" w:rsidR="00FA6187" w:rsidRPr="00561924" w:rsidRDefault="00FA6187" w:rsidP="00542C03">
      <w:bookmarkStart w:id="4" w:name="here"/>
      <w:r w:rsidRPr="00561924">
        <w:t>5</w:t>
      </w:r>
      <w:r w:rsidRPr="00561924">
        <w:tab/>
      </w:r>
      <w:r w:rsidR="00634475" w:rsidRPr="00561924">
        <w:t>É</w:t>
      </w:r>
      <w:r w:rsidR="00556228" w:rsidRPr="00561924">
        <w:t xml:space="preserve">tant donné que le </w:t>
      </w:r>
      <w:r w:rsidR="004C23C8" w:rsidRPr="00561924">
        <w:t>S</w:t>
      </w:r>
      <w:r w:rsidR="00556228" w:rsidRPr="00561924">
        <w:t>ecrétariat a pris des mesures pour améliorer le processus de prise de décision au Conseil, notamment en organisant une série de séances</w:t>
      </w:r>
      <w:r w:rsidR="004C23C8" w:rsidRPr="00561924">
        <w:t xml:space="preserve"> d'information</w:t>
      </w:r>
      <w:r w:rsidR="00556228" w:rsidRPr="00561924">
        <w:t xml:space="preserve"> virtuelles thématiques avec les </w:t>
      </w:r>
      <w:r w:rsidR="00634475" w:rsidRPr="00561924">
        <w:t>É</w:t>
      </w:r>
      <w:r w:rsidR="00556228" w:rsidRPr="00561924">
        <w:t xml:space="preserve">tats Membres du Conseil, afin d'examiner des questions importantes avant la session, </w:t>
      </w:r>
      <w:r w:rsidR="004C23C8" w:rsidRPr="00561924">
        <w:t>il</w:t>
      </w:r>
      <w:r w:rsidR="00556228" w:rsidRPr="00561924">
        <w:t xml:space="preserve"> pourrait </w:t>
      </w:r>
      <w:r w:rsidR="004C23C8" w:rsidRPr="00561924">
        <w:t xml:space="preserve">être </w:t>
      </w:r>
      <w:r w:rsidR="00556228" w:rsidRPr="00561924">
        <w:t>envisag</w:t>
      </w:r>
      <w:r w:rsidR="004C23C8" w:rsidRPr="00561924">
        <w:t>é</w:t>
      </w:r>
      <w:r w:rsidR="00556228" w:rsidRPr="00561924">
        <w:t xml:space="preserve"> de réduire la durée des sessions annuelles du Conseil.</w:t>
      </w:r>
    </w:p>
    <w:bookmarkEnd w:id="4"/>
    <w:p w14:paraId="455CF576" w14:textId="6025F5FC" w:rsidR="00FA6187" w:rsidRPr="00561924" w:rsidRDefault="00FA6187" w:rsidP="00542C03">
      <w:r w:rsidRPr="00561924">
        <w:t>6</w:t>
      </w:r>
      <w:r w:rsidRPr="00561924">
        <w:tab/>
      </w:r>
      <w:r w:rsidR="00543963" w:rsidRPr="00561924">
        <w:t xml:space="preserve">Compte tenu des </w:t>
      </w:r>
      <w:r w:rsidR="004C23C8" w:rsidRPr="00561924">
        <w:t>périodes correspondant à des</w:t>
      </w:r>
      <w:r w:rsidR="00F02963" w:rsidRPr="00561924">
        <w:t xml:space="preserve"> fêtes</w:t>
      </w:r>
      <w:r w:rsidR="00543963" w:rsidRPr="00561924">
        <w:t xml:space="preserve"> religieuses</w:t>
      </w:r>
      <w:r w:rsidR="00F349AD" w:rsidRPr="00561924">
        <w:t>,</w:t>
      </w:r>
      <w:r w:rsidR="00543963" w:rsidRPr="00561924">
        <w:t xml:space="preserve"> d</w:t>
      </w:r>
      <w:r w:rsidR="00F02963" w:rsidRPr="00561924">
        <w:t xml:space="preserve">u </w:t>
      </w:r>
      <w:r w:rsidR="00F349AD" w:rsidRPr="00561924">
        <w:t>S</w:t>
      </w:r>
      <w:r w:rsidR="00F02963" w:rsidRPr="00561924">
        <w:t>alon de</w:t>
      </w:r>
      <w:r w:rsidR="00543963" w:rsidRPr="00561924">
        <w:t xml:space="preserve"> l'automobile de Genève</w:t>
      </w:r>
      <w:r w:rsidR="00F349AD" w:rsidRPr="00561924">
        <w:t>,</w:t>
      </w:r>
      <w:r w:rsidR="00543963" w:rsidRPr="00561924">
        <w:t xml:space="preserve"> qui se tiendr</w:t>
      </w:r>
      <w:r w:rsidR="00F349AD" w:rsidRPr="00561924">
        <w:t>a</w:t>
      </w:r>
      <w:r w:rsidR="00543963" w:rsidRPr="00561924">
        <w:t xml:space="preserve"> du 26 </w:t>
      </w:r>
      <w:r w:rsidR="00032A7D" w:rsidRPr="00561924">
        <w:t xml:space="preserve">février </w:t>
      </w:r>
      <w:r w:rsidR="00543963" w:rsidRPr="00561924">
        <w:t>au 3 mars 2024</w:t>
      </w:r>
      <w:r w:rsidR="00F349AD" w:rsidRPr="00561924">
        <w:t>,</w:t>
      </w:r>
      <w:r w:rsidR="00543963" w:rsidRPr="00561924">
        <w:t xml:space="preserve"> et de la </w:t>
      </w:r>
      <w:r w:rsidR="004C23C8" w:rsidRPr="00561924">
        <w:t xml:space="preserve">possible </w:t>
      </w:r>
      <w:r w:rsidR="00543963" w:rsidRPr="00561924">
        <w:t xml:space="preserve">disponibilité du siège de l'UIT, il est proposé </w:t>
      </w:r>
      <w:r w:rsidR="004C23C8" w:rsidRPr="00561924">
        <w:t>d'avancer les dates de</w:t>
      </w:r>
      <w:r w:rsidR="00543963" w:rsidRPr="00561924">
        <w:t xml:space="preserve"> la première série de réunions des Groupes de travail du Conseil </w:t>
      </w:r>
      <w:r w:rsidR="004C23C8" w:rsidRPr="00561924">
        <w:t>pour les tenir du</w:t>
      </w:r>
      <w:r w:rsidR="00543963" w:rsidRPr="00561924">
        <w:t xml:space="preserve"> 22 janvier au 2 février 2024.</w:t>
      </w:r>
    </w:p>
    <w:p w14:paraId="1A418E34" w14:textId="2F266D47" w:rsidR="00FA6187" w:rsidRPr="00561924" w:rsidRDefault="00F05079" w:rsidP="00542C03">
      <w:pPr>
        <w:pStyle w:val="Headingb"/>
        <w:rPr>
          <w:szCs w:val="24"/>
        </w:rPr>
      </w:pPr>
      <w:r w:rsidRPr="00561924">
        <w:t>Proposition</w:t>
      </w:r>
    </w:p>
    <w:p w14:paraId="5FF92EAA" w14:textId="72B5539F" w:rsidR="00FA6187" w:rsidRPr="00561924" w:rsidRDefault="00FA6187" w:rsidP="00542C03">
      <w:r w:rsidRPr="00561924">
        <w:t>7</w:t>
      </w:r>
      <w:r w:rsidRPr="00561924">
        <w:tab/>
      </w:r>
      <w:r w:rsidR="00710D1F" w:rsidRPr="00561924">
        <w:t>Compte tenu de ce qui précède, il est proposé:</w:t>
      </w:r>
    </w:p>
    <w:p w14:paraId="75801E6D" w14:textId="4EF02D6E" w:rsidR="00FA6187" w:rsidRPr="00561924" w:rsidRDefault="00FA6187" w:rsidP="00542C03">
      <w:pPr>
        <w:pStyle w:val="enumlev1"/>
      </w:pPr>
      <w:r w:rsidRPr="00561924">
        <w:t>a)</w:t>
      </w:r>
      <w:r w:rsidRPr="00561924">
        <w:tab/>
      </w:r>
      <w:r w:rsidR="00653F8B" w:rsidRPr="00561924">
        <w:t xml:space="preserve">d'organiser la première série de réunions des Groupes de travail du Conseil et des Groupes d'experts </w:t>
      </w:r>
      <w:r w:rsidR="004C23C8" w:rsidRPr="00561924">
        <w:t>de</w:t>
      </w:r>
      <w:r w:rsidR="00653F8B" w:rsidRPr="00561924">
        <w:t xml:space="preserve"> 2024 du 22 janvier au 2 février 2024 </w:t>
      </w:r>
      <w:r w:rsidR="0043643B" w:rsidRPr="00561924">
        <w:t xml:space="preserve">de manière physique </w:t>
      </w:r>
      <w:r w:rsidR="00653F8B" w:rsidRPr="00561924">
        <w:t>à Genève;</w:t>
      </w:r>
    </w:p>
    <w:p w14:paraId="4F1C204D" w14:textId="6F0BB7CA" w:rsidR="00FA6187" w:rsidRPr="00561924" w:rsidRDefault="00FA6187" w:rsidP="00542C03">
      <w:pPr>
        <w:pStyle w:val="enumlev1"/>
      </w:pPr>
      <w:r w:rsidRPr="00561924">
        <w:t>b)</w:t>
      </w:r>
      <w:r w:rsidRPr="00561924">
        <w:tab/>
      </w:r>
      <w:r w:rsidR="00402C1F" w:rsidRPr="00561924">
        <w:t>de réduire progressivement la durée de chaque session ordinaire du Conseil</w:t>
      </w:r>
      <w:r w:rsidR="004C23C8" w:rsidRPr="00561924">
        <w:t xml:space="preserve"> d'un jour</w:t>
      </w:r>
      <w:r w:rsidR="00402C1F" w:rsidRPr="00561924">
        <w:t xml:space="preserve"> chaque année</w:t>
      </w:r>
      <w:r w:rsidR="004C23C8" w:rsidRPr="00561924">
        <w:t>,</w:t>
      </w:r>
      <w:r w:rsidR="00402C1F" w:rsidRPr="00561924">
        <w:t xml:space="preserve"> de façon à </w:t>
      </w:r>
      <w:r w:rsidR="004C23C8" w:rsidRPr="00561924">
        <w:t>la ram</w:t>
      </w:r>
      <w:r w:rsidR="002F4D10" w:rsidRPr="00561924">
        <w:t>e</w:t>
      </w:r>
      <w:r w:rsidR="004C23C8" w:rsidRPr="00561924">
        <w:t>ner</w:t>
      </w:r>
      <w:r w:rsidR="00402C1F" w:rsidRPr="00561924">
        <w:t xml:space="preserve"> de neuf à six jours ouvrables et, par conséquent:</w:t>
      </w:r>
    </w:p>
    <w:p w14:paraId="0510089C" w14:textId="1A34FE41" w:rsidR="00FA6187" w:rsidRPr="00561924" w:rsidRDefault="00FA6187" w:rsidP="00542C03">
      <w:pPr>
        <w:pStyle w:val="enumlev2"/>
        <w:rPr>
          <w:b/>
          <w:bCs/>
        </w:rPr>
      </w:pPr>
      <w:bookmarkStart w:id="5" w:name="_Hlk137472842"/>
      <w:r w:rsidRPr="00561924">
        <w:t>•</w:t>
      </w:r>
      <w:r w:rsidRPr="00561924">
        <w:tab/>
      </w:r>
      <w:r w:rsidR="00015D8B" w:rsidRPr="00561924">
        <w:t>d</w:t>
      </w:r>
      <w:r w:rsidR="00956CE0" w:rsidRPr="00561924">
        <w:t>'</w:t>
      </w:r>
      <w:r w:rsidR="00015D8B" w:rsidRPr="00561924">
        <w:t xml:space="preserve">organiser la session ordinaire de 2024 du Conseil du </w:t>
      </w:r>
      <w:r w:rsidR="00FA2354" w:rsidRPr="00561924">
        <w:t>m</w:t>
      </w:r>
      <w:r w:rsidR="00015D8B" w:rsidRPr="00561924">
        <w:t xml:space="preserve">ardi 4 juin </w:t>
      </w:r>
      <w:r w:rsidR="00FA2354" w:rsidRPr="00561924">
        <w:t>au jeudi</w:t>
      </w:r>
      <w:r w:rsidR="00956CE0" w:rsidRPr="00561924">
        <w:t> </w:t>
      </w:r>
      <w:r w:rsidR="00FA2354" w:rsidRPr="00561924">
        <w:t>13</w:t>
      </w:r>
      <w:r w:rsidR="00956CE0" w:rsidRPr="00561924">
        <w:t> </w:t>
      </w:r>
      <w:r w:rsidR="00FA2354" w:rsidRPr="00561924">
        <w:t>juin 2024</w:t>
      </w:r>
      <w:bookmarkEnd w:id="5"/>
      <w:r w:rsidR="00FA2354" w:rsidRPr="00561924">
        <w:t>;</w:t>
      </w:r>
    </w:p>
    <w:p w14:paraId="53270BF5" w14:textId="69AB31BF" w:rsidR="00FA6187" w:rsidRPr="00561924" w:rsidRDefault="00FA6187" w:rsidP="00542C03">
      <w:pPr>
        <w:pStyle w:val="enumlev2"/>
        <w:rPr>
          <w:b/>
          <w:bCs/>
        </w:rPr>
      </w:pPr>
      <w:r w:rsidRPr="00561924">
        <w:t>•</w:t>
      </w:r>
      <w:r w:rsidRPr="00561924">
        <w:tab/>
      </w:r>
      <w:r w:rsidR="00B67436" w:rsidRPr="00561924">
        <w:t>d'organiser la session ordinaire de 2025 du Conseil du mardi 10 au mercredi</w:t>
      </w:r>
      <w:r w:rsidR="00956CE0" w:rsidRPr="00561924">
        <w:t> </w:t>
      </w:r>
      <w:r w:rsidR="00B67436" w:rsidRPr="00561924">
        <w:t>18</w:t>
      </w:r>
      <w:r w:rsidR="00956CE0" w:rsidRPr="00561924">
        <w:t> </w:t>
      </w:r>
      <w:r w:rsidR="00B67436" w:rsidRPr="00561924">
        <w:t>juin 2025;</w:t>
      </w:r>
    </w:p>
    <w:p w14:paraId="1C029431" w14:textId="0F03E8A0" w:rsidR="00FA6187" w:rsidRPr="00561924" w:rsidRDefault="00FA6187" w:rsidP="00542C03">
      <w:pPr>
        <w:pStyle w:val="enumlev2"/>
      </w:pPr>
      <w:r w:rsidRPr="00561924">
        <w:lastRenderedPageBreak/>
        <w:t>•</w:t>
      </w:r>
      <w:r w:rsidRPr="00561924">
        <w:tab/>
      </w:r>
      <w:r w:rsidR="00E30D08" w:rsidRPr="00561924">
        <w:t xml:space="preserve">d'organiser la session ordinaire de 2026 du Conseil </w:t>
      </w:r>
      <w:r w:rsidR="00E30D08" w:rsidRPr="00561924">
        <w:rPr>
          <w:b/>
          <w:bCs/>
        </w:rPr>
        <w:t>du mardi 28 avril au mardi</w:t>
      </w:r>
      <w:r w:rsidR="00956CE0" w:rsidRPr="00561924">
        <w:rPr>
          <w:b/>
          <w:bCs/>
        </w:rPr>
        <w:t> </w:t>
      </w:r>
      <w:r w:rsidR="00E30D08" w:rsidRPr="00561924">
        <w:rPr>
          <w:b/>
          <w:bCs/>
        </w:rPr>
        <w:t>5</w:t>
      </w:r>
      <w:r w:rsidR="00956CE0" w:rsidRPr="00561924">
        <w:rPr>
          <w:b/>
          <w:bCs/>
        </w:rPr>
        <w:t> </w:t>
      </w:r>
      <w:r w:rsidR="00E30D08" w:rsidRPr="00561924">
        <w:rPr>
          <w:b/>
          <w:bCs/>
        </w:rPr>
        <w:t>mai 2026</w:t>
      </w:r>
      <w:r w:rsidR="00EE637C" w:rsidRPr="00561924">
        <w:rPr>
          <w:b/>
          <w:bCs/>
        </w:rPr>
        <w:t>;</w:t>
      </w:r>
    </w:p>
    <w:p w14:paraId="29FBDBA4" w14:textId="75817E01" w:rsidR="00FA6187" w:rsidRPr="00561924" w:rsidRDefault="00FA6187" w:rsidP="00542C03">
      <w:pPr>
        <w:pStyle w:val="enumlev1"/>
      </w:pPr>
      <w:r w:rsidRPr="00561924">
        <w:t>c)</w:t>
      </w:r>
      <w:r w:rsidRPr="00561924">
        <w:tab/>
      </w:r>
      <w:r w:rsidR="00A64825" w:rsidRPr="00561924">
        <w:t>de tenir chaque année l'</w:t>
      </w:r>
      <w:r w:rsidR="00A64825" w:rsidRPr="00561924">
        <w:rPr>
          <w:u w:val="single"/>
        </w:rPr>
        <w:t>une</w:t>
      </w:r>
      <w:r w:rsidR="00A64825" w:rsidRPr="00561924">
        <w:t xml:space="preserve"> des deux séries de réunions des Groupes de travail du Conseil et des Groupes d'experts dans un </w:t>
      </w:r>
      <w:r w:rsidR="00A64825" w:rsidRPr="00561924">
        <w:rPr>
          <w:u w:val="single"/>
        </w:rPr>
        <w:t>format entièrement virtuel</w:t>
      </w:r>
      <w:r w:rsidR="00A64825" w:rsidRPr="00561924">
        <w:t>;</w:t>
      </w:r>
    </w:p>
    <w:p w14:paraId="3E25F320" w14:textId="45FDE635" w:rsidR="00FA6187" w:rsidRPr="00561924" w:rsidRDefault="00FA6187" w:rsidP="00542C03">
      <w:r w:rsidRPr="00561924">
        <w:t>8</w:t>
      </w:r>
      <w:r w:rsidRPr="00561924">
        <w:tab/>
      </w:r>
      <w:r w:rsidR="00483835" w:rsidRPr="00561924">
        <w:t xml:space="preserve">Le Conseil est invité à </w:t>
      </w:r>
      <w:r w:rsidR="00483835" w:rsidRPr="00561924">
        <w:rPr>
          <w:b/>
          <w:bCs/>
        </w:rPr>
        <w:t>adopter</w:t>
      </w:r>
      <w:r w:rsidR="00483835" w:rsidRPr="00561924">
        <w:t xml:space="preserve"> le projet de nouvelle Décision reproduit dans l'Annexe</w:t>
      </w:r>
      <w:r w:rsidR="004C23C8" w:rsidRPr="00561924">
        <w:t>,</w:t>
      </w:r>
      <w:r w:rsidR="00483835" w:rsidRPr="00561924">
        <w:t xml:space="preserve"> </w:t>
      </w:r>
      <w:r w:rsidR="002F4D10" w:rsidRPr="00561924">
        <w:t>fixant</w:t>
      </w:r>
      <w:r w:rsidR="004C23C8" w:rsidRPr="00561924">
        <w:t xml:space="preserve"> </w:t>
      </w:r>
      <w:r w:rsidR="00483835" w:rsidRPr="00561924">
        <w:t>les dates et le format (avec participation à distance ou entièrement virtuel) des sessions du Conseil et des séries de réunions des Groupes de travail du Conseil et des Groupes d'experts.</w:t>
      </w:r>
    </w:p>
    <w:p w14:paraId="05309BCC" w14:textId="5FD8620D" w:rsidR="00897553" w:rsidRPr="00561924" w:rsidRDefault="00EE637C" w:rsidP="00542C03">
      <w:pPr>
        <w:spacing w:before="1680"/>
        <w:rPr>
          <w:b/>
          <w:bCs/>
        </w:rPr>
      </w:pPr>
      <w:r w:rsidRPr="00561924">
        <w:rPr>
          <w:i/>
          <w:iCs/>
        </w:rPr>
        <w:t>Annexe:</w:t>
      </w:r>
      <w:r w:rsidRPr="00561924">
        <w:t xml:space="preserve"> </w:t>
      </w:r>
      <w:r w:rsidRPr="00561924">
        <w:rPr>
          <w:b/>
          <w:bCs/>
        </w:rPr>
        <w:t>1</w:t>
      </w:r>
    </w:p>
    <w:p w14:paraId="4602DAB1" w14:textId="768CA17F" w:rsidR="00EE637C" w:rsidRPr="00561924" w:rsidRDefault="00EE637C" w:rsidP="00542C03">
      <w:pPr>
        <w:tabs>
          <w:tab w:val="clear" w:pos="567"/>
          <w:tab w:val="clear" w:pos="1134"/>
          <w:tab w:val="clear" w:pos="1701"/>
          <w:tab w:val="clear" w:pos="2268"/>
          <w:tab w:val="clear" w:pos="2835"/>
        </w:tabs>
        <w:overflowPunct/>
        <w:autoSpaceDE/>
        <w:autoSpaceDN/>
        <w:adjustRightInd/>
        <w:spacing w:before="0"/>
        <w:textAlignment w:val="auto"/>
      </w:pPr>
      <w:r w:rsidRPr="00561924">
        <w:br w:type="page"/>
      </w:r>
    </w:p>
    <w:p w14:paraId="771E774F" w14:textId="77777777" w:rsidR="00EE637C" w:rsidRPr="00561924" w:rsidRDefault="00EE637C" w:rsidP="00542C03">
      <w:pPr>
        <w:pStyle w:val="AnnexNo"/>
      </w:pPr>
      <w:r w:rsidRPr="00561924">
        <w:lastRenderedPageBreak/>
        <w:t>ANNEXE</w:t>
      </w:r>
    </w:p>
    <w:p w14:paraId="66D413B3" w14:textId="77777777" w:rsidR="00EE637C" w:rsidRPr="00561924" w:rsidRDefault="00EE637C" w:rsidP="00C11E76">
      <w:pPr>
        <w:pStyle w:val="RecNo"/>
      </w:pPr>
      <w:r w:rsidRPr="00561924">
        <w:t>PROJET DE DÉCISION […]</w:t>
      </w:r>
    </w:p>
    <w:p w14:paraId="7104998F" w14:textId="23CD0E15" w:rsidR="00EE637C" w:rsidRPr="00561924" w:rsidRDefault="00EE637C" w:rsidP="00C11E76">
      <w:pPr>
        <w:pStyle w:val="Rectitle"/>
      </w:pPr>
      <w:r w:rsidRPr="00561924">
        <w:t xml:space="preserve">Dates et durée des sessions de 2024, 2025 et 2026 du Conseil </w:t>
      </w:r>
      <w:r w:rsidRPr="00561924">
        <w:br/>
        <w:t xml:space="preserve">et des séries de réunions des Groupes de travail du Conseil </w:t>
      </w:r>
      <w:r w:rsidR="00956CE0" w:rsidRPr="00561924">
        <w:br/>
      </w:r>
      <w:r w:rsidRPr="00561924">
        <w:t>et des</w:t>
      </w:r>
      <w:r w:rsidR="00956CE0" w:rsidRPr="00561924">
        <w:t xml:space="preserve"> </w:t>
      </w:r>
      <w:r w:rsidRPr="00561924">
        <w:t>Groupes d'experts de 2024, 2025 et 2026</w:t>
      </w:r>
    </w:p>
    <w:p w14:paraId="5883F37E" w14:textId="77777777" w:rsidR="00EE637C" w:rsidRPr="00561924" w:rsidRDefault="00EE637C" w:rsidP="00542C03">
      <w:pPr>
        <w:pStyle w:val="Normalaftertitle"/>
      </w:pPr>
      <w:r w:rsidRPr="00561924">
        <w:t>Le Conseil de l'UIT,</w:t>
      </w:r>
    </w:p>
    <w:p w14:paraId="5920FC04" w14:textId="77777777" w:rsidR="00EE637C" w:rsidRPr="00561924" w:rsidRDefault="00EE637C" w:rsidP="00542C03">
      <w:pPr>
        <w:pStyle w:val="Call"/>
      </w:pPr>
      <w:r w:rsidRPr="00561924">
        <w:t>ayant à l'esprit</w:t>
      </w:r>
    </w:p>
    <w:p w14:paraId="61711E16" w14:textId="6351F0D6" w:rsidR="00EE637C" w:rsidRPr="00561924" w:rsidRDefault="00EE637C" w:rsidP="00542C03">
      <w:r w:rsidRPr="00561924">
        <w:rPr>
          <w:i/>
          <w:iCs/>
        </w:rPr>
        <w:t>a)</w:t>
      </w:r>
      <w:r w:rsidRPr="00561924">
        <w:tab/>
        <w:t>la Résolution 77 (Rév. Bucarest, 2022) de la Conférence de plénipotentiaires, aux termes de laquelle le Conseil est chargé "de planifier, à chaque session ordinaire, ses trois prochaines sessions ordinaires en juin-juillet, et de revoir cette planification d'une année à l'autre";</w:t>
      </w:r>
    </w:p>
    <w:p w14:paraId="4B9C1CC4" w14:textId="77777777" w:rsidR="00EE637C" w:rsidRPr="00561924" w:rsidRDefault="00EE637C" w:rsidP="00542C03">
      <w:r w:rsidRPr="00561924">
        <w:rPr>
          <w:i/>
          <w:iCs/>
        </w:rPr>
        <w:t>b)</w:t>
      </w:r>
      <w:r w:rsidRPr="00561924">
        <w:rPr>
          <w:i/>
          <w:iCs/>
        </w:rPr>
        <w:tab/>
      </w:r>
      <w:r w:rsidRPr="00561924">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3F085ED3" w14:textId="77777777" w:rsidR="00EE637C" w:rsidRPr="00561924" w:rsidRDefault="00EE637C" w:rsidP="00542C03">
      <w:r w:rsidRPr="00561924">
        <w:rPr>
          <w:i/>
        </w:rPr>
        <w:t>c)</w:t>
      </w:r>
      <w:r w:rsidRPr="00561924">
        <w:rPr>
          <w:i/>
        </w:rPr>
        <w:tab/>
      </w:r>
      <w:r w:rsidRPr="00561924">
        <w:t>la Décision 619 relative aux locaux du siège adoptée à la session additionnelle de 2019 du Conseil,</w:t>
      </w:r>
    </w:p>
    <w:p w14:paraId="3F2A9367" w14:textId="77777777" w:rsidR="00EE637C" w:rsidRPr="00561924" w:rsidRDefault="00EE637C" w:rsidP="00542C03">
      <w:pPr>
        <w:pStyle w:val="Call"/>
      </w:pPr>
      <w:r w:rsidRPr="00561924">
        <w:t>rappelant</w:t>
      </w:r>
    </w:p>
    <w:p w14:paraId="5F65AC95" w14:textId="1952DCED" w:rsidR="00EE637C" w:rsidRPr="00561924" w:rsidRDefault="00EE637C" w:rsidP="00542C03">
      <w:r w:rsidRPr="00561924">
        <w:t>la Décision 626 (C22) du Conseil, aux termes de laquelle les dates et la durée des sessions de</w:t>
      </w:r>
      <w:r w:rsidR="00956CE0" w:rsidRPr="00561924">
        <w:t> </w:t>
      </w:r>
      <w:r w:rsidRPr="00561924">
        <w:t>2023, 2024, 2025 et 2026 du Conseil, ainsi que de la série de réunions des Groupes de travail du Conseil et des Groupes d'experts pour 2023, 2024 et 2025 ont été confirmées,</w:t>
      </w:r>
    </w:p>
    <w:p w14:paraId="5A9ACBFC" w14:textId="77777777" w:rsidR="00EE637C" w:rsidRPr="00561924" w:rsidRDefault="00EE637C" w:rsidP="00542C03">
      <w:pPr>
        <w:pStyle w:val="Call"/>
      </w:pPr>
      <w:r w:rsidRPr="00561924">
        <w:t>considérant</w:t>
      </w:r>
    </w:p>
    <w:p w14:paraId="7F90660C" w14:textId="77777777" w:rsidR="00EE637C" w:rsidRPr="00561924" w:rsidRDefault="00EE637C" w:rsidP="00542C03">
      <w:r w:rsidRPr="00561924">
        <w:t>la nécessité de planifier, dans toute la mesure possible, les sessions ordinaires du Conseil autour des mêmes dates chaque année, afin de faciliter l'organisation des autres manifestations de l'UIT,</w:t>
      </w:r>
    </w:p>
    <w:p w14:paraId="61A7E2F4" w14:textId="77777777" w:rsidR="00EE637C" w:rsidRPr="00561924" w:rsidRDefault="00EE637C" w:rsidP="00542C03">
      <w:pPr>
        <w:pStyle w:val="Call"/>
      </w:pPr>
      <w:r w:rsidRPr="00561924">
        <w:t>considérant en outre</w:t>
      </w:r>
    </w:p>
    <w:p w14:paraId="00BA8994" w14:textId="6D13A4F2" w:rsidR="00EE637C" w:rsidRPr="00561924" w:rsidRDefault="00EE637C" w:rsidP="00542C03">
      <w:pPr>
        <w:rPr>
          <w:color w:val="000000"/>
        </w:rPr>
      </w:pPr>
      <w:r w:rsidRPr="00561924">
        <w:t xml:space="preserve">la nécessité d'organiser suffisamment tôt la session ordinaire du Conseil, l'année où se tient une Conférence de plénipotentiaires (PP), afin que les rapports du Conseil </w:t>
      </w:r>
      <w:r w:rsidR="00091B1D" w:rsidRPr="00561924">
        <w:t xml:space="preserve">destinés à être </w:t>
      </w:r>
      <w:r w:rsidRPr="00561924">
        <w:t xml:space="preserve">examinés plus avant lors de la PP puissent être publiés </w:t>
      </w:r>
      <w:r w:rsidR="00091B1D" w:rsidRPr="00561924">
        <w:t>suffisamment à l'avance</w:t>
      </w:r>
      <w:r w:rsidRPr="00561924">
        <w:rPr>
          <w:color w:val="000000"/>
        </w:rPr>
        <w:t>,</w:t>
      </w:r>
    </w:p>
    <w:p w14:paraId="0F3CAB91" w14:textId="77777777" w:rsidR="00EE637C" w:rsidRPr="00561924" w:rsidRDefault="00EE637C" w:rsidP="00956CE0">
      <w:pPr>
        <w:pStyle w:val="Call"/>
      </w:pPr>
      <w:r w:rsidRPr="00561924">
        <w:t>soulignant</w:t>
      </w:r>
    </w:p>
    <w:p w14:paraId="258E8104" w14:textId="77777777" w:rsidR="00EE637C" w:rsidRPr="00561924" w:rsidRDefault="00EE637C" w:rsidP="00542C03">
      <w:pPr>
        <w:tabs>
          <w:tab w:val="clear" w:pos="567"/>
          <w:tab w:val="left" w:pos="720"/>
        </w:tabs>
        <w:snapToGrid w:val="0"/>
      </w:pPr>
      <w:r w:rsidRPr="00561924">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66F8434A" w14:textId="77777777" w:rsidR="00EE637C" w:rsidRPr="00561924" w:rsidRDefault="00EE637C" w:rsidP="00956CE0">
      <w:pPr>
        <w:pStyle w:val="Call"/>
      </w:pPr>
      <w:r w:rsidRPr="00561924">
        <w:lastRenderedPageBreak/>
        <w:t>reconnaissant</w:t>
      </w:r>
    </w:p>
    <w:p w14:paraId="5D3A655B" w14:textId="5D2DA680" w:rsidR="00EE637C" w:rsidRPr="00561924" w:rsidRDefault="0050107C" w:rsidP="00542C03">
      <w:pPr>
        <w:rPr>
          <w:rFonts w:asciiTheme="minorHAnsi" w:hAnsiTheme="minorHAnsi" w:cstheme="minorHAnsi"/>
          <w:szCs w:val="24"/>
        </w:rPr>
      </w:pPr>
      <w:r w:rsidRPr="00561924">
        <w:t xml:space="preserve">les contraintes liées </w:t>
      </w:r>
      <w:r w:rsidR="004C23C8" w:rsidRPr="00561924">
        <w:t xml:space="preserve">à la </w:t>
      </w:r>
      <w:r w:rsidRPr="00561924">
        <w:t xml:space="preserve">disponibilité des </w:t>
      </w:r>
      <w:r w:rsidR="00EE637C" w:rsidRPr="00561924">
        <w:rPr>
          <w:lang w:eastAsia="zh-CN"/>
        </w:rPr>
        <w:t xml:space="preserve">salles de réunion pendant la démolition et la phase de construction initiale </w:t>
      </w:r>
      <w:r w:rsidR="004C23C8" w:rsidRPr="00561924">
        <w:rPr>
          <w:lang w:eastAsia="zh-CN"/>
        </w:rPr>
        <w:t xml:space="preserve">des locaux </w:t>
      </w:r>
      <w:r w:rsidR="00E25174" w:rsidRPr="00561924">
        <w:rPr>
          <w:lang w:eastAsia="zh-CN"/>
        </w:rPr>
        <w:t>du siège</w:t>
      </w:r>
      <w:r w:rsidR="00EE637C" w:rsidRPr="00561924">
        <w:rPr>
          <w:rFonts w:asciiTheme="minorHAnsi" w:hAnsiTheme="minorHAnsi" w:cstheme="minorHAnsi"/>
          <w:szCs w:val="24"/>
        </w:rPr>
        <w:t>,</w:t>
      </w:r>
    </w:p>
    <w:p w14:paraId="4BEB537F" w14:textId="6DEC9937" w:rsidR="00EE637C" w:rsidRPr="00561924" w:rsidRDefault="0077119A" w:rsidP="00956CE0">
      <w:pPr>
        <w:pStyle w:val="Call"/>
      </w:pPr>
      <w:r w:rsidRPr="00561924">
        <w:t>ayant à l'esprit</w:t>
      </w:r>
    </w:p>
    <w:p w14:paraId="3F269030" w14:textId="111D7091" w:rsidR="00EE637C" w:rsidRPr="00561924" w:rsidRDefault="00D02660" w:rsidP="00542C03">
      <w:r w:rsidRPr="00561924">
        <w:rPr>
          <w:szCs w:val="24"/>
        </w:rPr>
        <w:t>la Décision 11 (Rév. Bucarest, 2022) de la Conférence de plénipotentiaires relative à la création et à la gestion des groupes de travail du Conseil, qui se réfère à l'Annexe 2 de la Décision</w:t>
      </w:r>
      <w:r w:rsidR="00956CE0" w:rsidRPr="00561924">
        <w:rPr>
          <w:szCs w:val="24"/>
        </w:rPr>
        <w:t> </w:t>
      </w:r>
      <w:r w:rsidRPr="00561924">
        <w:rPr>
          <w:szCs w:val="24"/>
        </w:rPr>
        <w:t>5 (Rév. Bucarest, 2022) de la Conférence sur les possibilités de réduction des charges</w:t>
      </w:r>
      <w:r w:rsidR="00EE637C" w:rsidRPr="00561924">
        <w:t>,</w:t>
      </w:r>
    </w:p>
    <w:p w14:paraId="244F32C5" w14:textId="77777777" w:rsidR="00EE637C" w:rsidRPr="00561924" w:rsidRDefault="00EE637C" w:rsidP="00542C03">
      <w:pPr>
        <w:pStyle w:val="Call"/>
      </w:pPr>
      <w:r w:rsidRPr="00561924">
        <w:t>décide</w:t>
      </w:r>
    </w:p>
    <w:p w14:paraId="1AA957DB" w14:textId="3345D6D9" w:rsidR="00EE637C" w:rsidRPr="00561924" w:rsidRDefault="00EE637C" w:rsidP="00542C03">
      <w:pPr>
        <w:tabs>
          <w:tab w:val="clear" w:pos="567"/>
          <w:tab w:val="left" w:pos="426"/>
        </w:tabs>
        <w:rPr>
          <w:rFonts w:asciiTheme="minorHAnsi" w:hAnsiTheme="minorHAnsi"/>
          <w:snapToGrid w:val="0"/>
          <w:szCs w:val="24"/>
        </w:rPr>
      </w:pPr>
      <w:r w:rsidRPr="00561924">
        <w:t>1</w:t>
      </w:r>
      <w:r w:rsidRPr="00561924">
        <w:tab/>
      </w:r>
      <w:r w:rsidRPr="00561924">
        <w:rPr>
          <w:snapToGrid w:val="0"/>
          <w:szCs w:val="24"/>
        </w:rPr>
        <w:t>que la session de 2024 du Conseil se tiendra à Genève pour une période de huit jours ouvrables,</w:t>
      </w:r>
      <w:r w:rsidRPr="00561924">
        <w:rPr>
          <w:snapToGrid w:val="0"/>
          <w:spacing w:val="-4"/>
          <w:szCs w:val="24"/>
        </w:rPr>
        <w:t xml:space="preserve"> </w:t>
      </w:r>
      <w:r w:rsidRPr="00561924">
        <w:rPr>
          <w:rFonts w:asciiTheme="minorHAnsi" w:hAnsiTheme="minorHAnsi"/>
          <w:snapToGrid w:val="0"/>
          <w:szCs w:val="24"/>
        </w:rPr>
        <w:t xml:space="preserve">et que cette session et les séries de réunions des GTC et des </w:t>
      </w:r>
      <w:r w:rsidRPr="00561924">
        <w:rPr>
          <w:snapToGrid w:val="0"/>
        </w:rPr>
        <w:t>EG</w:t>
      </w:r>
      <w:r w:rsidRPr="00561924">
        <w:rPr>
          <w:rFonts w:asciiTheme="minorHAnsi" w:hAnsiTheme="minorHAnsi"/>
          <w:snapToGrid w:val="0"/>
          <w:szCs w:val="24"/>
        </w:rPr>
        <w:t xml:space="preserve"> associées auront lieu aux dates suivantes:</w:t>
      </w:r>
    </w:p>
    <w:p w14:paraId="6D9C2DBE" w14:textId="4B64D623" w:rsidR="00EE637C" w:rsidRPr="00561924" w:rsidRDefault="00EE637C" w:rsidP="00542C03">
      <w:pPr>
        <w:pStyle w:val="enumlev1"/>
      </w:pPr>
      <w:r w:rsidRPr="00561924">
        <w:t>–</w:t>
      </w:r>
      <w:r w:rsidRPr="00561924">
        <w:tab/>
        <w:t xml:space="preserve">première série de réunions: </w:t>
      </w:r>
      <w:r w:rsidRPr="00561924">
        <w:rPr>
          <w:bCs/>
        </w:rPr>
        <w:t>du lundi 22 janvier au vendredi 2 février</w:t>
      </w:r>
      <w:r w:rsidR="00FC3E13" w:rsidRPr="00561924">
        <w:rPr>
          <w:bCs/>
        </w:rPr>
        <w:t xml:space="preserve"> </w:t>
      </w:r>
      <w:r w:rsidR="00A1713B" w:rsidRPr="00561924">
        <w:rPr>
          <w:bCs/>
        </w:rPr>
        <w:t>(</w:t>
      </w:r>
      <w:r w:rsidR="008058BF" w:rsidRPr="00561924">
        <w:rPr>
          <w:bCs/>
        </w:rPr>
        <w:t>avec participation à distance)</w:t>
      </w:r>
      <w:r w:rsidRPr="00561924">
        <w:rPr>
          <w:bCs/>
        </w:rPr>
        <w:t>;</w:t>
      </w:r>
    </w:p>
    <w:p w14:paraId="1B93D347" w14:textId="102D479B" w:rsidR="00EE637C" w:rsidRPr="00561924" w:rsidRDefault="00EE637C" w:rsidP="00542C03">
      <w:pPr>
        <w:pStyle w:val="enumlev1"/>
      </w:pPr>
      <w:r w:rsidRPr="00561924">
        <w:rPr>
          <w:snapToGrid w:val="0"/>
        </w:rPr>
        <w:t>–</w:t>
      </w:r>
      <w:r w:rsidRPr="00561924">
        <w:rPr>
          <w:snapToGrid w:val="0"/>
        </w:rPr>
        <w:tab/>
      </w:r>
      <w:r w:rsidRPr="00561924">
        <w:rPr>
          <w:b/>
          <w:bCs/>
          <w:snapToGrid w:val="0"/>
        </w:rPr>
        <w:t>session de 2024 du</w:t>
      </w:r>
      <w:r w:rsidRPr="00561924">
        <w:rPr>
          <w:snapToGrid w:val="0"/>
        </w:rPr>
        <w:t xml:space="preserve"> </w:t>
      </w:r>
      <w:r w:rsidRPr="00561924">
        <w:rPr>
          <w:b/>
          <w:bCs/>
          <w:snapToGrid w:val="0"/>
        </w:rPr>
        <w:t>Conseil:</w:t>
      </w:r>
      <w:r w:rsidRPr="00561924">
        <w:rPr>
          <w:b/>
        </w:rPr>
        <w:t xml:space="preserve"> du mardi 4 juin au </w:t>
      </w:r>
      <w:r w:rsidR="00AC6967" w:rsidRPr="00561924">
        <w:rPr>
          <w:b/>
        </w:rPr>
        <w:t xml:space="preserve">jeudi 13 juin </w:t>
      </w:r>
      <w:r w:rsidRPr="00561924">
        <w:rPr>
          <w:b/>
        </w:rPr>
        <w:t>2024</w:t>
      </w:r>
      <w:r w:rsidR="005324CD" w:rsidRPr="00561924">
        <w:rPr>
          <w:b/>
        </w:rPr>
        <w:t xml:space="preserve"> </w:t>
      </w:r>
      <w:r w:rsidR="005324CD" w:rsidRPr="00561924">
        <w:rPr>
          <w:bCs/>
        </w:rPr>
        <w:t>(avec participation à distance)</w:t>
      </w:r>
      <w:r w:rsidRPr="00561924">
        <w:t>;</w:t>
      </w:r>
    </w:p>
    <w:p w14:paraId="111D0B02" w14:textId="7190D32C" w:rsidR="00EE637C" w:rsidRPr="00561924" w:rsidRDefault="00EE637C" w:rsidP="00542C03">
      <w:pPr>
        <w:pStyle w:val="enumlev1"/>
      </w:pPr>
      <w:r w:rsidRPr="00561924">
        <w:t>–</w:t>
      </w:r>
      <w:r w:rsidRPr="00561924">
        <w:tab/>
        <w:t xml:space="preserve">seconde série de réunions: </w:t>
      </w:r>
      <w:r w:rsidRPr="00561924">
        <w:rPr>
          <w:bCs/>
        </w:rPr>
        <w:t>du lundi 30 septembre au vendredi 11 octobre 2024</w:t>
      </w:r>
      <w:r w:rsidR="0049653C" w:rsidRPr="00561924">
        <w:rPr>
          <w:bCs/>
        </w:rPr>
        <w:t xml:space="preserve"> (entièrement virtuelle)</w:t>
      </w:r>
      <w:r w:rsidRPr="00561924">
        <w:rPr>
          <w:bCs/>
        </w:rPr>
        <w:t>;</w:t>
      </w:r>
    </w:p>
    <w:p w14:paraId="223C18C1" w14:textId="7C1FB6BF" w:rsidR="00EE637C" w:rsidRPr="00561924" w:rsidRDefault="00AC6967" w:rsidP="00542C03">
      <w:pPr>
        <w:tabs>
          <w:tab w:val="clear" w:pos="567"/>
          <w:tab w:val="left" w:pos="426"/>
        </w:tabs>
        <w:rPr>
          <w:rFonts w:asciiTheme="minorHAnsi" w:hAnsiTheme="minorHAnsi"/>
          <w:snapToGrid w:val="0"/>
          <w:szCs w:val="24"/>
        </w:rPr>
      </w:pPr>
      <w:r w:rsidRPr="00561924">
        <w:rPr>
          <w:snapToGrid w:val="0"/>
          <w:szCs w:val="24"/>
        </w:rPr>
        <w:t>2</w:t>
      </w:r>
      <w:r w:rsidR="00EE637C" w:rsidRPr="00561924">
        <w:rPr>
          <w:snapToGrid w:val="0"/>
          <w:szCs w:val="24"/>
        </w:rPr>
        <w:tab/>
        <w:t xml:space="preserve">que la session de 2025 du Conseil se tiendra à Genève pour une période de </w:t>
      </w:r>
      <w:r w:rsidRPr="00561924">
        <w:rPr>
          <w:snapToGrid w:val="0"/>
          <w:szCs w:val="24"/>
        </w:rPr>
        <w:t>sept</w:t>
      </w:r>
      <w:r w:rsidR="00EE637C" w:rsidRPr="00561924">
        <w:rPr>
          <w:snapToGrid w:val="0"/>
          <w:szCs w:val="24"/>
        </w:rPr>
        <w:t xml:space="preserve"> jours ouvrables, et que cette session et les séries de réunions des GTC et des EG associées auront lieu </w:t>
      </w:r>
      <w:r w:rsidR="00EE637C" w:rsidRPr="00561924">
        <w:rPr>
          <w:rFonts w:asciiTheme="minorHAnsi" w:hAnsiTheme="minorHAnsi"/>
          <w:snapToGrid w:val="0"/>
          <w:szCs w:val="24"/>
        </w:rPr>
        <w:t>aux dates suivantes:</w:t>
      </w:r>
    </w:p>
    <w:p w14:paraId="768E7376" w14:textId="258F1EFC" w:rsidR="00EE637C" w:rsidRPr="00561924" w:rsidRDefault="00EE637C" w:rsidP="00542C03">
      <w:pPr>
        <w:pStyle w:val="enumlev1"/>
        <w:rPr>
          <w:rFonts w:asciiTheme="minorHAnsi" w:hAnsiTheme="minorHAnsi"/>
          <w:snapToGrid w:val="0"/>
          <w:szCs w:val="24"/>
        </w:rPr>
      </w:pPr>
      <w:r w:rsidRPr="00561924">
        <w:rPr>
          <w:snapToGrid w:val="0"/>
        </w:rPr>
        <w:t>–</w:t>
      </w:r>
      <w:r w:rsidRPr="00561924">
        <w:rPr>
          <w:snapToGrid w:val="0"/>
        </w:rPr>
        <w:tab/>
      </w:r>
      <w:r w:rsidRPr="00561924">
        <w:t xml:space="preserve">première série de réunions: </w:t>
      </w:r>
      <w:r w:rsidRPr="00561924">
        <w:rPr>
          <w:bCs/>
        </w:rPr>
        <w:t>du lundi 10 février au vendredi 21 février 2025</w:t>
      </w:r>
      <w:r w:rsidR="00F14B87" w:rsidRPr="00561924">
        <w:rPr>
          <w:bCs/>
        </w:rPr>
        <w:t xml:space="preserve"> </w:t>
      </w:r>
      <w:bookmarkStart w:id="6" w:name="_Hlk138344110"/>
      <w:r w:rsidR="00F14B87" w:rsidRPr="00561924">
        <w:rPr>
          <w:bCs/>
        </w:rPr>
        <w:t>(</w:t>
      </w:r>
      <w:r w:rsidR="00F14B87" w:rsidRPr="00561924">
        <w:rPr>
          <w:snapToGrid w:val="0"/>
          <w:szCs w:val="24"/>
        </w:rPr>
        <w:t>avec participation à distance)</w:t>
      </w:r>
      <w:bookmarkEnd w:id="6"/>
      <w:r w:rsidRPr="00561924">
        <w:rPr>
          <w:bCs/>
        </w:rPr>
        <w:t>;</w:t>
      </w:r>
    </w:p>
    <w:p w14:paraId="51F05D6B" w14:textId="37E77DB2" w:rsidR="00EE637C" w:rsidRPr="00561924" w:rsidRDefault="00EE637C" w:rsidP="00542C03">
      <w:pPr>
        <w:pStyle w:val="enumlev1"/>
      </w:pPr>
      <w:r w:rsidRPr="00561924">
        <w:rPr>
          <w:snapToGrid w:val="0"/>
        </w:rPr>
        <w:t>–</w:t>
      </w:r>
      <w:r w:rsidRPr="00561924">
        <w:rPr>
          <w:snapToGrid w:val="0"/>
        </w:rPr>
        <w:tab/>
      </w:r>
      <w:r w:rsidRPr="00561924">
        <w:rPr>
          <w:b/>
          <w:bCs/>
          <w:snapToGrid w:val="0"/>
        </w:rPr>
        <w:t>session de 2025 du</w:t>
      </w:r>
      <w:r w:rsidRPr="00561924">
        <w:rPr>
          <w:snapToGrid w:val="0"/>
        </w:rPr>
        <w:t xml:space="preserve"> </w:t>
      </w:r>
      <w:r w:rsidRPr="00561924">
        <w:rPr>
          <w:b/>
          <w:bCs/>
          <w:snapToGrid w:val="0"/>
        </w:rPr>
        <w:t>Conseil:</w:t>
      </w:r>
      <w:r w:rsidRPr="00561924">
        <w:rPr>
          <w:b/>
        </w:rPr>
        <w:t xml:space="preserve"> du mardi </w:t>
      </w:r>
      <w:r w:rsidR="00AC6967" w:rsidRPr="00561924">
        <w:rPr>
          <w:b/>
        </w:rPr>
        <w:t>10 juin</w:t>
      </w:r>
      <w:r w:rsidRPr="00561924">
        <w:rPr>
          <w:b/>
        </w:rPr>
        <w:t xml:space="preserve"> au </w:t>
      </w:r>
      <w:r w:rsidR="00AC6967" w:rsidRPr="00561924">
        <w:rPr>
          <w:b/>
        </w:rPr>
        <w:t>mercredi 18 juin</w:t>
      </w:r>
      <w:r w:rsidRPr="00561924">
        <w:rPr>
          <w:b/>
        </w:rPr>
        <w:t xml:space="preserve"> 2025</w:t>
      </w:r>
      <w:r w:rsidR="006554F1" w:rsidRPr="00561924">
        <w:rPr>
          <w:b/>
        </w:rPr>
        <w:t xml:space="preserve"> </w:t>
      </w:r>
      <w:r w:rsidR="006554F1" w:rsidRPr="00561924">
        <w:t>(avec participation à distance)</w:t>
      </w:r>
      <w:r w:rsidRPr="00561924">
        <w:t>;</w:t>
      </w:r>
    </w:p>
    <w:p w14:paraId="0D3CACEA" w14:textId="6BC10DBD" w:rsidR="00EE637C" w:rsidRPr="00561924" w:rsidRDefault="00EE637C" w:rsidP="00542C03">
      <w:pPr>
        <w:pStyle w:val="enumlev1"/>
      </w:pPr>
      <w:r w:rsidRPr="00561924">
        <w:rPr>
          <w:snapToGrid w:val="0"/>
        </w:rPr>
        <w:t>–</w:t>
      </w:r>
      <w:r w:rsidRPr="00561924">
        <w:rPr>
          <w:snapToGrid w:val="0"/>
        </w:rPr>
        <w:tab/>
      </w:r>
      <w:r w:rsidRPr="00561924">
        <w:t xml:space="preserve">seconde série de réunions: </w:t>
      </w:r>
      <w:r w:rsidRPr="00561924">
        <w:rPr>
          <w:bCs/>
        </w:rPr>
        <w:t>du lundi 8 septembre au vendredi 19 septembre 2025</w:t>
      </w:r>
      <w:r w:rsidR="006554F1" w:rsidRPr="00561924">
        <w:rPr>
          <w:bCs/>
        </w:rPr>
        <w:t xml:space="preserve"> (entièrement virtuelle)</w:t>
      </w:r>
      <w:r w:rsidRPr="00561924">
        <w:rPr>
          <w:bCs/>
        </w:rPr>
        <w:t>;</w:t>
      </w:r>
    </w:p>
    <w:p w14:paraId="6BC234B8" w14:textId="38245DA9" w:rsidR="00EE637C" w:rsidRPr="00561924" w:rsidRDefault="00AC6967" w:rsidP="00542C03">
      <w:pPr>
        <w:tabs>
          <w:tab w:val="clear" w:pos="567"/>
          <w:tab w:val="left" w:pos="426"/>
        </w:tabs>
        <w:rPr>
          <w:rFonts w:asciiTheme="minorHAnsi" w:hAnsiTheme="minorHAnsi"/>
          <w:snapToGrid w:val="0"/>
          <w:szCs w:val="24"/>
        </w:rPr>
      </w:pPr>
      <w:r w:rsidRPr="00561924">
        <w:rPr>
          <w:snapToGrid w:val="0"/>
          <w:szCs w:val="24"/>
        </w:rPr>
        <w:t>3</w:t>
      </w:r>
      <w:r w:rsidR="00EE637C" w:rsidRPr="00561924">
        <w:rPr>
          <w:snapToGrid w:val="0"/>
          <w:szCs w:val="24"/>
        </w:rPr>
        <w:tab/>
        <w:t xml:space="preserve">que la session </w:t>
      </w:r>
      <w:r w:rsidR="00DF3D48" w:rsidRPr="00561924">
        <w:rPr>
          <w:snapToGrid w:val="0"/>
          <w:szCs w:val="24"/>
        </w:rPr>
        <w:t xml:space="preserve">ordinaire </w:t>
      </w:r>
      <w:r w:rsidR="00EE637C" w:rsidRPr="00561924">
        <w:rPr>
          <w:snapToGrid w:val="0"/>
          <w:szCs w:val="24"/>
        </w:rPr>
        <w:t xml:space="preserve">de 2026 du Conseil se tiendra à Genève pour une période de </w:t>
      </w:r>
      <w:r w:rsidRPr="00561924">
        <w:rPr>
          <w:snapToGrid w:val="0"/>
          <w:szCs w:val="24"/>
        </w:rPr>
        <w:t>six</w:t>
      </w:r>
      <w:r w:rsidR="00EE637C" w:rsidRPr="00561924">
        <w:rPr>
          <w:snapToGrid w:val="0"/>
          <w:szCs w:val="24"/>
        </w:rPr>
        <w:t xml:space="preserve"> jours ouvrables, </w:t>
      </w:r>
      <w:r w:rsidR="00DF3D48" w:rsidRPr="00561924">
        <w:rPr>
          <w:snapToGrid w:val="0"/>
          <w:szCs w:val="24"/>
        </w:rPr>
        <w:t xml:space="preserve">et que cette session et </w:t>
      </w:r>
      <w:r w:rsidR="00B16012" w:rsidRPr="00561924">
        <w:rPr>
          <w:snapToGrid w:val="0"/>
          <w:szCs w:val="24"/>
        </w:rPr>
        <w:t>a</w:t>
      </w:r>
      <w:r w:rsidR="00DF3D48" w:rsidRPr="00561924">
        <w:rPr>
          <w:snapToGrid w:val="0"/>
          <w:szCs w:val="24"/>
        </w:rPr>
        <w:t xml:space="preserve"> série de réunions des GTC et des EG associée auront lieu </w:t>
      </w:r>
      <w:r w:rsidR="00EE637C" w:rsidRPr="00561924">
        <w:rPr>
          <w:rFonts w:asciiTheme="minorHAnsi" w:hAnsiTheme="minorHAnsi"/>
          <w:snapToGrid w:val="0"/>
          <w:szCs w:val="24"/>
        </w:rPr>
        <w:t>aux dates suivantes:</w:t>
      </w:r>
    </w:p>
    <w:p w14:paraId="6D11411A" w14:textId="26DC9D87" w:rsidR="00AC6967" w:rsidRPr="00561924" w:rsidRDefault="00EE637C" w:rsidP="00542C03">
      <w:pPr>
        <w:pStyle w:val="enumlev1"/>
        <w:rPr>
          <w:b/>
          <w:bCs/>
          <w:snapToGrid w:val="0"/>
        </w:rPr>
      </w:pPr>
      <w:r w:rsidRPr="00561924">
        <w:rPr>
          <w:snapToGrid w:val="0"/>
        </w:rPr>
        <w:t>–</w:t>
      </w:r>
      <w:r w:rsidRPr="00561924">
        <w:rPr>
          <w:snapToGrid w:val="0"/>
        </w:rPr>
        <w:tab/>
      </w:r>
      <w:r w:rsidR="00263FD8" w:rsidRPr="00561924">
        <w:rPr>
          <w:snapToGrid w:val="0"/>
        </w:rPr>
        <w:t>série unique de réunions</w:t>
      </w:r>
      <w:r w:rsidR="00AC6967" w:rsidRPr="00561924">
        <w:rPr>
          <w:snapToGrid w:val="0"/>
        </w:rPr>
        <w:t xml:space="preserve">: du lundi 12 janvier et vendredi 23 janvier 2026 </w:t>
      </w:r>
      <w:r w:rsidR="00AC6967" w:rsidRPr="00561924">
        <w:rPr>
          <w:rFonts w:cstheme="minorHAnsi"/>
        </w:rPr>
        <w:t>(</w:t>
      </w:r>
      <w:r w:rsidR="00263FD8" w:rsidRPr="00561924">
        <w:rPr>
          <w:rFonts w:cstheme="minorHAnsi"/>
        </w:rPr>
        <w:t>avec participation à distance</w:t>
      </w:r>
      <w:r w:rsidR="00AC6967" w:rsidRPr="00561924">
        <w:rPr>
          <w:rFonts w:cstheme="minorHAnsi"/>
        </w:rPr>
        <w:t>)</w:t>
      </w:r>
      <w:r w:rsidR="00263FD8" w:rsidRPr="00561924">
        <w:rPr>
          <w:rFonts w:cstheme="minorHAnsi"/>
        </w:rPr>
        <w:t>;</w:t>
      </w:r>
    </w:p>
    <w:p w14:paraId="49FB6161" w14:textId="6629F422" w:rsidR="00AC6967" w:rsidRPr="00561924" w:rsidRDefault="00AC6967" w:rsidP="00542C03">
      <w:pPr>
        <w:pStyle w:val="enumlev1"/>
      </w:pPr>
      <w:r w:rsidRPr="00561924">
        <w:rPr>
          <w:b/>
          <w:bCs/>
        </w:rPr>
        <w:t>–</w:t>
      </w:r>
      <w:r w:rsidRPr="00561924">
        <w:rPr>
          <w:b/>
          <w:bCs/>
        </w:rPr>
        <w:tab/>
      </w:r>
      <w:r w:rsidR="00263FD8" w:rsidRPr="00561924">
        <w:rPr>
          <w:b/>
          <w:bCs/>
        </w:rPr>
        <w:t>session de 2026 du Conseil:</w:t>
      </w:r>
      <w:r w:rsidR="00263FD8" w:rsidRPr="00561924">
        <w:t xml:space="preserve"> </w:t>
      </w:r>
      <w:r w:rsidRPr="00561924">
        <w:rPr>
          <w:b/>
          <w:bCs/>
        </w:rPr>
        <w:t>du mardi 28 avril au mardi 5 mai 2026</w:t>
      </w:r>
      <w:r w:rsidRPr="00561924">
        <w:t xml:space="preserve"> (</w:t>
      </w:r>
      <w:r w:rsidR="000D5BE6" w:rsidRPr="00561924">
        <w:t>avec participation à distance</w:t>
      </w:r>
      <w:r w:rsidRPr="00561924">
        <w:t xml:space="preserve">), </w:t>
      </w:r>
      <w:r w:rsidR="00122126" w:rsidRPr="00561924">
        <w:t>l</w:t>
      </w:r>
      <w:r w:rsidR="000D5BE6" w:rsidRPr="00561924">
        <w:t xml:space="preserve">a séance finale </w:t>
      </w:r>
      <w:r w:rsidR="006A7F91" w:rsidRPr="00561924">
        <w:t xml:space="preserve">devant se tenir </w:t>
      </w:r>
      <w:r w:rsidR="000D5BE6" w:rsidRPr="00561924">
        <w:t>le samedi précéd</w:t>
      </w:r>
      <w:r w:rsidR="00B16012" w:rsidRPr="00561924">
        <w:t>a</w:t>
      </w:r>
      <w:r w:rsidR="000D5BE6" w:rsidRPr="00561924">
        <w:t xml:space="preserve">nt le début de la Conférence de plénipotentiaires de </w:t>
      </w:r>
      <w:r w:rsidR="00712B04" w:rsidRPr="00561924">
        <w:t>2026</w:t>
      </w:r>
      <w:r w:rsidRPr="00561924">
        <w:t>.</w:t>
      </w:r>
    </w:p>
    <w:p w14:paraId="0C1C863E" w14:textId="003158F1" w:rsidR="00EE637C" w:rsidRPr="00561924" w:rsidRDefault="003A71CB" w:rsidP="00542C03">
      <w:pPr>
        <w:jc w:val="center"/>
      </w:pPr>
      <w:r w:rsidRPr="00561924">
        <w:t>______________</w:t>
      </w:r>
    </w:p>
    <w:sectPr w:rsidR="00EE637C" w:rsidRPr="00561924"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BFA2424" w:rsidR="00732045" w:rsidRDefault="009C228C">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83564D">
      <w:t>23.06.23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B250612" w:rsidR="00A51849" w:rsidRDefault="00A51849" w:rsidP="00A51849">
          <w:pPr>
            <w:pStyle w:val="Header"/>
            <w:jc w:val="left"/>
            <w:rPr>
              <w:noProof/>
            </w:rPr>
          </w:pPr>
          <w:r>
            <w:rPr>
              <w:noProof/>
            </w:rPr>
            <w:t xml:space="preserve">DPS </w:t>
          </w:r>
          <w:r w:rsidR="00FA6187">
            <w:rPr>
              <w:noProof/>
            </w:rPr>
            <w:t>520324</w:t>
          </w:r>
        </w:p>
      </w:tc>
      <w:tc>
        <w:tcPr>
          <w:tcW w:w="8261" w:type="dxa"/>
        </w:tcPr>
        <w:p w14:paraId="0DB0A3C6" w14:textId="3948147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A6187">
            <w:rPr>
              <w:bCs/>
            </w:rPr>
            <w:t>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C9270B9" w:rsidR="00732045" w:rsidRPr="00A51849" w:rsidRDefault="009C228C" w:rsidP="00FA6187">
    <w:pPr>
      <w:pStyle w:val="Footer"/>
    </w:pPr>
    <w:r w:rsidRPr="00C02A76">
      <w:rPr>
        <w:color w:val="F2F2F2" w:themeColor="background1" w:themeShade="F2"/>
      </w:rPr>
      <w:fldChar w:fldCharType="begin"/>
    </w:r>
    <w:r w:rsidRPr="00C02A76">
      <w:rPr>
        <w:color w:val="F2F2F2" w:themeColor="background1" w:themeShade="F2"/>
      </w:rPr>
      <w:instrText xml:space="preserve"> FILENAME \p  \* MERGEFORMAT </w:instrText>
    </w:r>
    <w:r w:rsidRPr="00C02A76">
      <w:rPr>
        <w:color w:val="F2F2F2" w:themeColor="background1" w:themeShade="F2"/>
      </w:rPr>
      <w:fldChar w:fldCharType="separate"/>
    </w:r>
    <w:r w:rsidR="00C03545" w:rsidRPr="00C02A76">
      <w:rPr>
        <w:color w:val="F2F2F2" w:themeColor="background1" w:themeShade="F2"/>
      </w:rPr>
      <w:t>P:\FRA\SG\CONSEIL\C23\000\002F.docx</w:t>
    </w:r>
    <w:r w:rsidRPr="00C02A76">
      <w:rPr>
        <w:color w:val="F2F2F2" w:themeColor="background1" w:themeShade="F2"/>
      </w:rPr>
      <w:fldChar w:fldCharType="end"/>
    </w:r>
    <w:r w:rsidR="00FA6187" w:rsidRPr="00C02A76">
      <w:rPr>
        <w:color w:val="F2F2F2" w:themeColor="background1" w:themeShade="F2"/>
      </w:rPr>
      <w:t xml:space="preserve"> (520324)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9C228C"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1357671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A6187">
            <w:rPr>
              <w:bCs/>
            </w:rPr>
            <w:t>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8DE6E4D" w:rsidR="00732045" w:rsidRPr="00A51849" w:rsidRDefault="009C228C" w:rsidP="00FA6187">
    <w:pPr>
      <w:pStyle w:val="Footer"/>
    </w:pPr>
    <w:r w:rsidRPr="00C02A76">
      <w:rPr>
        <w:color w:val="F2F2F2" w:themeColor="background1" w:themeShade="F2"/>
      </w:rPr>
      <w:fldChar w:fldCharType="begin"/>
    </w:r>
    <w:r w:rsidRPr="00C02A76">
      <w:rPr>
        <w:color w:val="F2F2F2" w:themeColor="background1" w:themeShade="F2"/>
      </w:rPr>
      <w:instrText xml:space="preserve"> FILENAME \p  \* MERGEFORMAT </w:instrText>
    </w:r>
    <w:r w:rsidRPr="00C02A76">
      <w:rPr>
        <w:color w:val="F2F2F2" w:themeColor="background1" w:themeShade="F2"/>
      </w:rPr>
      <w:fldChar w:fldCharType="separate"/>
    </w:r>
    <w:r w:rsidR="00C03545" w:rsidRPr="00C02A76">
      <w:rPr>
        <w:color w:val="F2F2F2" w:themeColor="background1" w:themeShade="F2"/>
      </w:rPr>
      <w:t>P:\FRA\SG\CONSEIL\C23\000\002F.docx</w:t>
    </w:r>
    <w:r w:rsidRPr="00C02A76">
      <w:rPr>
        <w:color w:val="F2F2F2" w:themeColor="background1" w:themeShade="F2"/>
      </w:rPr>
      <w:fldChar w:fldCharType="end"/>
    </w:r>
    <w:r w:rsidR="00FA6187" w:rsidRPr="00C02A76">
      <w:rPr>
        <w:color w:val="F2F2F2" w:themeColor="background1" w:themeShade="F2"/>
      </w:rPr>
      <w:t xml:space="preserve"> (520324)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7655484">
    <w:abstractNumId w:val="2"/>
  </w:num>
  <w:num w:numId="2" w16cid:durableId="827865821">
    <w:abstractNumId w:val="1"/>
  </w:num>
  <w:num w:numId="3" w16cid:durableId="6376088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w15:presenceInfo w15:providerId="None" w15:userId="fl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2BD8"/>
    <w:rsid w:val="00015D8B"/>
    <w:rsid w:val="00032A7D"/>
    <w:rsid w:val="00076A2C"/>
    <w:rsid w:val="00090691"/>
    <w:rsid w:val="00091B1D"/>
    <w:rsid w:val="000D0D0A"/>
    <w:rsid w:val="000D5BE6"/>
    <w:rsid w:val="00103163"/>
    <w:rsid w:val="00106B19"/>
    <w:rsid w:val="00115D93"/>
    <w:rsid w:val="00122126"/>
    <w:rsid w:val="001247A8"/>
    <w:rsid w:val="001378C0"/>
    <w:rsid w:val="00141D2D"/>
    <w:rsid w:val="0018694A"/>
    <w:rsid w:val="001A0C83"/>
    <w:rsid w:val="001A3287"/>
    <w:rsid w:val="001A6508"/>
    <w:rsid w:val="001D4C31"/>
    <w:rsid w:val="001E4D21"/>
    <w:rsid w:val="001E7657"/>
    <w:rsid w:val="001F27DB"/>
    <w:rsid w:val="00207CD1"/>
    <w:rsid w:val="00226657"/>
    <w:rsid w:val="002477A2"/>
    <w:rsid w:val="00263A51"/>
    <w:rsid w:val="00263FD8"/>
    <w:rsid w:val="00267E02"/>
    <w:rsid w:val="00281EDB"/>
    <w:rsid w:val="002A5D44"/>
    <w:rsid w:val="002E0BC4"/>
    <w:rsid w:val="002F11BB"/>
    <w:rsid w:val="002F1B76"/>
    <w:rsid w:val="002F4D10"/>
    <w:rsid w:val="0033568E"/>
    <w:rsid w:val="00345464"/>
    <w:rsid w:val="00355FF5"/>
    <w:rsid w:val="00361350"/>
    <w:rsid w:val="0036171E"/>
    <w:rsid w:val="003A71CB"/>
    <w:rsid w:val="003B1239"/>
    <w:rsid w:val="003C3FAE"/>
    <w:rsid w:val="00402C1F"/>
    <w:rsid w:val="004038CB"/>
    <w:rsid w:val="0040546F"/>
    <w:rsid w:val="0042404A"/>
    <w:rsid w:val="0043643B"/>
    <w:rsid w:val="0044618F"/>
    <w:rsid w:val="00467679"/>
    <w:rsid w:val="0046769A"/>
    <w:rsid w:val="00475FB3"/>
    <w:rsid w:val="00483835"/>
    <w:rsid w:val="0049653C"/>
    <w:rsid w:val="004C23C8"/>
    <w:rsid w:val="004C37A9"/>
    <w:rsid w:val="004D1D50"/>
    <w:rsid w:val="004F259E"/>
    <w:rsid w:val="0050107C"/>
    <w:rsid w:val="00503A1B"/>
    <w:rsid w:val="00511F1D"/>
    <w:rsid w:val="00520F36"/>
    <w:rsid w:val="00526468"/>
    <w:rsid w:val="005324CD"/>
    <w:rsid w:val="00534E13"/>
    <w:rsid w:val="00540615"/>
    <w:rsid w:val="00540A6D"/>
    <w:rsid w:val="00542C03"/>
    <w:rsid w:val="00543963"/>
    <w:rsid w:val="00556228"/>
    <w:rsid w:val="00561924"/>
    <w:rsid w:val="00566679"/>
    <w:rsid w:val="00571EEA"/>
    <w:rsid w:val="00575417"/>
    <w:rsid w:val="005768E1"/>
    <w:rsid w:val="005B1938"/>
    <w:rsid w:val="005C3890"/>
    <w:rsid w:val="005E2E90"/>
    <w:rsid w:val="005F7BFE"/>
    <w:rsid w:val="00600017"/>
    <w:rsid w:val="006235CA"/>
    <w:rsid w:val="00634475"/>
    <w:rsid w:val="00651C87"/>
    <w:rsid w:val="00653F8B"/>
    <w:rsid w:val="0065418C"/>
    <w:rsid w:val="006554F1"/>
    <w:rsid w:val="006643AB"/>
    <w:rsid w:val="006A7F91"/>
    <w:rsid w:val="006F0A53"/>
    <w:rsid w:val="006F2D32"/>
    <w:rsid w:val="006F51B0"/>
    <w:rsid w:val="006F5512"/>
    <w:rsid w:val="00710D1F"/>
    <w:rsid w:val="00712B04"/>
    <w:rsid w:val="007210CD"/>
    <w:rsid w:val="00732045"/>
    <w:rsid w:val="007369DB"/>
    <w:rsid w:val="00765CCE"/>
    <w:rsid w:val="0077119A"/>
    <w:rsid w:val="007956C2"/>
    <w:rsid w:val="007A187E"/>
    <w:rsid w:val="007B350C"/>
    <w:rsid w:val="007C72C2"/>
    <w:rsid w:val="007D15C6"/>
    <w:rsid w:val="007D4436"/>
    <w:rsid w:val="007E0957"/>
    <w:rsid w:val="007F257A"/>
    <w:rsid w:val="007F3665"/>
    <w:rsid w:val="00800037"/>
    <w:rsid w:val="008058BF"/>
    <w:rsid w:val="0083391C"/>
    <w:rsid w:val="0083564D"/>
    <w:rsid w:val="00861D73"/>
    <w:rsid w:val="008622FF"/>
    <w:rsid w:val="00897553"/>
    <w:rsid w:val="008A4E87"/>
    <w:rsid w:val="008B535E"/>
    <w:rsid w:val="008D6463"/>
    <w:rsid w:val="008D76E6"/>
    <w:rsid w:val="00911162"/>
    <w:rsid w:val="0091232E"/>
    <w:rsid w:val="0092392D"/>
    <w:rsid w:val="0093234A"/>
    <w:rsid w:val="00956A78"/>
    <w:rsid w:val="00956CE0"/>
    <w:rsid w:val="0097363B"/>
    <w:rsid w:val="00973F53"/>
    <w:rsid w:val="009C228C"/>
    <w:rsid w:val="009C307F"/>
    <w:rsid w:val="009C353C"/>
    <w:rsid w:val="00A1713B"/>
    <w:rsid w:val="00A2113E"/>
    <w:rsid w:val="00A23A51"/>
    <w:rsid w:val="00A24607"/>
    <w:rsid w:val="00A25CD3"/>
    <w:rsid w:val="00A51849"/>
    <w:rsid w:val="00A64825"/>
    <w:rsid w:val="00A709FE"/>
    <w:rsid w:val="00A73C60"/>
    <w:rsid w:val="00A82767"/>
    <w:rsid w:val="00AA332F"/>
    <w:rsid w:val="00AA7BBB"/>
    <w:rsid w:val="00AB64A8"/>
    <w:rsid w:val="00AC0266"/>
    <w:rsid w:val="00AC6967"/>
    <w:rsid w:val="00AD24EC"/>
    <w:rsid w:val="00AE5405"/>
    <w:rsid w:val="00B16012"/>
    <w:rsid w:val="00B309F9"/>
    <w:rsid w:val="00B32B60"/>
    <w:rsid w:val="00B50308"/>
    <w:rsid w:val="00B61619"/>
    <w:rsid w:val="00B67436"/>
    <w:rsid w:val="00B86FF7"/>
    <w:rsid w:val="00BB4545"/>
    <w:rsid w:val="00BD5873"/>
    <w:rsid w:val="00BF4B6B"/>
    <w:rsid w:val="00C02A76"/>
    <w:rsid w:val="00C03545"/>
    <w:rsid w:val="00C04BE3"/>
    <w:rsid w:val="00C11E76"/>
    <w:rsid w:val="00C25D29"/>
    <w:rsid w:val="00C27A7C"/>
    <w:rsid w:val="00C30819"/>
    <w:rsid w:val="00C42437"/>
    <w:rsid w:val="00CA08ED"/>
    <w:rsid w:val="00CA790F"/>
    <w:rsid w:val="00CC6350"/>
    <w:rsid w:val="00CF0445"/>
    <w:rsid w:val="00CF183B"/>
    <w:rsid w:val="00D02660"/>
    <w:rsid w:val="00D05EAE"/>
    <w:rsid w:val="00D20CE1"/>
    <w:rsid w:val="00D375CD"/>
    <w:rsid w:val="00D553A2"/>
    <w:rsid w:val="00D72F49"/>
    <w:rsid w:val="00D774D3"/>
    <w:rsid w:val="00D904E8"/>
    <w:rsid w:val="00DA08C3"/>
    <w:rsid w:val="00DB5A3E"/>
    <w:rsid w:val="00DC22AA"/>
    <w:rsid w:val="00DF3D48"/>
    <w:rsid w:val="00DF74DD"/>
    <w:rsid w:val="00E25174"/>
    <w:rsid w:val="00E25AD0"/>
    <w:rsid w:val="00E30D08"/>
    <w:rsid w:val="00E401C5"/>
    <w:rsid w:val="00E4428F"/>
    <w:rsid w:val="00E7607C"/>
    <w:rsid w:val="00E93668"/>
    <w:rsid w:val="00E95647"/>
    <w:rsid w:val="00EB6350"/>
    <w:rsid w:val="00EE1F34"/>
    <w:rsid w:val="00EE3F4D"/>
    <w:rsid w:val="00EE637C"/>
    <w:rsid w:val="00EF795F"/>
    <w:rsid w:val="00F02963"/>
    <w:rsid w:val="00F05079"/>
    <w:rsid w:val="00F14B87"/>
    <w:rsid w:val="00F15B57"/>
    <w:rsid w:val="00F253C5"/>
    <w:rsid w:val="00F349AD"/>
    <w:rsid w:val="00F35EF4"/>
    <w:rsid w:val="00F37FE5"/>
    <w:rsid w:val="00F4091C"/>
    <w:rsid w:val="00F427DB"/>
    <w:rsid w:val="00FA2354"/>
    <w:rsid w:val="00FA5EB1"/>
    <w:rsid w:val="00FA6187"/>
    <w:rsid w:val="00FA7439"/>
    <w:rsid w:val="00FC3E1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FA6187"/>
    <w:pPr>
      <w:ind w:left="720"/>
      <w:contextualSpacing/>
      <w:textAlignment w:val="auto"/>
    </w:pPr>
    <w:rPr>
      <w:lang w:val="en-GB"/>
    </w:rPr>
  </w:style>
  <w:style w:type="paragraph" w:customStyle="1" w:styleId="call0">
    <w:name w:val="call"/>
    <w:basedOn w:val="Normal"/>
    <w:next w:val="Normal"/>
    <w:rsid w:val="00EE637C"/>
    <w:pPr>
      <w:keepNext/>
      <w:keepLines/>
      <w:spacing w:before="160"/>
      <w:ind w:left="794" w:hanging="357"/>
      <w:textAlignment w:val="auto"/>
    </w:pPr>
    <w:rPr>
      <w:i/>
      <w:lang w:val="en-GB"/>
    </w:rPr>
  </w:style>
  <w:style w:type="character" w:styleId="UnresolvedMention">
    <w:name w:val="Unresolved Mention"/>
    <w:basedOn w:val="DefaultParagraphFont"/>
    <w:uiPriority w:val="99"/>
    <w:semiHidden/>
    <w:unhideWhenUsed/>
    <w:rsid w:val="00E401C5"/>
    <w:rPr>
      <w:color w:val="605E5C"/>
      <w:shd w:val="clear" w:color="auto" w:fill="E1DFDD"/>
    </w:rPr>
  </w:style>
  <w:style w:type="character" w:styleId="CommentReference">
    <w:name w:val="annotation reference"/>
    <w:basedOn w:val="DefaultParagraphFont"/>
    <w:semiHidden/>
    <w:unhideWhenUsed/>
    <w:rsid w:val="0036171E"/>
    <w:rPr>
      <w:sz w:val="16"/>
      <w:szCs w:val="16"/>
    </w:rPr>
  </w:style>
  <w:style w:type="paragraph" w:styleId="CommentText">
    <w:name w:val="annotation text"/>
    <w:basedOn w:val="Normal"/>
    <w:link w:val="CommentTextChar"/>
    <w:unhideWhenUsed/>
    <w:rsid w:val="0036171E"/>
    <w:rPr>
      <w:sz w:val="20"/>
    </w:rPr>
  </w:style>
  <w:style w:type="character" w:customStyle="1" w:styleId="CommentTextChar">
    <w:name w:val="Comment Text Char"/>
    <w:basedOn w:val="DefaultParagraphFont"/>
    <w:link w:val="CommentText"/>
    <w:rsid w:val="0036171E"/>
    <w:rPr>
      <w:rFonts w:ascii="Calibri" w:hAnsi="Calibri"/>
      <w:lang w:val="fr-FR" w:eastAsia="en-US"/>
    </w:rPr>
  </w:style>
  <w:style w:type="paragraph" w:styleId="CommentSubject">
    <w:name w:val="annotation subject"/>
    <w:basedOn w:val="CommentText"/>
    <w:next w:val="CommentText"/>
    <w:link w:val="CommentSubjectChar"/>
    <w:semiHidden/>
    <w:unhideWhenUsed/>
    <w:rsid w:val="0036171E"/>
    <w:rPr>
      <w:b/>
      <w:bCs/>
    </w:rPr>
  </w:style>
  <w:style w:type="character" w:customStyle="1" w:styleId="CommentSubjectChar">
    <w:name w:val="Comment Subject Char"/>
    <w:basedOn w:val="CommentTextChar"/>
    <w:link w:val="CommentSubject"/>
    <w:semiHidden/>
    <w:rsid w:val="0036171E"/>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11-F.pdf" TargetMode="External"/><Relationship Id="rId13" Type="http://schemas.openxmlformats.org/officeDocument/2006/relationships/hyperlink" Target="https://www.itu.int/md/S22-CL-C-0098/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council/pd/rop-f.pdf" TargetMode="External"/><Relationship Id="rId12" Type="http://schemas.openxmlformats.org/officeDocument/2006/relationships/hyperlink" Target="https://www.itu.int/md/S23-CL-C-0007/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council/Documents/basic-texts-2023/DEC-005-F.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C-0037/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council/Documents/basic-texts-2023/DEC-011-F.pdf" TargetMode="External"/><Relationship Id="rId23" Type="http://schemas.microsoft.com/office/2011/relationships/people" Target="people.xml"/><Relationship Id="rId10" Type="http://schemas.openxmlformats.org/officeDocument/2006/relationships/hyperlink" Target="https://www.itu.int/md/S22-CL-C-0002/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C-0098/fr" TargetMode="External"/><Relationship Id="rId14" Type="http://schemas.openxmlformats.org/officeDocument/2006/relationships/hyperlink" Target="https://www.itu.int/md/S23-CL-C-0007/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1683</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10740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2024, 2025 et 2026 du Conseil et dates proposées pour les séries de réunions des Groupes de travail du Conseil et des Groupes d'experts pour la même période</dc:title>
  <dc:subject>Conseil 2023</dc:subject>
  <dc:creator>Xue, Kun</dc:creator>
  <cp:keywords>C2023, C23, Council-23</cp:keywords>
  <dc:description/>
  <cp:lastModifiedBy>Xue, Kun</cp:lastModifiedBy>
  <cp:revision>5</cp:revision>
  <cp:lastPrinted>2000-07-18T08:55:00Z</cp:lastPrinted>
  <dcterms:created xsi:type="dcterms:W3CDTF">2023-06-23T14:47:00Z</dcterms:created>
  <dcterms:modified xsi:type="dcterms:W3CDTF">2023-06-23T14:49:00Z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