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FC4A28" w14:paraId="2592CC74" w14:textId="77777777" w:rsidTr="00D72F49">
        <w:trPr>
          <w:cantSplit/>
          <w:trHeight w:val="23"/>
        </w:trPr>
        <w:tc>
          <w:tcPr>
            <w:tcW w:w="3969" w:type="dxa"/>
            <w:vMerge w:val="restart"/>
            <w:tcMar>
              <w:left w:w="0" w:type="dxa"/>
            </w:tcMar>
          </w:tcPr>
          <w:p w14:paraId="27E56DEB" w14:textId="1F785E70" w:rsidR="00D72F49" w:rsidRPr="00FC4A28" w:rsidRDefault="00D72F49" w:rsidP="00D72F49">
            <w:pPr>
              <w:tabs>
                <w:tab w:val="left" w:pos="851"/>
              </w:tabs>
              <w:spacing w:before="0" w:line="240" w:lineRule="atLeast"/>
              <w:rPr>
                <w:b/>
              </w:rPr>
            </w:pPr>
          </w:p>
        </w:tc>
        <w:tc>
          <w:tcPr>
            <w:tcW w:w="5245" w:type="dxa"/>
          </w:tcPr>
          <w:p w14:paraId="27B6A98A" w14:textId="69E7101E" w:rsidR="00D72F49" w:rsidRPr="00FC4A28" w:rsidRDefault="00D72F49" w:rsidP="00D72F49">
            <w:pPr>
              <w:tabs>
                <w:tab w:val="left" w:pos="851"/>
              </w:tabs>
              <w:spacing w:before="0" w:line="240" w:lineRule="atLeast"/>
              <w:jc w:val="right"/>
              <w:rPr>
                <w:b/>
              </w:rPr>
            </w:pPr>
            <w:r w:rsidRPr="00FC4A28">
              <w:rPr>
                <w:b/>
              </w:rPr>
              <w:t>Document C23</w:t>
            </w:r>
            <w:r w:rsidR="00CC0E63" w:rsidRPr="00FC4A28">
              <w:rPr>
                <w:b/>
              </w:rPr>
              <w:t>-ADD</w:t>
            </w:r>
            <w:r w:rsidRPr="00FC4A28">
              <w:rPr>
                <w:b/>
              </w:rPr>
              <w:t>/</w:t>
            </w:r>
            <w:r w:rsidR="00B55D92">
              <w:rPr>
                <w:b/>
              </w:rPr>
              <w:t>1</w:t>
            </w:r>
            <w:r w:rsidR="00E56EEF">
              <w:rPr>
                <w:b/>
              </w:rPr>
              <w:t>3</w:t>
            </w:r>
            <w:r w:rsidRPr="00FC4A28">
              <w:rPr>
                <w:b/>
              </w:rPr>
              <w:t>-F</w:t>
            </w:r>
          </w:p>
        </w:tc>
      </w:tr>
      <w:tr w:rsidR="00D72F49" w:rsidRPr="00FC4A28" w14:paraId="41096C77" w14:textId="77777777" w:rsidTr="00D72F49">
        <w:trPr>
          <w:cantSplit/>
        </w:trPr>
        <w:tc>
          <w:tcPr>
            <w:tcW w:w="3969" w:type="dxa"/>
            <w:vMerge/>
          </w:tcPr>
          <w:p w14:paraId="0BBA5643" w14:textId="77777777" w:rsidR="00D72F49" w:rsidRPr="00FC4A28" w:rsidRDefault="00D72F49" w:rsidP="00D72F49">
            <w:pPr>
              <w:tabs>
                <w:tab w:val="left" w:pos="851"/>
              </w:tabs>
              <w:spacing w:line="240" w:lineRule="atLeast"/>
              <w:rPr>
                <w:b/>
              </w:rPr>
            </w:pPr>
          </w:p>
        </w:tc>
        <w:tc>
          <w:tcPr>
            <w:tcW w:w="5245" w:type="dxa"/>
          </w:tcPr>
          <w:p w14:paraId="068BECD5" w14:textId="44B2D69D" w:rsidR="00D72F49" w:rsidRPr="00FC4A28" w:rsidRDefault="00B55D92" w:rsidP="00D72F49">
            <w:pPr>
              <w:tabs>
                <w:tab w:val="left" w:pos="851"/>
              </w:tabs>
              <w:spacing w:before="0"/>
              <w:jc w:val="right"/>
              <w:rPr>
                <w:b/>
              </w:rPr>
            </w:pPr>
            <w:r>
              <w:rPr>
                <w:b/>
              </w:rPr>
              <w:t>25 octobre</w:t>
            </w:r>
            <w:r w:rsidR="00D72F49" w:rsidRPr="00FC4A28">
              <w:rPr>
                <w:b/>
              </w:rPr>
              <w:t xml:space="preserve"> 2023</w:t>
            </w:r>
          </w:p>
        </w:tc>
      </w:tr>
      <w:tr w:rsidR="00D72F49" w:rsidRPr="00FC4A28" w14:paraId="17E5B988" w14:textId="77777777" w:rsidTr="00D72F49">
        <w:trPr>
          <w:cantSplit/>
          <w:trHeight w:val="23"/>
        </w:trPr>
        <w:tc>
          <w:tcPr>
            <w:tcW w:w="3969" w:type="dxa"/>
            <w:vMerge/>
          </w:tcPr>
          <w:p w14:paraId="2192D6D7" w14:textId="77777777" w:rsidR="00D72F49" w:rsidRPr="00FC4A28" w:rsidRDefault="00D72F49" w:rsidP="00D72F49">
            <w:pPr>
              <w:tabs>
                <w:tab w:val="left" w:pos="851"/>
              </w:tabs>
              <w:spacing w:line="240" w:lineRule="atLeast"/>
              <w:rPr>
                <w:b/>
              </w:rPr>
            </w:pPr>
          </w:p>
        </w:tc>
        <w:tc>
          <w:tcPr>
            <w:tcW w:w="5245" w:type="dxa"/>
          </w:tcPr>
          <w:p w14:paraId="1948C622" w14:textId="77777777" w:rsidR="00D72F49" w:rsidRPr="00FC4A28" w:rsidRDefault="00D72F49" w:rsidP="00D72F49">
            <w:pPr>
              <w:tabs>
                <w:tab w:val="left" w:pos="851"/>
              </w:tabs>
              <w:spacing w:before="0" w:line="240" w:lineRule="atLeast"/>
              <w:jc w:val="right"/>
              <w:rPr>
                <w:b/>
              </w:rPr>
            </w:pPr>
            <w:r w:rsidRPr="00FC4A28">
              <w:rPr>
                <w:b/>
              </w:rPr>
              <w:t>Original: anglais</w:t>
            </w:r>
          </w:p>
        </w:tc>
      </w:tr>
      <w:tr w:rsidR="00D72F49" w:rsidRPr="00FC4A28" w14:paraId="53623BEE" w14:textId="77777777" w:rsidTr="00D72F49">
        <w:trPr>
          <w:cantSplit/>
          <w:trHeight w:val="23"/>
        </w:trPr>
        <w:tc>
          <w:tcPr>
            <w:tcW w:w="3969" w:type="dxa"/>
          </w:tcPr>
          <w:p w14:paraId="630B4C34" w14:textId="77777777" w:rsidR="00D72F49" w:rsidRPr="00FC4A28" w:rsidRDefault="00D72F49" w:rsidP="00D72F49">
            <w:pPr>
              <w:tabs>
                <w:tab w:val="left" w:pos="851"/>
              </w:tabs>
              <w:spacing w:line="240" w:lineRule="atLeast"/>
              <w:rPr>
                <w:b/>
              </w:rPr>
            </w:pPr>
          </w:p>
        </w:tc>
        <w:tc>
          <w:tcPr>
            <w:tcW w:w="5245" w:type="dxa"/>
          </w:tcPr>
          <w:p w14:paraId="437750C4" w14:textId="77777777" w:rsidR="00D72F49" w:rsidRPr="00FC4A28" w:rsidRDefault="00D72F49" w:rsidP="00D72F49">
            <w:pPr>
              <w:tabs>
                <w:tab w:val="left" w:pos="851"/>
              </w:tabs>
              <w:spacing w:before="0" w:line="240" w:lineRule="atLeast"/>
              <w:jc w:val="right"/>
              <w:rPr>
                <w:b/>
              </w:rPr>
            </w:pPr>
          </w:p>
        </w:tc>
      </w:tr>
    </w:tbl>
    <w:p w14:paraId="10E7D01F" w14:textId="4CC793A7" w:rsidR="00CB10B1" w:rsidRPr="00FC4A28" w:rsidRDefault="00CB10B1" w:rsidP="00CB10B1">
      <w:pPr>
        <w:tabs>
          <w:tab w:val="clear" w:pos="567"/>
          <w:tab w:val="clear" w:pos="1134"/>
          <w:tab w:val="clear" w:pos="1701"/>
          <w:tab w:val="clear" w:pos="2268"/>
          <w:tab w:val="clear" w:pos="2835"/>
        </w:tabs>
        <w:overflowPunct/>
        <w:autoSpaceDE/>
        <w:autoSpaceDN/>
        <w:adjustRightInd/>
        <w:spacing w:before="0"/>
        <w:textAlignment w:val="auto"/>
      </w:pPr>
    </w:p>
    <w:p w14:paraId="200F75B4" w14:textId="4C830D57" w:rsidR="00CB10B1" w:rsidRDefault="00CB10B1" w:rsidP="004364AA">
      <w:pPr>
        <w:pStyle w:val="ResNo"/>
      </w:pPr>
      <w:r w:rsidRPr="00FC4A28">
        <w:t xml:space="preserve">DÉCISION </w:t>
      </w:r>
      <w:r w:rsidR="00B55D92">
        <w:t>635</w:t>
      </w:r>
    </w:p>
    <w:p w14:paraId="54C0900A" w14:textId="7E65FA9F" w:rsidR="00B55D92" w:rsidRPr="00B55D92" w:rsidRDefault="00B55D92" w:rsidP="00B55D92">
      <w:pPr>
        <w:pStyle w:val="Restitle"/>
        <w:rPr>
          <w:b w:val="0"/>
          <w:bCs/>
          <w:sz w:val="24"/>
          <w:szCs w:val="24"/>
        </w:rPr>
      </w:pPr>
      <w:r w:rsidRPr="00B55D92">
        <w:rPr>
          <w:b w:val="0"/>
          <w:bCs/>
          <w:sz w:val="24"/>
          <w:szCs w:val="24"/>
        </w:rPr>
        <w:t>(adoptée à la première séance plénière)</w:t>
      </w:r>
    </w:p>
    <w:p w14:paraId="0C233523" w14:textId="77777777" w:rsidR="00CB10B1" w:rsidRPr="00FC4A28" w:rsidRDefault="00CB10B1" w:rsidP="004364AA">
      <w:pPr>
        <w:pStyle w:val="Restitle"/>
      </w:pPr>
      <w:r w:rsidRPr="00FC4A28">
        <w:t xml:space="preserve">Dates et durée des sessions de 2024, 2025 et 2026 du Conseil </w:t>
      </w:r>
      <w:r w:rsidRPr="00FC4A28">
        <w:br/>
        <w:t xml:space="preserve">et des séries de réunions des Groupes de travail du Conseil </w:t>
      </w:r>
      <w:r w:rsidRPr="00FC4A28">
        <w:br/>
        <w:t>et des Groupes d'experts de 2024, 2025 et 2026</w:t>
      </w:r>
    </w:p>
    <w:p w14:paraId="3DBA42C7" w14:textId="77777777" w:rsidR="00CB10B1" w:rsidRPr="00FC4A28" w:rsidRDefault="00CB10B1" w:rsidP="00CB10B1">
      <w:pPr>
        <w:pStyle w:val="Normalaftertitle"/>
      </w:pPr>
      <w:r w:rsidRPr="00FC4A28">
        <w:t>Le Conseil de l'UIT,</w:t>
      </w:r>
    </w:p>
    <w:p w14:paraId="2DA09593" w14:textId="77777777" w:rsidR="00CB10B1" w:rsidRPr="00FC4A28" w:rsidRDefault="00CB10B1" w:rsidP="00CB10B1">
      <w:pPr>
        <w:pStyle w:val="Call"/>
      </w:pPr>
      <w:r w:rsidRPr="00FC4A28">
        <w:t>ayant à l'esprit</w:t>
      </w:r>
    </w:p>
    <w:p w14:paraId="0496F49C" w14:textId="77777777" w:rsidR="00CB10B1" w:rsidRPr="00FC4A28" w:rsidRDefault="00CB10B1" w:rsidP="00CB10B1">
      <w:r w:rsidRPr="00FC4A28">
        <w:rPr>
          <w:i/>
          <w:iCs/>
        </w:rPr>
        <w:t>a)</w:t>
      </w:r>
      <w:r w:rsidRPr="00FC4A28">
        <w:tab/>
        <w:t>la Résolution 77 (Rév. Bucarest, 2022) de la Conférence de plénipotentiaires, aux termes de laquelle le Conseil est chargé "de planifier, à chaque session ordinaire, ses trois prochaines sessions ordinaires en juin-juillet, et de revoir cette planification d'une année à l'autre";</w:t>
      </w:r>
    </w:p>
    <w:p w14:paraId="2E32ADBC" w14:textId="77777777" w:rsidR="00CB10B1" w:rsidRPr="00FC4A28" w:rsidRDefault="00CB10B1" w:rsidP="00CB10B1">
      <w:r w:rsidRPr="00FC4A28">
        <w:rPr>
          <w:i/>
          <w:iCs/>
        </w:rPr>
        <w:t>b)</w:t>
      </w:r>
      <w:r w:rsidRPr="00FC4A28">
        <w:rPr>
          <w:i/>
          <w:iCs/>
        </w:rPr>
        <w:tab/>
      </w:r>
      <w:r w:rsidRPr="00FC4A28">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693FCD73" w14:textId="77777777" w:rsidR="00CB10B1" w:rsidRPr="00FC4A28" w:rsidRDefault="00CB10B1" w:rsidP="00CB10B1">
      <w:r w:rsidRPr="00FC4A28">
        <w:rPr>
          <w:i/>
        </w:rPr>
        <w:t>c)</w:t>
      </w:r>
      <w:r w:rsidRPr="00FC4A28">
        <w:rPr>
          <w:i/>
        </w:rPr>
        <w:tab/>
      </w:r>
      <w:r w:rsidRPr="00FC4A28">
        <w:t>la Décision 619 relative aux locaux du siège adoptée à la session additionnelle de 2019 du Conseil,</w:t>
      </w:r>
    </w:p>
    <w:p w14:paraId="4FB9B1E8" w14:textId="77777777" w:rsidR="00CB10B1" w:rsidRPr="00FC4A28" w:rsidRDefault="00CB10B1" w:rsidP="00CB10B1">
      <w:pPr>
        <w:pStyle w:val="Call"/>
      </w:pPr>
      <w:r w:rsidRPr="00FC4A28">
        <w:t>rappelant</w:t>
      </w:r>
    </w:p>
    <w:p w14:paraId="21EAF829" w14:textId="77777777" w:rsidR="00CB10B1" w:rsidRPr="00FC4A28" w:rsidRDefault="00CB10B1" w:rsidP="00CB10B1">
      <w:r w:rsidRPr="00FC4A28">
        <w:t>la Décision 626 (C22) du Conseil, aux termes de laquelle les dates et la durée des sessions de 2023, 2024, 2025 et 2026 du Conseil, ainsi que de la série de réunions des Groupes de travail du Conseil et des Groupes d'experts pour 2023, 2024 et 2025 ont été confirmées,</w:t>
      </w:r>
    </w:p>
    <w:p w14:paraId="4E3EFF6E" w14:textId="77777777" w:rsidR="00CB10B1" w:rsidRPr="00FC4A28" w:rsidRDefault="00CB10B1" w:rsidP="00CB10B1">
      <w:pPr>
        <w:pStyle w:val="Call"/>
      </w:pPr>
      <w:r w:rsidRPr="00FC4A28">
        <w:t>considérant</w:t>
      </w:r>
    </w:p>
    <w:p w14:paraId="61DA0430" w14:textId="77777777" w:rsidR="00CB10B1" w:rsidRPr="00FC4A28" w:rsidRDefault="00CB10B1" w:rsidP="00CB10B1">
      <w:r w:rsidRPr="00FC4A28">
        <w:t>la nécessité de planifier, dans toute la mesure possible, les sessions ordinaires du Conseil autour des mêmes dates chaque année, afin de faciliter l'organisation des autres manifestations de l'UIT,</w:t>
      </w:r>
    </w:p>
    <w:p w14:paraId="03DF8E7E" w14:textId="77777777" w:rsidR="00CB10B1" w:rsidRPr="00FC4A28" w:rsidRDefault="00CB10B1" w:rsidP="00CB10B1">
      <w:pPr>
        <w:pStyle w:val="Call"/>
      </w:pPr>
      <w:r w:rsidRPr="00FC4A28">
        <w:lastRenderedPageBreak/>
        <w:t>considérant en outre</w:t>
      </w:r>
    </w:p>
    <w:p w14:paraId="326A1E36" w14:textId="77777777" w:rsidR="00CB10B1" w:rsidRPr="00FC4A28" w:rsidRDefault="00CB10B1" w:rsidP="00CB10B1">
      <w:pPr>
        <w:rPr>
          <w:color w:val="000000"/>
        </w:rPr>
      </w:pPr>
      <w:r w:rsidRPr="00FC4A28">
        <w:t>la nécessité d'organiser suffisamment tôt la session ordinaire du Conseil, l'année où se tient une Conférence de plénipotentiaires (PP), afin que les rapports du Conseil destinés à être examinés plus avant lors de la PP puissent être publiés suffisamment à l'avance</w:t>
      </w:r>
      <w:r w:rsidRPr="00FC4A28">
        <w:rPr>
          <w:color w:val="000000"/>
        </w:rPr>
        <w:t>,</w:t>
      </w:r>
    </w:p>
    <w:p w14:paraId="2C15DE6D" w14:textId="77777777" w:rsidR="00CB10B1" w:rsidRPr="00FC4A28" w:rsidRDefault="00CB10B1" w:rsidP="00CB10B1">
      <w:pPr>
        <w:pStyle w:val="Call"/>
      </w:pPr>
      <w:r w:rsidRPr="00FC4A28">
        <w:t>soulignant</w:t>
      </w:r>
    </w:p>
    <w:p w14:paraId="5E02C926" w14:textId="77777777" w:rsidR="00CB10B1" w:rsidRPr="00FC4A28" w:rsidRDefault="00CB10B1" w:rsidP="00CB10B1">
      <w:pPr>
        <w:tabs>
          <w:tab w:val="clear" w:pos="567"/>
          <w:tab w:val="left" w:pos="720"/>
        </w:tabs>
        <w:snapToGrid w:val="0"/>
      </w:pPr>
      <w:r w:rsidRPr="00FC4A28">
        <w:t>que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2BEB9092" w14:textId="77777777" w:rsidR="00CB10B1" w:rsidRPr="00FC4A28" w:rsidRDefault="00CB10B1" w:rsidP="00CB10B1">
      <w:pPr>
        <w:pStyle w:val="Call"/>
      </w:pPr>
      <w:r w:rsidRPr="00FC4A28">
        <w:t>reconnaissant</w:t>
      </w:r>
    </w:p>
    <w:p w14:paraId="0715FBBF" w14:textId="77777777" w:rsidR="00CB10B1" w:rsidRPr="00FC4A28" w:rsidRDefault="00CB10B1" w:rsidP="00CB10B1">
      <w:pPr>
        <w:rPr>
          <w:rFonts w:asciiTheme="minorHAnsi" w:hAnsiTheme="minorHAnsi" w:cstheme="minorHAnsi"/>
          <w:szCs w:val="24"/>
        </w:rPr>
      </w:pPr>
      <w:r w:rsidRPr="00FC4A28">
        <w:t xml:space="preserve">les contraintes liées à la disponibilité des </w:t>
      </w:r>
      <w:r w:rsidRPr="00FC4A28">
        <w:rPr>
          <w:lang w:eastAsia="zh-CN"/>
        </w:rPr>
        <w:t>salles de réunion pendant la démolition et la phase de construction initiale des locaux du siège</w:t>
      </w:r>
      <w:r w:rsidRPr="00FC4A28">
        <w:rPr>
          <w:rFonts w:asciiTheme="minorHAnsi" w:hAnsiTheme="minorHAnsi" w:cstheme="minorHAnsi"/>
          <w:szCs w:val="24"/>
        </w:rPr>
        <w:t>,</w:t>
      </w:r>
    </w:p>
    <w:p w14:paraId="71678588" w14:textId="77777777" w:rsidR="00CB10B1" w:rsidRPr="00FC4A28" w:rsidRDefault="00CB10B1" w:rsidP="00CB10B1">
      <w:pPr>
        <w:pStyle w:val="Call"/>
      </w:pPr>
      <w:r w:rsidRPr="00FC4A28">
        <w:t>ayant à l'esprit</w:t>
      </w:r>
    </w:p>
    <w:p w14:paraId="2B7AA69F" w14:textId="77777777" w:rsidR="00CB10B1" w:rsidRPr="00FC4A28" w:rsidRDefault="00CB10B1" w:rsidP="00CB10B1">
      <w:r w:rsidRPr="00FC4A28">
        <w:rPr>
          <w:szCs w:val="24"/>
        </w:rPr>
        <w:t>la Décision 11 (Rév. Bucarest, 2022) de la Conférence de plénipotentiaires relative à la création et à la gestion des groupes de travail du Conseil, qui se réfère à l'Annexe 2 de la Décision 5 (Rév. Bucarest, 2022) de la Conférence sur les possibilités de réduction des charges</w:t>
      </w:r>
      <w:r w:rsidRPr="00FC4A28">
        <w:t>,</w:t>
      </w:r>
    </w:p>
    <w:p w14:paraId="1B56F11D" w14:textId="77777777" w:rsidR="00CB10B1" w:rsidRPr="00FC4A28" w:rsidRDefault="00CB10B1" w:rsidP="00CB10B1">
      <w:pPr>
        <w:pStyle w:val="Call"/>
      </w:pPr>
      <w:r w:rsidRPr="00FC4A28">
        <w:t>décide</w:t>
      </w:r>
    </w:p>
    <w:p w14:paraId="716CA6B8" w14:textId="77777777" w:rsidR="00CB10B1" w:rsidRPr="00FC4A28" w:rsidRDefault="00CB10B1" w:rsidP="00CB10B1">
      <w:pPr>
        <w:tabs>
          <w:tab w:val="clear" w:pos="567"/>
          <w:tab w:val="left" w:pos="426"/>
        </w:tabs>
        <w:rPr>
          <w:rFonts w:asciiTheme="minorHAnsi" w:hAnsiTheme="minorHAnsi"/>
          <w:snapToGrid w:val="0"/>
          <w:szCs w:val="24"/>
        </w:rPr>
      </w:pPr>
      <w:r w:rsidRPr="00FC4A28">
        <w:t>1</w:t>
      </w:r>
      <w:r w:rsidRPr="00FC4A28">
        <w:tab/>
      </w:r>
      <w:r w:rsidRPr="00FC4A28">
        <w:rPr>
          <w:snapToGrid w:val="0"/>
          <w:szCs w:val="24"/>
        </w:rPr>
        <w:t>que la session de 2024 du Conseil se tiendra à Genève pour une période de neuf jours ouvrables,</w:t>
      </w:r>
      <w:r w:rsidRPr="00FC4A28">
        <w:rPr>
          <w:snapToGrid w:val="0"/>
          <w:spacing w:val="-4"/>
          <w:szCs w:val="24"/>
        </w:rPr>
        <w:t xml:space="preserve"> </w:t>
      </w:r>
      <w:r w:rsidRPr="00FC4A28">
        <w:rPr>
          <w:rFonts w:asciiTheme="minorHAnsi" w:hAnsiTheme="minorHAnsi"/>
          <w:snapToGrid w:val="0"/>
          <w:szCs w:val="24"/>
        </w:rPr>
        <w:t xml:space="preserve">et que cette session et les séries de réunions des GTC et des </w:t>
      </w:r>
      <w:r w:rsidRPr="00FC4A28">
        <w:rPr>
          <w:snapToGrid w:val="0"/>
        </w:rPr>
        <w:t>EG</w:t>
      </w:r>
      <w:r w:rsidRPr="00FC4A28">
        <w:rPr>
          <w:rFonts w:asciiTheme="minorHAnsi" w:hAnsiTheme="minorHAnsi"/>
          <w:snapToGrid w:val="0"/>
          <w:szCs w:val="24"/>
        </w:rPr>
        <w:t xml:space="preserve"> associées auront lieu aux dates suivantes:</w:t>
      </w:r>
    </w:p>
    <w:p w14:paraId="7044E218" w14:textId="77777777" w:rsidR="00CB10B1" w:rsidRPr="00FC4A28" w:rsidRDefault="00CB10B1" w:rsidP="00CB10B1">
      <w:pPr>
        <w:pStyle w:val="enumlev1"/>
      </w:pPr>
      <w:r w:rsidRPr="00FC4A28">
        <w:t>–</w:t>
      </w:r>
      <w:r w:rsidRPr="00FC4A28">
        <w:tab/>
        <w:t xml:space="preserve">première série de réunions: </w:t>
      </w:r>
      <w:r w:rsidRPr="00FC4A28">
        <w:rPr>
          <w:bCs/>
        </w:rPr>
        <w:t>du lundi 22 janvier au vendredi 2 février;</w:t>
      </w:r>
    </w:p>
    <w:p w14:paraId="1DA2994C" w14:textId="77777777" w:rsidR="00CB10B1" w:rsidRPr="00FC4A28" w:rsidRDefault="00CB10B1" w:rsidP="00CB10B1">
      <w:pPr>
        <w:pStyle w:val="enumlev1"/>
      </w:pPr>
      <w:r w:rsidRPr="00FC4A28">
        <w:rPr>
          <w:snapToGrid w:val="0"/>
        </w:rPr>
        <w:t>–</w:t>
      </w:r>
      <w:r w:rsidRPr="00FC4A28">
        <w:rPr>
          <w:snapToGrid w:val="0"/>
        </w:rPr>
        <w:tab/>
      </w:r>
      <w:r w:rsidRPr="00FC4A28">
        <w:rPr>
          <w:b/>
          <w:bCs/>
          <w:snapToGrid w:val="0"/>
        </w:rPr>
        <w:t>session de 2024 du</w:t>
      </w:r>
      <w:r w:rsidRPr="00FC4A28">
        <w:rPr>
          <w:snapToGrid w:val="0"/>
        </w:rPr>
        <w:t xml:space="preserve"> </w:t>
      </w:r>
      <w:r w:rsidRPr="00FC4A28">
        <w:rPr>
          <w:b/>
          <w:bCs/>
          <w:snapToGrid w:val="0"/>
        </w:rPr>
        <w:t>Conseil:</w:t>
      </w:r>
      <w:r w:rsidRPr="00FC4A28">
        <w:rPr>
          <w:b/>
        </w:rPr>
        <w:t xml:space="preserve"> du mardi 4 juin au vendredi 14 juin 2024</w:t>
      </w:r>
      <w:r w:rsidRPr="00FC4A28">
        <w:t>;</w:t>
      </w:r>
    </w:p>
    <w:p w14:paraId="01DFC5B7" w14:textId="77777777" w:rsidR="00CB10B1" w:rsidRPr="00FC4A28" w:rsidRDefault="00CB10B1" w:rsidP="00CB10B1">
      <w:pPr>
        <w:pStyle w:val="enumlev1"/>
      </w:pPr>
      <w:r w:rsidRPr="00FC4A28">
        <w:t>–</w:t>
      </w:r>
      <w:r w:rsidRPr="00FC4A28">
        <w:tab/>
        <w:t xml:space="preserve">seconde série de réunions: </w:t>
      </w:r>
      <w:r w:rsidRPr="00FC4A28">
        <w:rPr>
          <w:bCs/>
        </w:rPr>
        <w:t>du lundi 30 septembre au vendredi 11 octobre 2024;</w:t>
      </w:r>
    </w:p>
    <w:p w14:paraId="00B0AD70" w14:textId="77777777" w:rsidR="00CB10B1" w:rsidRPr="00FC4A28" w:rsidRDefault="00CB10B1" w:rsidP="00CB10B1">
      <w:pPr>
        <w:tabs>
          <w:tab w:val="clear" w:pos="567"/>
          <w:tab w:val="left" w:pos="426"/>
        </w:tabs>
        <w:rPr>
          <w:rFonts w:asciiTheme="minorHAnsi" w:hAnsiTheme="minorHAnsi"/>
          <w:snapToGrid w:val="0"/>
          <w:szCs w:val="24"/>
        </w:rPr>
      </w:pPr>
      <w:r w:rsidRPr="00FC4A28">
        <w:rPr>
          <w:snapToGrid w:val="0"/>
          <w:szCs w:val="24"/>
        </w:rPr>
        <w:t>2</w:t>
      </w:r>
      <w:r w:rsidRPr="00FC4A28">
        <w:rPr>
          <w:snapToGrid w:val="0"/>
          <w:szCs w:val="24"/>
        </w:rPr>
        <w:tab/>
        <w:t xml:space="preserve">que la session de 2025 du Conseil se tiendra à Genève pour une période de neuf jours ouvrables, et que cette session et les séries de réunions des GTC et des EG associées auront lieu </w:t>
      </w:r>
      <w:r w:rsidRPr="00FC4A28">
        <w:rPr>
          <w:rFonts w:asciiTheme="minorHAnsi" w:hAnsiTheme="minorHAnsi"/>
          <w:snapToGrid w:val="0"/>
          <w:szCs w:val="24"/>
        </w:rPr>
        <w:t>aux dates suivantes:</w:t>
      </w:r>
    </w:p>
    <w:p w14:paraId="14FA5EC2" w14:textId="77777777" w:rsidR="00CB10B1" w:rsidRPr="00FC4A28" w:rsidRDefault="00CB10B1" w:rsidP="00CB10B1">
      <w:pPr>
        <w:pStyle w:val="enumlev1"/>
        <w:rPr>
          <w:rFonts w:asciiTheme="minorHAnsi" w:hAnsiTheme="minorHAnsi"/>
          <w:snapToGrid w:val="0"/>
          <w:szCs w:val="24"/>
        </w:rPr>
      </w:pPr>
      <w:r w:rsidRPr="00FC4A28">
        <w:rPr>
          <w:snapToGrid w:val="0"/>
        </w:rPr>
        <w:t>–</w:t>
      </w:r>
      <w:r w:rsidRPr="00FC4A28">
        <w:rPr>
          <w:snapToGrid w:val="0"/>
        </w:rPr>
        <w:tab/>
      </w:r>
      <w:r w:rsidRPr="00FC4A28">
        <w:t xml:space="preserve">première série de réunions: </w:t>
      </w:r>
      <w:r w:rsidRPr="00FC4A28">
        <w:rPr>
          <w:bCs/>
        </w:rPr>
        <w:t>du lundi 10 février au vendredi 21 février 2025;</w:t>
      </w:r>
    </w:p>
    <w:p w14:paraId="6412045F" w14:textId="77777777" w:rsidR="00CB10B1" w:rsidRPr="00FC4A28" w:rsidRDefault="00CB10B1" w:rsidP="00CB10B1">
      <w:pPr>
        <w:pStyle w:val="enumlev1"/>
      </w:pPr>
      <w:r w:rsidRPr="00FC4A28">
        <w:rPr>
          <w:snapToGrid w:val="0"/>
        </w:rPr>
        <w:t>–</w:t>
      </w:r>
      <w:r w:rsidRPr="00FC4A28">
        <w:rPr>
          <w:snapToGrid w:val="0"/>
        </w:rPr>
        <w:tab/>
      </w:r>
      <w:r w:rsidRPr="00FC4A28">
        <w:rPr>
          <w:b/>
          <w:bCs/>
          <w:snapToGrid w:val="0"/>
        </w:rPr>
        <w:t>session de 2025 du</w:t>
      </w:r>
      <w:r w:rsidRPr="00FC4A28">
        <w:rPr>
          <w:snapToGrid w:val="0"/>
        </w:rPr>
        <w:t xml:space="preserve"> </w:t>
      </w:r>
      <w:r w:rsidRPr="00FC4A28">
        <w:rPr>
          <w:b/>
          <w:bCs/>
          <w:snapToGrid w:val="0"/>
        </w:rPr>
        <w:t>Conseil:</w:t>
      </w:r>
      <w:r w:rsidRPr="00FC4A28">
        <w:rPr>
          <w:b/>
        </w:rPr>
        <w:t xml:space="preserve"> du mardi 1er juillet au vendredi 11 juillet 2025</w:t>
      </w:r>
      <w:r w:rsidRPr="00FC4A28">
        <w:t>;</w:t>
      </w:r>
    </w:p>
    <w:p w14:paraId="223E9DAA" w14:textId="77777777" w:rsidR="00CB10B1" w:rsidRPr="00FC4A28" w:rsidRDefault="00CB10B1" w:rsidP="00CB10B1">
      <w:pPr>
        <w:pStyle w:val="enumlev1"/>
      </w:pPr>
      <w:r w:rsidRPr="00FC4A28">
        <w:rPr>
          <w:snapToGrid w:val="0"/>
        </w:rPr>
        <w:t>–</w:t>
      </w:r>
      <w:r w:rsidRPr="00FC4A28">
        <w:rPr>
          <w:snapToGrid w:val="0"/>
        </w:rPr>
        <w:tab/>
      </w:r>
      <w:r w:rsidRPr="00FC4A28">
        <w:t xml:space="preserve">seconde série de réunions: </w:t>
      </w:r>
      <w:r w:rsidRPr="00FC4A28">
        <w:rPr>
          <w:bCs/>
        </w:rPr>
        <w:t>du lundi 8 septembre au vendredi 19 septembre 2025;</w:t>
      </w:r>
    </w:p>
    <w:p w14:paraId="5733570D" w14:textId="77777777" w:rsidR="00CB10B1" w:rsidRPr="00FC4A28" w:rsidRDefault="00CB10B1" w:rsidP="00CB10B1">
      <w:pPr>
        <w:tabs>
          <w:tab w:val="clear" w:pos="567"/>
          <w:tab w:val="left" w:pos="426"/>
        </w:tabs>
        <w:rPr>
          <w:rFonts w:asciiTheme="minorHAnsi" w:hAnsiTheme="minorHAnsi"/>
          <w:snapToGrid w:val="0"/>
          <w:szCs w:val="24"/>
        </w:rPr>
      </w:pPr>
      <w:r w:rsidRPr="00FC4A28">
        <w:rPr>
          <w:snapToGrid w:val="0"/>
          <w:szCs w:val="24"/>
        </w:rPr>
        <w:t>3</w:t>
      </w:r>
      <w:r w:rsidRPr="00FC4A28">
        <w:rPr>
          <w:snapToGrid w:val="0"/>
          <w:szCs w:val="24"/>
        </w:rPr>
        <w:tab/>
        <w:t xml:space="preserve">que la session ordinaire de 2026 du Conseil se tiendra à Genève pour une période de neuf jours ouvrables, et que cette session et a série de réunions des GTC et des EG associée auront lieu </w:t>
      </w:r>
      <w:r w:rsidRPr="00FC4A28">
        <w:rPr>
          <w:rFonts w:asciiTheme="minorHAnsi" w:hAnsiTheme="minorHAnsi"/>
          <w:snapToGrid w:val="0"/>
          <w:szCs w:val="24"/>
        </w:rPr>
        <w:t>aux dates suivantes:</w:t>
      </w:r>
    </w:p>
    <w:p w14:paraId="679F74D2" w14:textId="77777777" w:rsidR="00CB10B1" w:rsidRPr="00FC4A28" w:rsidRDefault="00CB10B1" w:rsidP="00CB10B1">
      <w:pPr>
        <w:pStyle w:val="enumlev1"/>
        <w:rPr>
          <w:b/>
          <w:bCs/>
          <w:snapToGrid w:val="0"/>
        </w:rPr>
      </w:pPr>
      <w:r w:rsidRPr="00FC4A28">
        <w:rPr>
          <w:snapToGrid w:val="0"/>
        </w:rPr>
        <w:t>–</w:t>
      </w:r>
      <w:r w:rsidRPr="00FC4A28">
        <w:rPr>
          <w:snapToGrid w:val="0"/>
        </w:rPr>
        <w:tab/>
        <w:t>série unique de réunions: du lundi 12 janvier et vendredi 23 janvier 2026</w:t>
      </w:r>
      <w:r w:rsidRPr="00FC4A28">
        <w:rPr>
          <w:rFonts w:cstheme="minorHAnsi"/>
        </w:rPr>
        <w:t>;</w:t>
      </w:r>
    </w:p>
    <w:p w14:paraId="6B519A17" w14:textId="26B61F3B" w:rsidR="00CB10B1" w:rsidRPr="00FC4A28" w:rsidRDefault="00CB10B1" w:rsidP="00CB10B1">
      <w:pPr>
        <w:pStyle w:val="enumlev1"/>
      </w:pPr>
      <w:r w:rsidRPr="00FC4A28">
        <w:t>–</w:t>
      </w:r>
      <w:r w:rsidRPr="00FC4A28">
        <w:tab/>
      </w:r>
      <w:r w:rsidRPr="00FC4A28">
        <w:rPr>
          <w:b/>
          <w:bCs/>
        </w:rPr>
        <w:t>session de 2026 du Conseil:</w:t>
      </w:r>
      <w:r w:rsidRPr="00FC4A28">
        <w:t xml:space="preserve"> </w:t>
      </w:r>
      <w:r w:rsidRPr="00FC4A28">
        <w:rPr>
          <w:b/>
          <w:bCs/>
        </w:rPr>
        <w:t>du mardi 28 avril au vendredi 8 mai 2026</w:t>
      </w:r>
      <w:r w:rsidRPr="00FC4A28">
        <w:t>, la séance finale devant se tenir le samedi précédant le début de la Conférence de plénipotentiaires de</w:t>
      </w:r>
      <w:r w:rsidR="00EA183F" w:rsidRPr="00FC4A28">
        <w:t> </w:t>
      </w:r>
      <w:r w:rsidRPr="00FC4A28">
        <w:t>2026.</w:t>
      </w:r>
    </w:p>
    <w:p w14:paraId="5CC62650" w14:textId="77777777" w:rsidR="00CB10B1" w:rsidRPr="00FC4A28" w:rsidRDefault="00CB10B1" w:rsidP="00067B29">
      <w:pPr>
        <w:spacing w:before="480"/>
        <w:jc w:val="center"/>
      </w:pPr>
      <w:r w:rsidRPr="00FC4A28">
        <w:t>______________</w:t>
      </w:r>
    </w:p>
    <w:sectPr w:rsidR="00CB10B1" w:rsidRPr="00FC4A28" w:rsidSect="00D72F49">
      <w:headerReference w:type="even" r:id="rId6"/>
      <w:footerReference w:type="even" r:id="rId7"/>
      <w:footerReference w:type="default" r:id="rId8"/>
      <w:headerReference w:type="first" r:id="rId9"/>
      <w:footerReference w:type="first" r:id="rId10"/>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Pr="00FC4A28" w:rsidRDefault="00566679">
      <w:r w:rsidRPr="00FC4A28">
        <w:separator/>
      </w:r>
    </w:p>
  </w:endnote>
  <w:endnote w:type="continuationSeparator" w:id="0">
    <w:p w14:paraId="3D4797BD" w14:textId="77777777" w:rsidR="00566679" w:rsidRPr="00FC4A28" w:rsidRDefault="00566679">
      <w:r w:rsidRPr="00FC4A2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77EBDBEF" w:rsidR="00732045" w:rsidRPr="00FC4A28" w:rsidRDefault="00FC4A28">
    <w:pPr>
      <w:pStyle w:val="Footer"/>
      <w:rPr>
        <w:noProof w:val="0"/>
      </w:rPr>
    </w:pPr>
    <w:r w:rsidRPr="00FC4A28">
      <w:rPr>
        <w:noProof w:val="0"/>
      </w:rPr>
      <w:fldChar w:fldCharType="begin"/>
    </w:r>
    <w:r w:rsidRPr="00FC4A28">
      <w:rPr>
        <w:noProof w:val="0"/>
      </w:rPr>
      <w:instrText xml:space="preserve"> FILENAME \p \* MERGEFORMAT </w:instrText>
    </w:r>
    <w:r w:rsidRPr="00FC4A28">
      <w:rPr>
        <w:noProof w:val="0"/>
      </w:rPr>
      <w:fldChar w:fldCharType="separate"/>
    </w:r>
    <w:r w:rsidR="00E4428F" w:rsidRPr="00FC4A28">
      <w:rPr>
        <w:noProof w:val="0"/>
      </w:rPr>
      <w:t>Document4</w:t>
    </w:r>
    <w:r w:rsidRPr="00FC4A28">
      <w:rPr>
        <w:noProof w:val="0"/>
      </w:rPr>
      <w:fldChar w:fldCharType="end"/>
    </w:r>
    <w:r w:rsidR="00732045" w:rsidRPr="00FC4A28">
      <w:rPr>
        <w:noProof w:val="0"/>
      </w:rPr>
      <w:tab/>
    </w:r>
    <w:r w:rsidR="002F1B76" w:rsidRPr="00FC4A28">
      <w:rPr>
        <w:noProof w:val="0"/>
      </w:rPr>
      <w:fldChar w:fldCharType="begin"/>
    </w:r>
    <w:r w:rsidR="00732045" w:rsidRPr="00FC4A28">
      <w:rPr>
        <w:noProof w:val="0"/>
      </w:rPr>
      <w:instrText xml:space="preserve"> savedate \@ dd.MM.yy </w:instrText>
    </w:r>
    <w:r w:rsidR="002F1B76" w:rsidRPr="00FC4A28">
      <w:rPr>
        <w:noProof w:val="0"/>
      </w:rPr>
      <w:fldChar w:fldCharType="separate"/>
    </w:r>
    <w:r w:rsidR="00E56EEF">
      <w:t>25.10.23</w:t>
    </w:r>
    <w:r w:rsidR="002F1B76" w:rsidRPr="00FC4A28">
      <w:rPr>
        <w:noProof w:val="0"/>
      </w:rPr>
      <w:fldChar w:fldCharType="end"/>
    </w:r>
    <w:r w:rsidR="00732045" w:rsidRPr="00FC4A28">
      <w:rPr>
        <w:noProof w:val="0"/>
      </w:rPr>
      <w:tab/>
    </w:r>
    <w:r w:rsidR="002F1B76" w:rsidRPr="00FC4A28">
      <w:rPr>
        <w:noProof w:val="0"/>
      </w:rPr>
      <w:fldChar w:fldCharType="begin"/>
    </w:r>
    <w:r w:rsidR="00732045" w:rsidRPr="00FC4A28">
      <w:rPr>
        <w:noProof w:val="0"/>
      </w:rPr>
      <w:instrText xml:space="preserve"> printdate \@ dd.MM.yy </w:instrText>
    </w:r>
    <w:r w:rsidR="002F1B76" w:rsidRPr="00FC4A28">
      <w:rPr>
        <w:noProof w:val="0"/>
      </w:rPr>
      <w:fldChar w:fldCharType="separate"/>
    </w:r>
    <w:r w:rsidR="00E4428F" w:rsidRPr="00FC4A28">
      <w:rPr>
        <w:noProof w:val="0"/>
      </w:rPr>
      <w:t>18.07.00</w:t>
    </w:r>
    <w:r w:rsidR="002F1B76" w:rsidRPr="00FC4A28">
      <w:rPr>
        <w:noProof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FC4A28" w14:paraId="4C87AA90" w14:textId="77777777" w:rsidTr="00CC0E63">
      <w:trPr>
        <w:jc w:val="center"/>
      </w:trPr>
      <w:tc>
        <w:tcPr>
          <w:tcW w:w="1803" w:type="dxa"/>
          <w:vAlign w:val="center"/>
        </w:tcPr>
        <w:p w14:paraId="2C2E77A4" w14:textId="4CBBD799" w:rsidR="00A51849" w:rsidRPr="00FC4A28" w:rsidRDefault="00A51849" w:rsidP="00A51849">
          <w:pPr>
            <w:pStyle w:val="Header"/>
            <w:jc w:val="left"/>
          </w:pPr>
          <w:r w:rsidRPr="00FC4A28">
            <w:t xml:space="preserve">DPS </w:t>
          </w:r>
          <w:r w:rsidR="00CB10B1" w:rsidRPr="00FC4A28">
            <w:t>5</w:t>
          </w:r>
          <w:r w:rsidR="00067B29">
            <w:t>3003</w:t>
          </w:r>
          <w:r w:rsidR="00E56EEF">
            <w:t>5</w:t>
          </w:r>
        </w:p>
      </w:tc>
      <w:tc>
        <w:tcPr>
          <w:tcW w:w="8403" w:type="dxa"/>
        </w:tcPr>
        <w:p w14:paraId="0DB0A3C6" w14:textId="1DD16FEA" w:rsidR="00A51849" w:rsidRPr="00FC4A28" w:rsidRDefault="00A51849" w:rsidP="00067B29">
          <w:pPr>
            <w:pStyle w:val="Header"/>
            <w:tabs>
              <w:tab w:val="left" w:pos="6456"/>
              <w:tab w:val="right" w:pos="8505"/>
              <w:tab w:val="right" w:pos="9639"/>
            </w:tabs>
            <w:jc w:val="left"/>
            <w:rPr>
              <w:rFonts w:ascii="Arial" w:hAnsi="Arial" w:cs="Arial"/>
              <w:b/>
              <w:bCs/>
              <w:szCs w:val="18"/>
            </w:rPr>
          </w:pPr>
          <w:r w:rsidRPr="00FC4A28">
            <w:rPr>
              <w:bCs/>
            </w:rPr>
            <w:tab/>
            <w:t>C23</w:t>
          </w:r>
          <w:r w:rsidR="00CC0E63" w:rsidRPr="00FC4A28">
            <w:rPr>
              <w:bCs/>
            </w:rPr>
            <w:t>-ADD</w:t>
          </w:r>
          <w:r w:rsidRPr="00FC4A28">
            <w:rPr>
              <w:bCs/>
            </w:rPr>
            <w:t>/</w:t>
          </w:r>
          <w:r w:rsidR="00067B29">
            <w:rPr>
              <w:bCs/>
            </w:rPr>
            <w:t>1</w:t>
          </w:r>
          <w:r w:rsidR="00E56EEF">
            <w:rPr>
              <w:bCs/>
            </w:rPr>
            <w:t>3</w:t>
          </w:r>
          <w:r w:rsidRPr="00FC4A28">
            <w:rPr>
              <w:bCs/>
            </w:rPr>
            <w:t>-</w:t>
          </w:r>
          <w:r w:rsidR="00973F53" w:rsidRPr="00FC4A28">
            <w:rPr>
              <w:bCs/>
            </w:rPr>
            <w:t>F</w:t>
          </w:r>
          <w:r w:rsidRPr="00FC4A28">
            <w:rPr>
              <w:bCs/>
            </w:rPr>
            <w:tab/>
          </w:r>
          <w:r w:rsidRPr="00FC4A28">
            <w:fldChar w:fldCharType="begin"/>
          </w:r>
          <w:r w:rsidRPr="00FC4A28">
            <w:instrText>PAGE</w:instrText>
          </w:r>
          <w:r w:rsidRPr="00FC4A28">
            <w:fldChar w:fldCharType="separate"/>
          </w:r>
          <w:r w:rsidRPr="00FC4A28">
            <w:t>1</w:t>
          </w:r>
          <w:r w:rsidRPr="00FC4A28">
            <w:fldChar w:fldCharType="end"/>
          </w:r>
        </w:p>
      </w:tc>
    </w:tr>
  </w:tbl>
  <w:p w14:paraId="0BA722AB" w14:textId="69C9075E" w:rsidR="00732045" w:rsidRPr="004364AA" w:rsidRDefault="00EA183F" w:rsidP="00EA183F">
    <w:pPr>
      <w:pStyle w:val="Footer"/>
      <w:rPr>
        <w:noProof w:val="0"/>
        <w:lang w:val="it-IT"/>
      </w:rPr>
    </w:pPr>
    <w:r w:rsidRPr="004364AA">
      <w:rPr>
        <w:noProof w:val="0"/>
        <w:color w:val="F2F2F2" w:themeColor="background1" w:themeShade="F2"/>
      </w:rPr>
      <w:fldChar w:fldCharType="begin"/>
    </w:r>
    <w:r w:rsidRPr="004364AA">
      <w:rPr>
        <w:noProof w:val="0"/>
        <w:color w:val="F2F2F2" w:themeColor="background1" w:themeShade="F2"/>
        <w:lang w:val="it-IT"/>
      </w:rPr>
      <w:instrText xml:space="preserve"> FILENAME \p  \* MERGEFORMAT </w:instrText>
    </w:r>
    <w:r w:rsidRPr="004364AA">
      <w:rPr>
        <w:noProof w:val="0"/>
        <w:color w:val="F2F2F2" w:themeColor="background1" w:themeShade="F2"/>
      </w:rPr>
      <w:fldChar w:fldCharType="separate"/>
    </w:r>
    <w:r w:rsidRPr="004364AA">
      <w:rPr>
        <w:noProof w:val="0"/>
        <w:color w:val="F2F2F2" w:themeColor="background1" w:themeShade="F2"/>
        <w:lang w:val="it-IT"/>
      </w:rPr>
      <w:t>P:\FRA\SG\CONSEIL\C23-ADD\002F.docx</w:t>
    </w:r>
    <w:r w:rsidRPr="004364AA">
      <w:rPr>
        <w:noProof w:val="0"/>
        <w:color w:val="F2F2F2" w:themeColor="background1" w:themeShade="F2"/>
      </w:rPr>
      <w:fldChar w:fldCharType="end"/>
    </w:r>
    <w:r w:rsidRPr="004364AA">
      <w:rPr>
        <w:noProof w:val="0"/>
        <w:color w:val="F2F2F2" w:themeColor="background1" w:themeShade="F2"/>
        <w:lang w:val="it-IT"/>
      </w:rPr>
      <w:t xml:space="preserve"> (528192)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FC4A28" w14:paraId="5C9C0095" w14:textId="77777777" w:rsidTr="00CC0E63">
      <w:trPr>
        <w:jc w:val="center"/>
      </w:trPr>
      <w:tc>
        <w:tcPr>
          <w:tcW w:w="1803" w:type="dxa"/>
          <w:vAlign w:val="center"/>
        </w:tcPr>
        <w:p w14:paraId="5151DAA0" w14:textId="77777777" w:rsidR="00A51849" w:rsidRPr="00FC4A28" w:rsidRDefault="00E56EEF" w:rsidP="00A51849">
          <w:pPr>
            <w:pStyle w:val="Header"/>
            <w:jc w:val="left"/>
          </w:pPr>
          <w:hyperlink r:id="rId1" w:history="1">
            <w:r w:rsidR="00A51849" w:rsidRPr="00FC4A28">
              <w:rPr>
                <w:rStyle w:val="Hyperlink"/>
                <w:szCs w:val="14"/>
              </w:rPr>
              <w:t>www.itu.int/council</w:t>
            </w:r>
          </w:hyperlink>
        </w:p>
      </w:tc>
      <w:tc>
        <w:tcPr>
          <w:tcW w:w="8403" w:type="dxa"/>
        </w:tcPr>
        <w:p w14:paraId="4C3D0956" w14:textId="2F537C4A" w:rsidR="00A51849" w:rsidRPr="00FC4A28" w:rsidRDefault="00A51849" w:rsidP="00067B29">
          <w:pPr>
            <w:pStyle w:val="Header"/>
            <w:tabs>
              <w:tab w:val="left" w:pos="6456"/>
              <w:tab w:val="right" w:pos="8505"/>
              <w:tab w:val="right" w:pos="9639"/>
            </w:tabs>
            <w:jc w:val="left"/>
            <w:rPr>
              <w:rFonts w:ascii="Arial" w:hAnsi="Arial" w:cs="Arial"/>
              <w:b/>
              <w:bCs/>
              <w:szCs w:val="18"/>
            </w:rPr>
          </w:pPr>
          <w:r w:rsidRPr="00FC4A28">
            <w:rPr>
              <w:bCs/>
            </w:rPr>
            <w:tab/>
            <w:t>C23</w:t>
          </w:r>
          <w:r w:rsidR="00CC0E63" w:rsidRPr="00FC4A28">
            <w:rPr>
              <w:bCs/>
            </w:rPr>
            <w:t>-ADD</w:t>
          </w:r>
          <w:r w:rsidRPr="00FC4A28">
            <w:rPr>
              <w:bCs/>
            </w:rPr>
            <w:t>/</w:t>
          </w:r>
          <w:r w:rsidR="00067B29">
            <w:rPr>
              <w:bCs/>
            </w:rPr>
            <w:t>1</w:t>
          </w:r>
          <w:r w:rsidR="00E56EEF">
            <w:rPr>
              <w:bCs/>
            </w:rPr>
            <w:t>3</w:t>
          </w:r>
          <w:r w:rsidRPr="00FC4A28">
            <w:rPr>
              <w:bCs/>
            </w:rPr>
            <w:t>-</w:t>
          </w:r>
          <w:r w:rsidR="00D72F49" w:rsidRPr="00FC4A28">
            <w:rPr>
              <w:bCs/>
            </w:rPr>
            <w:t>F</w:t>
          </w:r>
          <w:r w:rsidRPr="00FC4A28">
            <w:rPr>
              <w:bCs/>
            </w:rPr>
            <w:tab/>
          </w:r>
          <w:r w:rsidRPr="00FC4A28">
            <w:fldChar w:fldCharType="begin"/>
          </w:r>
          <w:r w:rsidRPr="00FC4A28">
            <w:instrText>PAGE</w:instrText>
          </w:r>
          <w:r w:rsidRPr="00FC4A28">
            <w:fldChar w:fldCharType="separate"/>
          </w:r>
          <w:r w:rsidRPr="00FC4A28">
            <w:t>1</w:t>
          </w:r>
          <w:r w:rsidRPr="00FC4A28">
            <w:fldChar w:fldCharType="end"/>
          </w:r>
        </w:p>
      </w:tc>
    </w:tr>
  </w:tbl>
  <w:p w14:paraId="67CF33E3" w14:textId="77777777" w:rsidR="00732045" w:rsidRPr="00FC4A28" w:rsidRDefault="00732045" w:rsidP="00A51849">
    <w:pPr>
      <w:pStyle w:val="Footer"/>
      <w:rPr>
        <w:noProof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Pr="00FC4A28" w:rsidRDefault="00566679">
      <w:r w:rsidRPr="00FC4A28">
        <w:t>____________________</w:t>
      </w:r>
    </w:p>
  </w:footnote>
  <w:footnote w:type="continuationSeparator" w:id="0">
    <w:p w14:paraId="073173F3" w14:textId="77777777" w:rsidR="00566679" w:rsidRPr="00FC4A28" w:rsidRDefault="00566679">
      <w:r w:rsidRPr="00FC4A2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Pr="00FC4A28" w:rsidRDefault="00732045">
    <w:pPr>
      <w:pStyle w:val="Header"/>
    </w:pPr>
    <w:r w:rsidRPr="00FC4A28">
      <w:t xml:space="preserve">- </w:t>
    </w:r>
    <w:r w:rsidR="00C27A7C" w:rsidRPr="00FC4A28">
      <w:fldChar w:fldCharType="begin"/>
    </w:r>
    <w:r w:rsidR="00C27A7C" w:rsidRPr="00FC4A28">
      <w:instrText>PAGE</w:instrText>
    </w:r>
    <w:r w:rsidR="00C27A7C" w:rsidRPr="00FC4A28">
      <w:fldChar w:fldCharType="separate"/>
    </w:r>
    <w:r w:rsidRPr="00FC4A28">
      <w:t>2</w:t>
    </w:r>
    <w:r w:rsidR="00C27A7C" w:rsidRPr="00FC4A28">
      <w:fldChar w:fldCharType="end"/>
    </w:r>
    <w:r w:rsidRPr="00FC4A28">
      <w:t xml:space="preserve"> -</w:t>
    </w:r>
  </w:p>
  <w:p w14:paraId="40E3D5AC" w14:textId="77777777" w:rsidR="00732045" w:rsidRPr="00FC4A28" w:rsidRDefault="00732045">
    <w:pPr>
      <w:pStyle w:val="Header"/>
    </w:pPr>
    <w:r w:rsidRPr="00FC4A28">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FC4A28" w14:paraId="33F25067" w14:textId="77777777" w:rsidTr="00E31DCE">
      <w:trPr>
        <w:trHeight w:val="1104"/>
        <w:jc w:val="center"/>
      </w:trPr>
      <w:tc>
        <w:tcPr>
          <w:tcW w:w="4390" w:type="dxa"/>
          <w:vAlign w:val="center"/>
        </w:tcPr>
        <w:p w14:paraId="113CB22E" w14:textId="7B2DD17D" w:rsidR="00A51849" w:rsidRPr="00FC4A28" w:rsidRDefault="00CC0E63" w:rsidP="00A51849">
          <w:pPr>
            <w:pStyle w:val="Header"/>
            <w:jc w:val="left"/>
            <w:rPr>
              <w:rFonts w:ascii="Arial" w:hAnsi="Arial" w:cs="Arial"/>
              <w:b/>
              <w:bCs/>
              <w:color w:val="009CD6"/>
              <w:sz w:val="36"/>
              <w:szCs w:val="36"/>
            </w:rPr>
          </w:pPr>
          <w:r w:rsidRPr="00FC4A28">
            <w:rPr>
              <w:noProof/>
            </w:rPr>
            <w:drawing>
              <wp:inline distT="0" distB="0" distL="0" distR="0" wp14:anchorId="27CAAA56" wp14:editId="24F57DE2">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Pr="00FC4A28" w:rsidRDefault="00A51849" w:rsidP="00A51849">
          <w:pPr>
            <w:pStyle w:val="Header"/>
            <w:jc w:val="right"/>
            <w:rPr>
              <w:rFonts w:ascii="Arial" w:hAnsi="Arial" w:cs="Arial"/>
              <w:b/>
              <w:bCs/>
              <w:color w:val="009CD6"/>
              <w:szCs w:val="18"/>
            </w:rPr>
          </w:pPr>
        </w:p>
        <w:p w14:paraId="7F7AE11D" w14:textId="77777777" w:rsidR="00A51849" w:rsidRPr="00FC4A28" w:rsidRDefault="00A51849" w:rsidP="00A51849">
          <w:pPr>
            <w:pStyle w:val="Header"/>
            <w:jc w:val="right"/>
            <w:rPr>
              <w:rFonts w:ascii="Arial" w:hAnsi="Arial" w:cs="Arial"/>
              <w:b/>
              <w:bCs/>
              <w:color w:val="009CD6"/>
              <w:szCs w:val="18"/>
            </w:rPr>
          </w:pPr>
        </w:p>
        <w:p w14:paraId="281B21F4" w14:textId="77777777" w:rsidR="00A51849" w:rsidRPr="00FC4A28" w:rsidRDefault="00A51849" w:rsidP="00A51849">
          <w:pPr>
            <w:pStyle w:val="Header"/>
            <w:jc w:val="right"/>
            <w:rPr>
              <w:rFonts w:ascii="Arial" w:hAnsi="Arial" w:cs="Arial"/>
              <w:color w:val="009CD6"/>
              <w:szCs w:val="18"/>
            </w:rPr>
          </w:pPr>
          <w:r w:rsidRPr="00FC4A28">
            <w:rPr>
              <w:rFonts w:ascii="Arial" w:hAnsi="Arial" w:cs="Arial"/>
              <w:b/>
              <w:bCs/>
              <w:color w:val="009CD6"/>
              <w:szCs w:val="18"/>
            </w:rPr>
            <w:t xml:space="preserve"> </w:t>
          </w:r>
        </w:p>
      </w:tc>
    </w:tr>
  </w:tbl>
  <w:p w14:paraId="7203532F" w14:textId="77777777" w:rsidR="00A51849" w:rsidRPr="00FC4A28" w:rsidRDefault="00A51849">
    <w:pPr>
      <w:pStyle w:val="Header"/>
    </w:pPr>
    <w:r w:rsidRPr="00FC4A28">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67B29"/>
    <w:rsid w:val="00076A2C"/>
    <w:rsid w:val="000D0D0A"/>
    <w:rsid w:val="00103163"/>
    <w:rsid w:val="00106B19"/>
    <w:rsid w:val="00115D93"/>
    <w:rsid w:val="001247A8"/>
    <w:rsid w:val="001378C0"/>
    <w:rsid w:val="0018694A"/>
    <w:rsid w:val="001A3287"/>
    <w:rsid w:val="001A6508"/>
    <w:rsid w:val="001D4C31"/>
    <w:rsid w:val="001E4D21"/>
    <w:rsid w:val="00207CD1"/>
    <w:rsid w:val="00226657"/>
    <w:rsid w:val="002477A2"/>
    <w:rsid w:val="00263A51"/>
    <w:rsid w:val="00267E02"/>
    <w:rsid w:val="002A5D44"/>
    <w:rsid w:val="002E0BC4"/>
    <w:rsid w:val="002F1B76"/>
    <w:rsid w:val="0033568E"/>
    <w:rsid w:val="00355FF5"/>
    <w:rsid w:val="00361350"/>
    <w:rsid w:val="003C3FAE"/>
    <w:rsid w:val="004038CB"/>
    <w:rsid w:val="0040546F"/>
    <w:rsid w:val="0042404A"/>
    <w:rsid w:val="004364A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235CA"/>
    <w:rsid w:val="006643AB"/>
    <w:rsid w:val="006F0A53"/>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92392D"/>
    <w:rsid w:val="0093234A"/>
    <w:rsid w:val="00956A78"/>
    <w:rsid w:val="0097363B"/>
    <w:rsid w:val="00973F53"/>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55D92"/>
    <w:rsid w:val="00B61619"/>
    <w:rsid w:val="00BB4545"/>
    <w:rsid w:val="00BD5873"/>
    <w:rsid w:val="00C04BE3"/>
    <w:rsid w:val="00C25D29"/>
    <w:rsid w:val="00C27A7C"/>
    <w:rsid w:val="00C42437"/>
    <w:rsid w:val="00CA08ED"/>
    <w:rsid w:val="00CB10B1"/>
    <w:rsid w:val="00CC0E63"/>
    <w:rsid w:val="00CF183B"/>
    <w:rsid w:val="00D375CD"/>
    <w:rsid w:val="00D553A2"/>
    <w:rsid w:val="00D72F49"/>
    <w:rsid w:val="00D774D3"/>
    <w:rsid w:val="00D904E8"/>
    <w:rsid w:val="00DA08C3"/>
    <w:rsid w:val="00DB5A3E"/>
    <w:rsid w:val="00DC22AA"/>
    <w:rsid w:val="00DF74DD"/>
    <w:rsid w:val="00E25AD0"/>
    <w:rsid w:val="00E4428F"/>
    <w:rsid w:val="00E56EEF"/>
    <w:rsid w:val="00E93668"/>
    <w:rsid w:val="00E95647"/>
    <w:rsid w:val="00EA183F"/>
    <w:rsid w:val="00EB6350"/>
    <w:rsid w:val="00F15B57"/>
    <w:rsid w:val="00F35EF4"/>
    <w:rsid w:val="00F37FE5"/>
    <w:rsid w:val="00F427DB"/>
    <w:rsid w:val="00F4725F"/>
    <w:rsid w:val="00F96405"/>
    <w:rsid w:val="00FA5EB1"/>
    <w:rsid w:val="00FA7439"/>
    <w:rsid w:val="00FC4A28"/>
    <w:rsid w:val="00FC4EC0"/>
    <w:rsid w:val="00FE2F6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Dates et durée proposées pour les sessions de 2024, 2025 et 2026 du Conseil et dates proposées pour les séries de réunions des Groupes de travail du Conseil et des Groupes d'experts pour la même période</vt:lpstr>
    </vt:vector>
  </TitlesOfParts>
  <Manager>Secrétariat général - Pool</Manager>
  <Company>Union internationale des télécommunications (UIT)</Company>
  <LinksUpToDate>false</LinksUpToDate>
  <CharactersWithSpaces>3978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2024, 2025 et 2026 du Conseil et dates proposées pour les séries de réunions des Groupes de travail du Conseil et des Groupes d'experts pour la même période</dc:title>
  <dc:subject>Conseil 2023</dc:subject>
  <dc:creator>Xue, Kun</dc:creator>
  <cp:keywords>C2023, C23, Council-23</cp:keywords>
  <dc:description/>
  <cp:lastModifiedBy>Brouard, Ricarda</cp:lastModifiedBy>
  <cp:revision>3</cp:revision>
  <cp:lastPrinted>2000-07-18T08:55:00Z</cp:lastPrinted>
  <dcterms:created xsi:type="dcterms:W3CDTF">2023-10-25T08:42:00Z</dcterms:created>
  <dcterms:modified xsi:type="dcterms:W3CDTF">2023-10-27T13:06:00Z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