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D8F87AD" w14:textId="77777777" w:rsidTr="00C538FC">
        <w:trPr>
          <w:cantSplit/>
          <w:trHeight w:val="23"/>
        </w:trPr>
        <w:tc>
          <w:tcPr>
            <w:tcW w:w="3969" w:type="dxa"/>
            <w:vMerge w:val="restart"/>
            <w:tcMar>
              <w:left w:w="0" w:type="dxa"/>
            </w:tcMar>
          </w:tcPr>
          <w:p w14:paraId="312C62FC" w14:textId="20FEC7C2" w:rsidR="00FE57F6" w:rsidRPr="00E85629" w:rsidRDefault="00903506" w:rsidP="00C538FC">
            <w:pPr>
              <w:tabs>
                <w:tab w:val="left" w:pos="851"/>
              </w:tabs>
              <w:spacing w:before="0" w:line="240" w:lineRule="atLeast"/>
              <w:rPr>
                <w:b/>
              </w:rPr>
            </w:pPr>
            <w:bookmarkStart w:id="0" w:name="_Hlk133421839"/>
            <w:r w:rsidRPr="00AC3864">
              <w:rPr>
                <w:b/>
                <w:lang w:val="es-ES"/>
              </w:rPr>
              <w:t>Punto del orden del día: PL</w:t>
            </w:r>
          </w:p>
        </w:tc>
        <w:tc>
          <w:tcPr>
            <w:tcW w:w="5245" w:type="dxa"/>
          </w:tcPr>
          <w:p w14:paraId="0EDE3478" w14:textId="432CF0E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7B242D">
              <w:rPr>
                <w:b/>
              </w:rPr>
              <w:t>-ADD</w:t>
            </w:r>
            <w:r>
              <w:rPr>
                <w:b/>
              </w:rPr>
              <w:t>/</w:t>
            </w:r>
            <w:r w:rsidR="00903506">
              <w:rPr>
                <w:b/>
              </w:rPr>
              <w:t>6</w:t>
            </w:r>
            <w:r>
              <w:rPr>
                <w:b/>
              </w:rPr>
              <w:t>-</w:t>
            </w:r>
            <w:r w:rsidR="00F24B71">
              <w:rPr>
                <w:b/>
              </w:rPr>
              <w:t>S</w:t>
            </w:r>
          </w:p>
        </w:tc>
      </w:tr>
      <w:tr w:rsidR="00FE57F6" w:rsidRPr="00813E5E" w14:paraId="0F6D4BE0" w14:textId="77777777" w:rsidTr="00C538FC">
        <w:trPr>
          <w:cantSplit/>
        </w:trPr>
        <w:tc>
          <w:tcPr>
            <w:tcW w:w="3969" w:type="dxa"/>
            <w:vMerge/>
          </w:tcPr>
          <w:p w14:paraId="0654FEDF" w14:textId="77777777" w:rsidR="00FE57F6" w:rsidRPr="00813E5E" w:rsidRDefault="00FE57F6" w:rsidP="00C538FC">
            <w:pPr>
              <w:tabs>
                <w:tab w:val="left" w:pos="851"/>
              </w:tabs>
              <w:spacing w:line="240" w:lineRule="atLeast"/>
              <w:rPr>
                <w:b/>
              </w:rPr>
            </w:pPr>
          </w:p>
        </w:tc>
        <w:tc>
          <w:tcPr>
            <w:tcW w:w="5245" w:type="dxa"/>
          </w:tcPr>
          <w:p w14:paraId="05C270C8" w14:textId="23EB2C5A" w:rsidR="00FE57F6" w:rsidRPr="00E85629" w:rsidRDefault="00903506" w:rsidP="00C538FC">
            <w:pPr>
              <w:tabs>
                <w:tab w:val="left" w:pos="851"/>
              </w:tabs>
              <w:spacing w:before="0"/>
              <w:jc w:val="right"/>
              <w:rPr>
                <w:b/>
              </w:rPr>
            </w:pPr>
            <w:r w:rsidRPr="00271F49">
              <w:rPr>
                <w:b/>
              </w:rPr>
              <w:t xml:space="preserve">2 </w:t>
            </w:r>
            <w:r>
              <w:rPr>
                <w:b/>
              </w:rPr>
              <w:t>de octubre de</w:t>
            </w:r>
            <w:r w:rsidRPr="00271F49">
              <w:rPr>
                <w:b/>
              </w:rPr>
              <w:t xml:space="preserve"> </w:t>
            </w:r>
            <w:r w:rsidR="00FE57F6">
              <w:rPr>
                <w:b/>
              </w:rPr>
              <w:t>2023</w:t>
            </w:r>
          </w:p>
        </w:tc>
      </w:tr>
      <w:tr w:rsidR="00FE57F6" w:rsidRPr="00F24B71" w14:paraId="4FA09C43" w14:textId="77777777" w:rsidTr="00C538FC">
        <w:trPr>
          <w:cantSplit/>
          <w:trHeight w:val="23"/>
        </w:trPr>
        <w:tc>
          <w:tcPr>
            <w:tcW w:w="3969" w:type="dxa"/>
            <w:vMerge/>
          </w:tcPr>
          <w:p w14:paraId="6F049216" w14:textId="77777777" w:rsidR="00FE57F6" w:rsidRPr="00813E5E" w:rsidRDefault="00FE57F6" w:rsidP="00C538FC">
            <w:pPr>
              <w:tabs>
                <w:tab w:val="left" w:pos="851"/>
              </w:tabs>
              <w:spacing w:line="240" w:lineRule="atLeast"/>
              <w:rPr>
                <w:b/>
              </w:rPr>
            </w:pPr>
          </w:p>
        </w:tc>
        <w:tc>
          <w:tcPr>
            <w:tcW w:w="5245" w:type="dxa"/>
          </w:tcPr>
          <w:p w14:paraId="1D653B4C" w14:textId="37BFA141"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r w:rsidR="00903506">
              <w:rPr>
                <w:rFonts w:cstheme="minorHAnsi"/>
                <w:b/>
                <w:bCs/>
                <w:lang w:val="fr-CH"/>
              </w:rPr>
              <w:t>ruso</w:t>
            </w:r>
          </w:p>
        </w:tc>
      </w:tr>
      <w:tr w:rsidR="00FE57F6" w:rsidRPr="00813E5E" w14:paraId="296FC60D" w14:textId="77777777" w:rsidTr="00C538FC">
        <w:trPr>
          <w:cantSplit/>
          <w:trHeight w:val="23"/>
        </w:trPr>
        <w:tc>
          <w:tcPr>
            <w:tcW w:w="3969" w:type="dxa"/>
          </w:tcPr>
          <w:p w14:paraId="5F97A562" w14:textId="77777777" w:rsidR="00FE57F6" w:rsidRPr="00813E5E" w:rsidRDefault="00FE57F6" w:rsidP="00C538FC">
            <w:pPr>
              <w:tabs>
                <w:tab w:val="left" w:pos="851"/>
              </w:tabs>
              <w:spacing w:line="240" w:lineRule="atLeast"/>
              <w:rPr>
                <w:b/>
              </w:rPr>
            </w:pPr>
          </w:p>
        </w:tc>
        <w:tc>
          <w:tcPr>
            <w:tcW w:w="5245" w:type="dxa"/>
          </w:tcPr>
          <w:p w14:paraId="57B081C8" w14:textId="77777777" w:rsidR="00FE57F6" w:rsidRDefault="00FE57F6" w:rsidP="00C538FC">
            <w:pPr>
              <w:tabs>
                <w:tab w:val="left" w:pos="851"/>
              </w:tabs>
              <w:spacing w:before="0" w:line="240" w:lineRule="atLeast"/>
              <w:jc w:val="right"/>
              <w:rPr>
                <w:b/>
              </w:rPr>
            </w:pPr>
          </w:p>
        </w:tc>
      </w:tr>
      <w:tr w:rsidR="00FE57F6" w:rsidRPr="00FE57F6" w14:paraId="66A19BAD" w14:textId="77777777" w:rsidTr="00C538FC">
        <w:trPr>
          <w:cantSplit/>
        </w:trPr>
        <w:tc>
          <w:tcPr>
            <w:tcW w:w="9214" w:type="dxa"/>
            <w:gridSpan w:val="2"/>
            <w:tcMar>
              <w:left w:w="0" w:type="dxa"/>
            </w:tcMar>
          </w:tcPr>
          <w:p w14:paraId="400DA5E2" w14:textId="5FF2ED9A" w:rsidR="00FE57F6" w:rsidRPr="004B5D49" w:rsidRDefault="00903506" w:rsidP="00C538FC">
            <w:pPr>
              <w:pStyle w:val="Source"/>
              <w:jc w:val="left"/>
              <w:rPr>
                <w:sz w:val="34"/>
                <w:szCs w:val="34"/>
                <w:lang w:val="es-ES"/>
              </w:rPr>
            </w:pPr>
            <w:r w:rsidRPr="00903506">
              <w:rPr>
                <w:rFonts w:cstheme="minorHAnsi"/>
                <w:sz w:val="34"/>
                <w:szCs w:val="34"/>
              </w:rPr>
              <w:t>Contribución de la Federación de Rusia</w:t>
            </w:r>
          </w:p>
        </w:tc>
      </w:tr>
      <w:tr w:rsidR="00FE57F6" w:rsidRPr="00813E5E" w14:paraId="469BE873" w14:textId="77777777" w:rsidTr="00C538FC">
        <w:trPr>
          <w:cantSplit/>
        </w:trPr>
        <w:tc>
          <w:tcPr>
            <w:tcW w:w="9214" w:type="dxa"/>
            <w:gridSpan w:val="2"/>
            <w:tcMar>
              <w:left w:w="0" w:type="dxa"/>
            </w:tcMar>
          </w:tcPr>
          <w:p w14:paraId="60DE2E1D" w14:textId="6286152A" w:rsidR="00FE57F6" w:rsidRPr="00903506" w:rsidRDefault="00903506" w:rsidP="00C538FC">
            <w:pPr>
              <w:pStyle w:val="Subtitle"/>
              <w:framePr w:hSpace="0" w:wrap="auto" w:hAnchor="text" w:xAlign="left" w:yAlign="inline"/>
              <w:rPr>
                <w:lang w:val="es-ES"/>
              </w:rPr>
            </w:pPr>
            <w:r>
              <w:rPr>
                <w:lang w:val="es-ES"/>
              </w:rPr>
              <w:t>F</w:t>
            </w:r>
            <w:r w:rsidRPr="00624A3C">
              <w:rPr>
                <w:lang w:val="es-ES"/>
              </w:rPr>
              <w:t xml:space="preserve">ECHAS Y DURACIÓN DE LAS REUNIONES DEL CONSEJO Y </w:t>
            </w:r>
            <w:r>
              <w:rPr>
                <w:lang w:val="es-ES"/>
              </w:rPr>
              <w:t xml:space="preserve">LAS SERIES DE REUNIONES DE </w:t>
            </w:r>
            <w:r w:rsidRPr="00624A3C">
              <w:rPr>
                <w:lang w:val="es-ES"/>
              </w:rPr>
              <w:t>LOS GRUPOS DE TRABAJO Y GRUPOS DE EXPERTOS DEL CONSEJO EN 2024, 2025 Y 2026, Y DE</w:t>
            </w:r>
            <w:r>
              <w:rPr>
                <w:lang w:val="es-ES"/>
              </w:rPr>
              <w:t>L GRUPO ASESOR DE NORMALIZACIÓN DE TELECOMUNICACIONES EN ENERO DE</w:t>
            </w:r>
            <w:r w:rsidRPr="00624A3C">
              <w:rPr>
                <w:lang w:val="es-ES"/>
              </w:rPr>
              <w:t xml:space="preserve"> 2024</w:t>
            </w:r>
          </w:p>
        </w:tc>
      </w:tr>
      <w:tr w:rsidR="00FE57F6" w:rsidRPr="00813E5E" w14:paraId="3AA66AC0" w14:textId="77777777" w:rsidTr="00C538FC">
        <w:trPr>
          <w:cantSplit/>
        </w:trPr>
        <w:tc>
          <w:tcPr>
            <w:tcW w:w="9214" w:type="dxa"/>
            <w:gridSpan w:val="2"/>
            <w:tcBorders>
              <w:top w:val="single" w:sz="4" w:space="0" w:color="auto"/>
              <w:bottom w:val="single" w:sz="4" w:space="0" w:color="auto"/>
            </w:tcBorders>
            <w:tcMar>
              <w:left w:w="0" w:type="dxa"/>
            </w:tcMar>
          </w:tcPr>
          <w:p w14:paraId="66315C6A" w14:textId="55AD74D1" w:rsidR="00FE57F6" w:rsidRPr="00F24B71" w:rsidRDefault="00F24B71" w:rsidP="00C538FC">
            <w:pPr>
              <w:spacing w:before="160"/>
              <w:rPr>
                <w:b/>
                <w:bCs/>
                <w:sz w:val="26"/>
                <w:szCs w:val="26"/>
                <w:lang w:val="es-ES"/>
              </w:rPr>
            </w:pPr>
            <w:r w:rsidRPr="00F24B71">
              <w:rPr>
                <w:b/>
                <w:bCs/>
                <w:sz w:val="26"/>
                <w:szCs w:val="26"/>
                <w:lang w:val="es-ES"/>
              </w:rPr>
              <w:t>Objetivo</w:t>
            </w:r>
          </w:p>
          <w:p w14:paraId="0EB34A25" w14:textId="2F5FEFDB" w:rsidR="00FE57F6" w:rsidRPr="00F24B71" w:rsidRDefault="00903506" w:rsidP="00C538FC">
            <w:pPr>
              <w:rPr>
                <w:lang w:val="es-ES"/>
              </w:rPr>
            </w:pPr>
            <w:r w:rsidRPr="00624A3C">
              <w:rPr>
                <w:lang w:val="es-ES"/>
              </w:rPr>
              <w:t xml:space="preserve">La Administración de la Federación de Rusia invita al Consejo de la UIT a examinar sus observaciones sobre las propuestas de la Secretaria General de la UIT sobre fechas y la duración de las reuniones del Consejo y </w:t>
            </w:r>
            <w:r>
              <w:rPr>
                <w:lang w:val="es-ES"/>
              </w:rPr>
              <w:t xml:space="preserve">las series de reuniones </w:t>
            </w:r>
            <w:r w:rsidRPr="00624A3C">
              <w:rPr>
                <w:lang w:val="es-ES"/>
              </w:rPr>
              <w:t>de los Grupos de Trabajo y Grupos de Expertos del Consejo en 2024, 2025 y 2026, y del Grup</w:t>
            </w:r>
            <w:r>
              <w:rPr>
                <w:lang w:val="es-ES"/>
              </w:rPr>
              <w:t>o Asesor de Normalización de las Telecomunicaciones en enero de</w:t>
            </w:r>
            <w:r w:rsidRPr="00624A3C">
              <w:rPr>
                <w:lang w:val="es-ES"/>
              </w:rPr>
              <w:t xml:space="preserve"> 2024, </w:t>
            </w:r>
            <w:r>
              <w:rPr>
                <w:lang w:val="es-ES"/>
              </w:rPr>
              <w:t>y a aprobar las recomendaciones a la Secretaria General sobre el particular</w:t>
            </w:r>
            <w:r w:rsidRPr="00624A3C">
              <w:rPr>
                <w:lang w:val="es-ES"/>
              </w:rPr>
              <w:t>.</w:t>
            </w:r>
          </w:p>
          <w:p w14:paraId="0F3015AE"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2BC7C71" w14:textId="1675DF3A" w:rsidR="00FE57F6" w:rsidRPr="00F24B71" w:rsidRDefault="00903506" w:rsidP="00C538FC">
            <w:pPr>
              <w:rPr>
                <w:lang w:val="es-ES"/>
              </w:rPr>
            </w:pPr>
            <w:bookmarkStart w:id="1" w:name="lt_pId015"/>
            <w:r w:rsidRPr="00624A3C">
              <w:rPr>
                <w:lang w:val="es-ES"/>
              </w:rPr>
              <w:t>Se invita al Consejo a considerar las propuestas presentadas en esta contribución y adoptar las correspondientes recomendaciones a la Secretaria General.</w:t>
            </w:r>
            <w:bookmarkEnd w:id="1"/>
          </w:p>
          <w:p w14:paraId="63E5CEAC" w14:textId="77777777" w:rsidR="00FE57F6" w:rsidRPr="00813E5E" w:rsidRDefault="00FE57F6" w:rsidP="00C538FC">
            <w:pPr>
              <w:spacing w:before="160"/>
              <w:rPr>
                <w:caps/>
                <w:sz w:val="22"/>
              </w:rPr>
            </w:pPr>
            <w:r w:rsidRPr="00813E5E">
              <w:rPr>
                <w:sz w:val="22"/>
              </w:rPr>
              <w:t>____________</w:t>
            </w:r>
            <w:r>
              <w:rPr>
                <w:sz w:val="22"/>
              </w:rPr>
              <w:t>______</w:t>
            </w:r>
          </w:p>
          <w:p w14:paraId="023677E7" w14:textId="77777777" w:rsidR="00FE57F6" w:rsidRDefault="00F24B71" w:rsidP="00C538FC">
            <w:pPr>
              <w:spacing w:before="160"/>
              <w:rPr>
                <w:b/>
                <w:bCs/>
                <w:sz w:val="26"/>
                <w:szCs w:val="26"/>
              </w:rPr>
            </w:pPr>
            <w:r w:rsidRPr="00F24B71">
              <w:rPr>
                <w:b/>
                <w:bCs/>
                <w:sz w:val="26"/>
                <w:szCs w:val="26"/>
              </w:rPr>
              <w:t>Referencia</w:t>
            </w:r>
          </w:p>
          <w:p w14:paraId="7EA27D1B" w14:textId="3A903E07" w:rsidR="00FE57F6" w:rsidRDefault="00903506" w:rsidP="00C538FC">
            <w:pPr>
              <w:spacing w:after="160"/>
            </w:pPr>
            <w:r w:rsidRPr="00624A3C">
              <w:rPr>
                <w:i/>
                <w:iCs/>
                <w:lang w:val="es-ES"/>
              </w:rPr>
              <w:t xml:space="preserve">Informe de la Secretaria General sobre la mejora del Consejo (Documento </w:t>
            </w:r>
            <w:hyperlink r:id="rId6" w:history="1">
              <w:r w:rsidRPr="00271F49">
                <w:rPr>
                  <w:rStyle w:val="Hyperlink"/>
                  <w:i/>
                  <w:iCs/>
                </w:rPr>
                <w:t>С</w:t>
              </w:r>
              <w:r w:rsidRPr="00624A3C">
                <w:rPr>
                  <w:rStyle w:val="Hyperlink"/>
                  <w:i/>
                  <w:iCs/>
                  <w:lang w:val="es-ES"/>
                </w:rPr>
                <w:t>23/32</w:t>
              </w:r>
            </w:hyperlink>
            <w:r w:rsidRPr="00624A3C">
              <w:rPr>
                <w:i/>
                <w:iCs/>
                <w:lang w:val="es-ES"/>
              </w:rPr>
              <w:t>)</w:t>
            </w:r>
            <w:r w:rsidRPr="00624A3C">
              <w:rPr>
                <w:i/>
                <w:iCs/>
                <w:sz w:val="22"/>
                <w:lang w:val="es-ES"/>
              </w:rPr>
              <w:br/>
            </w:r>
            <w:r w:rsidRPr="00624A3C">
              <w:rPr>
                <w:i/>
                <w:iCs/>
                <w:lang w:val="es-ES"/>
              </w:rPr>
              <w:t xml:space="preserve">Informe de la Secretaria General sobre las fechas y duración propuestas para las reuniones de 2024, 2025 y 2026 del Consejo y fechas propuestas para las series de reuniones de los </w:t>
            </w:r>
            <w:r>
              <w:rPr>
                <w:i/>
                <w:iCs/>
                <w:lang w:val="es-ES"/>
              </w:rPr>
              <w:t>Grupos de Trabajo y los Grupos de Expertos del Consejo para el mismo periodo</w:t>
            </w:r>
            <w:r w:rsidRPr="00624A3C">
              <w:rPr>
                <w:i/>
                <w:iCs/>
                <w:lang w:val="es-ES"/>
              </w:rPr>
              <w:t xml:space="preserve"> (Document</w:t>
            </w:r>
            <w:r>
              <w:rPr>
                <w:i/>
                <w:iCs/>
                <w:lang w:val="es-ES"/>
              </w:rPr>
              <w:t>o</w:t>
            </w:r>
            <w:r w:rsidRPr="00624A3C">
              <w:rPr>
                <w:i/>
                <w:iCs/>
                <w:lang w:val="es-ES"/>
              </w:rPr>
              <w:t xml:space="preserve"> </w:t>
            </w:r>
            <w:hyperlink r:id="rId7" w:history="1">
              <w:r w:rsidRPr="00271F49">
                <w:rPr>
                  <w:rStyle w:val="Hyperlink"/>
                  <w:i/>
                  <w:iCs/>
                </w:rPr>
                <w:t>С</w:t>
              </w:r>
              <w:r w:rsidRPr="00624A3C">
                <w:rPr>
                  <w:rStyle w:val="Hyperlink"/>
                  <w:i/>
                  <w:iCs/>
                  <w:lang w:val="es-ES"/>
                </w:rPr>
                <w:t>23/2</w:t>
              </w:r>
            </w:hyperlink>
            <w:r w:rsidRPr="00624A3C">
              <w:rPr>
                <w:i/>
                <w:iCs/>
                <w:lang w:val="es-ES"/>
              </w:rPr>
              <w:t>)</w:t>
            </w:r>
            <w:r w:rsidRPr="00624A3C">
              <w:rPr>
                <w:i/>
                <w:iCs/>
                <w:sz w:val="22"/>
                <w:lang w:val="es-ES"/>
              </w:rPr>
              <w:br/>
            </w:r>
            <w:r w:rsidRPr="00624A3C">
              <w:rPr>
                <w:i/>
                <w:iCs/>
                <w:lang w:val="es-ES"/>
              </w:rPr>
              <w:t>Document</w:t>
            </w:r>
            <w:r>
              <w:rPr>
                <w:i/>
                <w:iCs/>
                <w:lang w:val="es-ES"/>
              </w:rPr>
              <w:t>o</w:t>
            </w:r>
            <w:r w:rsidRPr="00624A3C">
              <w:rPr>
                <w:i/>
                <w:iCs/>
                <w:lang w:val="es-ES"/>
              </w:rPr>
              <w:t xml:space="preserve"> </w:t>
            </w:r>
            <w:hyperlink r:id="rId8" w:history="1">
              <w:r w:rsidRPr="00271F49">
                <w:rPr>
                  <w:rStyle w:val="Hyperlink"/>
                  <w:i/>
                  <w:iCs/>
                </w:rPr>
                <w:t>С</w:t>
              </w:r>
              <w:r w:rsidRPr="00624A3C">
                <w:rPr>
                  <w:rStyle w:val="Hyperlink"/>
                  <w:i/>
                  <w:iCs/>
                  <w:lang w:val="es-ES"/>
                </w:rPr>
                <w:t>23-ADD/2</w:t>
              </w:r>
            </w:hyperlink>
            <w:r w:rsidRPr="00624A3C">
              <w:rPr>
                <w:i/>
                <w:iCs/>
                <w:lang w:val="es-ES"/>
              </w:rPr>
              <w:t xml:space="preserve"> </w:t>
            </w:r>
            <w:r>
              <w:rPr>
                <w:i/>
                <w:iCs/>
                <w:lang w:val="es-ES"/>
              </w:rPr>
              <w:t>de la reunión adicional del Consejo de 2023</w:t>
            </w:r>
          </w:p>
        </w:tc>
      </w:tr>
      <w:bookmarkEnd w:id="0"/>
    </w:tbl>
    <w:p w14:paraId="1D5A0E8F" w14:textId="77777777" w:rsidR="00093EEB" w:rsidRDefault="00093EEB"/>
    <w:p w14:paraId="22ED5061"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626983D" w14:textId="77777777" w:rsidR="00903506" w:rsidRPr="00271F49" w:rsidRDefault="00903506" w:rsidP="00903506">
      <w:pPr>
        <w:pStyle w:val="Heading1"/>
      </w:pPr>
      <w:r w:rsidRPr="00271F49">
        <w:lastRenderedPageBreak/>
        <w:t>1</w:t>
      </w:r>
      <w:r w:rsidRPr="00271F49">
        <w:tab/>
      </w:r>
      <w:r>
        <w:t>Introducción</w:t>
      </w:r>
    </w:p>
    <w:p w14:paraId="21AB3448" w14:textId="77777777" w:rsidR="00903506" w:rsidRPr="00312E98" w:rsidRDefault="00903506" w:rsidP="00903506">
      <w:pPr>
        <w:rPr>
          <w:lang w:val="es-ES"/>
        </w:rPr>
      </w:pPr>
      <w:bookmarkStart w:id="2" w:name="lt_pId022"/>
      <w:r w:rsidRPr="00312E98">
        <w:rPr>
          <w:lang w:val="es-ES"/>
        </w:rPr>
        <w:t xml:space="preserve">Durante la reunión ordinaria del Consejo de la UIT de 2023 la Secretaría propuso considerar la posibilidad de acortar la duración de las reuniones del Consejo en 2024, 2025 y 2026 </w:t>
      </w:r>
      <w:r>
        <w:rPr>
          <w:lang w:val="es-ES"/>
        </w:rPr>
        <w:t>y de celebrar cada año una serie de reuniones de los Grupos de Trabajo y los Grupos de Expertos del Consejo (GTC y GE) en formato virtual</w:t>
      </w:r>
      <w:r w:rsidRPr="00312E98">
        <w:rPr>
          <w:lang w:val="es-ES"/>
        </w:rPr>
        <w:t>.</w:t>
      </w:r>
      <w:r w:rsidRPr="00271F49">
        <w:rPr>
          <w:rStyle w:val="FootnoteReference"/>
        </w:rPr>
        <w:footnoteReference w:id="1"/>
      </w:r>
      <w:bookmarkEnd w:id="2"/>
    </w:p>
    <w:p w14:paraId="400169A6" w14:textId="77777777" w:rsidR="00903506" w:rsidRPr="00312E98" w:rsidRDefault="00903506" w:rsidP="00903506">
      <w:pPr>
        <w:rPr>
          <w:lang w:val="es-ES"/>
        </w:rPr>
      </w:pPr>
      <w:bookmarkStart w:id="4" w:name="lt_pId023"/>
      <w:r w:rsidRPr="00312E98">
        <w:rPr>
          <w:lang w:val="es-ES"/>
        </w:rPr>
        <w:t>Esas propuestas dieron lugar a un animado debate, en el que no se logró un consenso sobre si convenía decidir acortar la duración de las próximas tres reuniones del Co</w:t>
      </w:r>
      <w:r>
        <w:rPr>
          <w:lang w:val="es-ES"/>
        </w:rPr>
        <w:t>nsejo o celebrar cada año una serie de reuniones de GTC y GE en formato virtual</w:t>
      </w:r>
      <w:r w:rsidRPr="00312E98">
        <w:rPr>
          <w:lang w:val="es-ES"/>
        </w:rPr>
        <w:t>.</w:t>
      </w:r>
      <w:bookmarkEnd w:id="4"/>
    </w:p>
    <w:p w14:paraId="113EE7B0" w14:textId="4EC56CE5" w:rsidR="00903506" w:rsidRPr="00312E98" w:rsidRDefault="00903506" w:rsidP="00903506">
      <w:pPr>
        <w:rPr>
          <w:lang w:val="es-ES"/>
        </w:rPr>
      </w:pPr>
      <w:bookmarkStart w:id="5" w:name="lt_pId024"/>
      <w:r w:rsidRPr="00312E98">
        <w:rPr>
          <w:lang w:val="es-ES"/>
        </w:rPr>
        <w:t xml:space="preserve">En el Documento </w:t>
      </w:r>
      <w:hyperlink r:id="rId9" w:history="1">
        <w:r w:rsidRPr="00312E98">
          <w:rPr>
            <w:color w:val="0563C1"/>
            <w:u w:val="single"/>
            <w:lang w:val="es-ES"/>
          </w:rPr>
          <w:t>C23-ADD/2</w:t>
        </w:r>
      </w:hyperlink>
      <w:r w:rsidRPr="00312E98">
        <w:rPr>
          <w:lang w:val="es-ES"/>
        </w:rPr>
        <w:t xml:space="preserve"> para la reunión adicional del Consejo de 2023 la Secretaría actualiza sus propuestas </w:t>
      </w:r>
      <w:r>
        <w:rPr>
          <w:lang w:val="es-ES"/>
        </w:rPr>
        <w:t>sobre las</w:t>
      </w:r>
      <w:r w:rsidRPr="00312E98">
        <w:rPr>
          <w:lang w:val="es-ES"/>
        </w:rPr>
        <w:t xml:space="preserve"> fechas y </w:t>
      </w:r>
      <w:r>
        <w:rPr>
          <w:lang w:val="es-ES"/>
        </w:rPr>
        <w:t xml:space="preserve">la </w:t>
      </w:r>
      <w:r w:rsidRPr="00312E98">
        <w:rPr>
          <w:lang w:val="es-ES"/>
        </w:rPr>
        <w:t>duración de las reuniones del Consejo en 2024, 2025 y 2026</w:t>
      </w:r>
      <w:r>
        <w:rPr>
          <w:lang w:val="es-ES"/>
        </w:rPr>
        <w:t>, así como sobre las fechas y el formato de las series de reuniones de los GTC y GE durante ese mismo periodo</w:t>
      </w:r>
      <w:r w:rsidRPr="00312E98">
        <w:rPr>
          <w:lang w:val="es-ES"/>
        </w:rPr>
        <w:t>.</w:t>
      </w:r>
      <w:bookmarkEnd w:id="5"/>
      <w:r w:rsidRPr="00312E98">
        <w:rPr>
          <w:lang w:val="es-ES"/>
        </w:rPr>
        <w:t xml:space="preserve"> </w:t>
      </w:r>
    </w:p>
    <w:p w14:paraId="354B115F" w14:textId="317D4AB4" w:rsidR="00903506" w:rsidRPr="00312E98" w:rsidRDefault="00903506" w:rsidP="00903506">
      <w:pPr>
        <w:rPr>
          <w:lang w:val="es-ES"/>
        </w:rPr>
      </w:pPr>
      <w:bookmarkStart w:id="6" w:name="lt_pId025"/>
      <w:r w:rsidRPr="009907E4">
        <w:rPr>
          <w:lang w:val="es-ES"/>
        </w:rPr>
        <w:t>La Federación de Rusia se felicita</w:t>
      </w:r>
      <w:r w:rsidRPr="00312E98">
        <w:rPr>
          <w:lang w:val="es-ES"/>
        </w:rPr>
        <w:t xml:space="preserve"> de la propuesta de la Secretaría de celebrar en 2024, 2025 y 2026 reuniones del Consejo de 9 días de duración en fechas que tienen en cuen</w:t>
      </w:r>
      <w:r>
        <w:rPr>
          <w:lang w:val="es-ES"/>
        </w:rPr>
        <w:t>ta periodos religiosos importantes, así como de la disponibilidad del Centro Internacional de Conferencias de Ginebra</w:t>
      </w:r>
      <w:r w:rsidRPr="00312E98">
        <w:rPr>
          <w:lang w:val="es-ES"/>
        </w:rPr>
        <w:t xml:space="preserve"> (CICG) dur</w:t>
      </w:r>
      <w:r>
        <w:rPr>
          <w:lang w:val="es-ES"/>
        </w:rPr>
        <w:t>ante la demolición y las primeras fases de construcción del proyecto de edificio de la Sede</w:t>
      </w:r>
      <w:r w:rsidRPr="00312E98">
        <w:rPr>
          <w:lang w:val="es-ES"/>
        </w:rPr>
        <w:t>.</w:t>
      </w:r>
      <w:bookmarkEnd w:id="6"/>
    </w:p>
    <w:p w14:paraId="1BE63976" w14:textId="3CC75699" w:rsidR="00903506" w:rsidRPr="00F6648A" w:rsidRDefault="00903506" w:rsidP="00903506">
      <w:pPr>
        <w:rPr>
          <w:lang w:val="es-ES"/>
        </w:rPr>
      </w:pPr>
      <w:bookmarkStart w:id="7" w:name="lt_pId026"/>
      <w:r w:rsidRPr="00F6648A">
        <w:rPr>
          <w:lang w:val="es-ES"/>
        </w:rPr>
        <w:t xml:space="preserve">El Documento </w:t>
      </w:r>
      <w:hyperlink r:id="rId10" w:history="1">
        <w:r w:rsidRPr="00F6648A">
          <w:rPr>
            <w:color w:val="0563C1"/>
            <w:u w:val="single"/>
            <w:lang w:val="es-ES"/>
          </w:rPr>
          <w:t>C23-ADD/2</w:t>
        </w:r>
      </w:hyperlink>
      <w:r w:rsidRPr="00F6648A">
        <w:rPr>
          <w:lang w:val="es-ES"/>
        </w:rPr>
        <w:t xml:space="preserve"> para la reunión adicional del Consejo de la UIT de 2023, publicado el 18 de septiembre de 2023, contiene una propuesta para celebrar una serie de reuniones de Grupos de Trabajo del 22 de enero al 2 de</w:t>
      </w:r>
      <w:r>
        <w:rPr>
          <w:lang w:val="es-ES"/>
        </w:rPr>
        <w:t xml:space="preserve"> febrero de</w:t>
      </w:r>
      <w:r w:rsidRPr="00F6648A">
        <w:rPr>
          <w:lang w:val="es-ES"/>
        </w:rPr>
        <w:t xml:space="preserve"> 2024, </w:t>
      </w:r>
      <w:r>
        <w:rPr>
          <w:lang w:val="es-ES"/>
        </w:rPr>
        <w:t>cuando, al mismo tiempo, en la</w:t>
      </w:r>
      <w:r w:rsidRPr="00F6648A">
        <w:rPr>
          <w:lang w:val="es-ES"/>
        </w:rPr>
        <w:t xml:space="preserve"> </w:t>
      </w:r>
      <w:hyperlink r:id="rId11" w:history="1">
        <w:r w:rsidRPr="00F6648A">
          <w:rPr>
            <w:color w:val="0563C1"/>
            <w:u w:val="single"/>
            <w:lang w:val="es-ES"/>
          </w:rPr>
          <w:t>C</w:t>
        </w:r>
        <w:r>
          <w:rPr>
            <w:color w:val="0563C1"/>
            <w:u w:val="single"/>
            <w:lang w:val="es-ES"/>
          </w:rPr>
          <w:t>arta C</w:t>
        </w:r>
        <w:r w:rsidRPr="00F6648A">
          <w:rPr>
            <w:color w:val="0563C1"/>
            <w:u w:val="single"/>
            <w:lang w:val="es-ES"/>
          </w:rPr>
          <w:t>olectiv</w:t>
        </w:r>
        <w:r>
          <w:rPr>
            <w:color w:val="0563C1"/>
            <w:u w:val="single"/>
            <w:lang w:val="es-ES"/>
          </w:rPr>
          <w:t>a</w:t>
        </w:r>
        <w:r w:rsidRPr="00F6648A">
          <w:rPr>
            <w:color w:val="0563C1"/>
            <w:u w:val="single"/>
            <w:lang w:val="es-ES"/>
          </w:rPr>
          <w:t xml:space="preserve"> 3</w:t>
        </w:r>
      </w:hyperlink>
      <w:r w:rsidRPr="00F6648A">
        <w:rPr>
          <w:lang w:val="es-ES"/>
        </w:rPr>
        <w:t xml:space="preserve"> </w:t>
      </w:r>
      <w:r>
        <w:rPr>
          <w:lang w:val="es-ES"/>
        </w:rPr>
        <w:t>de la Oficina de Normalización de las Telecomunicaciones</w:t>
      </w:r>
      <w:r w:rsidRPr="00F6648A">
        <w:rPr>
          <w:lang w:val="es-ES"/>
        </w:rPr>
        <w:t xml:space="preserve"> (TSB), d</w:t>
      </w:r>
      <w:r>
        <w:rPr>
          <w:lang w:val="es-ES"/>
        </w:rPr>
        <w:t>e</w:t>
      </w:r>
      <w:r w:rsidRPr="00F6648A">
        <w:rPr>
          <w:lang w:val="es-ES"/>
        </w:rPr>
        <w:t xml:space="preserve"> 22 </w:t>
      </w:r>
      <w:r>
        <w:rPr>
          <w:lang w:val="es-ES"/>
        </w:rPr>
        <w:t>de septiembre de</w:t>
      </w:r>
      <w:r w:rsidRPr="00F6648A">
        <w:rPr>
          <w:lang w:val="es-ES"/>
        </w:rPr>
        <w:t xml:space="preserve"> 2023, </w:t>
      </w:r>
      <w:r>
        <w:rPr>
          <w:lang w:val="es-ES"/>
        </w:rPr>
        <w:t>se fija la fecha para la reunión del Grupo Asesor de Normalización de las Telecomunicaciones (GANT) del 22 al 26 de enero de</w:t>
      </w:r>
      <w:r w:rsidRPr="00F6648A">
        <w:rPr>
          <w:lang w:val="es-ES"/>
        </w:rPr>
        <w:t xml:space="preserve"> 2024.</w:t>
      </w:r>
      <w:bookmarkEnd w:id="7"/>
    </w:p>
    <w:p w14:paraId="6A373670" w14:textId="77777777" w:rsidR="00903506" w:rsidRPr="00271F49" w:rsidRDefault="00903506" w:rsidP="00903506">
      <w:pPr>
        <w:pStyle w:val="Heading1"/>
      </w:pPr>
      <w:r w:rsidRPr="00271F49">
        <w:t>2</w:t>
      </w:r>
      <w:r w:rsidRPr="00271F49">
        <w:tab/>
      </w:r>
      <w:r>
        <w:t>Motivos</w:t>
      </w:r>
    </w:p>
    <w:p w14:paraId="633046F8" w14:textId="25A5731A" w:rsidR="00903506" w:rsidRPr="00F6648A" w:rsidRDefault="00903506" w:rsidP="00903506">
      <w:pPr>
        <w:rPr>
          <w:lang w:val="es-ES"/>
        </w:rPr>
      </w:pPr>
      <w:r w:rsidRPr="00F6648A">
        <w:rPr>
          <w:lang w:val="es-ES"/>
        </w:rPr>
        <w:t>2.1</w:t>
      </w:r>
      <w:r w:rsidRPr="00F6648A">
        <w:rPr>
          <w:lang w:val="es-ES"/>
        </w:rPr>
        <w:tab/>
      </w:r>
      <w:bookmarkStart w:id="8" w:name="lt_pId030"/>
      <w:r w:rsidRPr="00F6648A">
        <w:rPr>
          <w:lang w:val="es-ES"/>
        </w:rPr>
        <w:t xml:space="preserve">Dada la intensidad de los debates acerca de la propuesta de la Secretaría de acortar la duración de las reuniones del Consejo y de celebrar una sesión de reuniones de GTC y GE en formato virtual, y a la luz de la divergencia de opiniones entre los participantes en el debate sostenido durante la reunión del Consejo celebrada durante el verano de 2023, convendría celebrar consultas sobre la necesidad y conveniencia de adoptar tal decisión en un marco </w:t>
      </w:r>
      <w:r w:rsidRPr="00F6648A">
        <w:rPr>
          <w:lang w:val="es-ES"/>
        </w:rPr>
        <w:lastRenderedPageBreak/>
        <w:t>más amplio y transparente, en el que puedan participar todos los Estados Miembros de la</w:t>
      </w:r>
      <w:r w:rsidR="0066318B">
        <w:rPr>
          <w:lang w:val="es-ES"/>
        </w:rPr>
        <w:t> </w:t>
      </w:r>
      <w:r w:rsidRPr="00F6648A">
        <w:rPr>
          <w:lang w:val="es-ES"/>
        </w:rPr>
        <w:t xml:space="preserve">UIT y </w:t>
      </w:r>
      <w:r>
        <w:rPr>
          <w:lang w:val="es-ES"/>
        </w:rPr>
        <w:t>conforme</w:t>
      </w:r>
      <w:r w:rsidRPr="00F6648A">
        <w:rPr>
          <w:lang w:val="es-ES"/>
        </w:rPr>
        <w:t xml:space="preserve"> con el número 28 del Artículo 3 de la Constitución, en lugar de únicamente entre el limitado número de Estados Miembros del Consejo</w:t>
      </w:r>
      <w:bookmarkEnd w:id="8"/>
      <w:r w:rsidRPr="00F6648A">
        <w:rPr>
          <w:lang w:val="es-ES"/>
        </w:rPr>
        <w:t>.</w:t>
      </w:r>
    </w:p>
    <w:p w14:paraId="4E1F8198" w14:textId="19E8B2DB" w:rsidR="00903506" w:rsidRPr="00F6648A" w:rsidRDefault="00903506" w:rsidP="00903506">
      <w:pPr>
        <w:rPr>
          <w:rFonts w:cs="Calibri"/>
          <w:b/>
          <w:lang w:val="es-ES"/>
        </w:rPr>
      </w:pPr>
      <w:r w:rsidRPr="00F6648A">
        <w:rPr>
          <w:lang w:val="es-ES"/>
        </w:rPr>
        <w:t>2.2</w:t>
      </w:r>
      <w:r w:rsidRPr="00F6648A">
        <w:rPr>
          <w:lang w:val="es-ES"/>
        </w:rPr>
        <w:tab/>
      </w:r>
      <w:bookmarkStart w:id="9" w:name="lt_pId032"/>
      <w:r w:rsidRPr="00F6648A">
        <w:rPr>
          <w:lang w:val="es-ES"/>
        </w:rPr>
        <w:t xml:space="preserve">Del análisis del Documento </w:t>
      </w:r>
      <w:hyperlink r:id="rId12" w:history="1">
        <w:r w:rsidRPr="00F6648A">
          <w:rPr>
            <w:color w:val="0563C1"/>
            <w:u w:val="single"/>
            <w:lang w:val="es-ES"/>
          </w:rPr>
          <w:t>C23-ADD/2</w:t>
        </w:r>
      </w:hyperlink>
      <w:r w:rsidRPr="00F6648A">
        <w:rPr>
          <w:lang w:val="es-ES"/>
        </w:rPr>
        <w:t xml:space="preserve"> se desprende que las fechas propuestas para la serie de</w:t>
      </w:r>
      <w:r>
        <w:rPr>
          <w:lang w:val="es-ES"/>
        </w:rPr>
        <w:t xml:space="preserve"> reuniones de los GTC en enero de 2024 coinciden parcialmente con las de la reunión del GANT</w:t>
      </w:r>
      <w:r w:rsidRPr="00F6648A">
        <w:rPr>
          <w:lang w:val="es-ES"/>
        </w:rPr>
        <w:t>.</w:t>
      </w:r>
      <w:bookmarkEnd w:id="9"/>
    </w:p>
    <w:p w14:paraId="29BB7478" w14:textId="2D25C0A5" w:rsidR="00903506" w:rsidRPr="00DB4FBC" w:rsidRDefault="00903506" w:rsidP="00903506">
      <w:pPr>
        <w:rPr>
          <w:lang w:val="es-ES"/>
        </w:rPr>
      </w:pPr>
      <w:bookmarkStart w:id="10" w:name="lt_pId033"/>
      <w:r w:rsidRPr="00F6648A">
        <w:rPr>
          <w:lang w:val="es-ES"/>
        </w:rPr>
        <w:t>Esto demuestra la continua tendencia a celebrar reuniones de los GTC y los G</w:t>
      </w:r>
      <w:r>
        <w:rPr>
          <w:lang w:val="es-ES"/>
        </w:rPr>
        <w:t xml:space="preserve">rupos Asesores de los Sectores en paralelo. </w:t>
      </w:r>
      <w:r w:rsidRPr="00DB4FBC">
        <w:rPr>
          <w:lang w:val="es-ES"/>
        </w:rPr>
        <w:t xml:space="preserve">La Conferencia de Plenipotenciarios llamó la atención sobre esta práctica en el </w:t>
      </w:r>
      <w:r w:rsidRPr="00DB4FBC">
        <w:rPr>
          <w:i/>
          <w:iCs/>
          <w:lang w:val="es-ES"/>
        </w:rPr>
        <w:t>decide</w:t>
      </w:r>
      <w:r w:rsidRPr="00DB4FBC">
        <w:rPr>
          <w:lang w:val="es-ES"/>
        </w:rPr>
        <w:t xml:space="preserve"> 13 de su Decisión 11 (Rev. Bucarest, 2022) al decidir </w:t>
      </w:r>
      <w:r w:rsidR="0066318B">
        <w:rPr>
          <w:lang w:val="es-ES"/>
        </w:rPr>
        <w:t>"</w:t>
      </w:r>
      <w:r w:rsidRPr="00DB4FBC">
        <w:rPr>
          <w:lang w:val="es-ES"/>
        </w:rPr>
        <w:t>que las re</w:t>
      </w:r>
      <w:r>
        <w:rPr>
          <w:lang w:val="es-ES"/>
        </w:rPr>
        <w:t>uniones de los GTC no se celebren durante las grandes conferencias y asambleas de la Unión, ni durante las reuniones de los Grupos Asesores de los Sectores</w:t>
      </w:r>
      <w:r w:rsidR="0066318B">
        <w:rPr>
          <w:lang w:val="es-ES"/>
        </w:rPr>
        <w:t>"</w:t>
      </w:r>
      <w:r>
        <w:rPr>
          <w:lang w:val="es-ES"/>
        </w:rPr>
        <w:t xml:space="preserve">. </w:t>
      </w:r>
      <w:r w:rsidRPr="00DB4FBC">
        <w:rPr>
          <w:lang w:val="es-ES"/>
        </w:rPr>
        <w:t>Por consiguiente, la propuesta de celebrar la serie de reuniones de los GTC del 22 de enero al 2 de febrero de</w:t>
      </w:r>
      <w:r w:rsidR="0066318B">
        <w:rPr>
          <w:lang w:val="es-ES"/>
        </w:rPr>
        <w:t> </w:t>
      </w:r>
      <w:r w:rsidRPr="00DB4FBC">
        <w:rPr>
          <w:lang w:val="es-ES"/>
        </w:rPr>
        <w:t>2024 es contraria a la</w:t>
      </w:r>
      <w:r>
        <w:rPr>
          <w:lang w:val="es-ES"/>
        </w:rPr>
        <w:t xml:space="preserve"> Decisión 11 (Rev. Bucarest, 2022) de la Conferencia de Plenipotenciarios</w:t>
      </w:r>
      <w:bookmarkStart w:id="11" w:name="lt_pId035"/>
      <w:bookmarkEnd w:id="10"/>
      <w:r w:rsidRPr="00DB4FBC">
        <w:rPr>
          <w:lang w:val="es-ES"/>
        </w:rPr>
        <w:t>.</w:t>
      </w:r>
      <w:bookmarkEnd w:id="11"/>
    </w:p>
    <w:p w14:paraId="176FE7AD" w14:textId="77777777" w:rsidR="00903506" w:rsidRPr="00271F49" w:rsidRDefault="00903506" w:rsidP="00903506">
      <w:pPr>
        <w:pStyle w:val="Heading1"/>
      </w:pPr>
      <w:r w:rsidRPr="00271F49">
        <w:t>3</w:t>
      </w:r>
      <w:r w:rsidRPr="00271F49">
        <w:tab/>
        <w:t>Prop</w:t>
      </w:r>
      <w:r>
        <w:t>uesta</w:t>
      </w:r>
    </w:p>
    <w:p w14:paraId="3B17A7A6" w14:textId="77777777" w:rsidR="00903506" w:rsidRPr="00DB4FBC" w:rsidRDefault="00903506" w:rsidP="00903506">
      <w:pPr>
        <w:rPr>
          <w:lang w:val="es-ES"/>
        </w:rPr>
      </w:pPr>
      <w:r w:rsidRPr="00DB4FBC">
        <w:rPr>
          <w:lang w:val="es-ES"/>
        </w:rPr>
        <w:t>Habida cuenta de todo lo anterior, la Federación de Rusia propone que el Consejo:</w:t>
      </w:r>
    </w:p>
    <w:p w14:paraId="15874FF1" w14:textId="77777777" w:rsidR="00903506" w:rsidRPr="00DB4FBC" w:rsidRDefault="00903506" w:rsidP="00903506">
      <w:pPr>
        <w:pStyle w:val="enumlev1"/>
        <w:rPr>
          <w:lang w:val="es-ES"/>
        </w:rPr>
      </w:pPr>
      <w:r w:rsidRPr="00DB4FBC">
        <w:rPr>
          <w:lang w:val="es-ES"/>
        </w:rPr>
        <w:t>1)</w:t>
      </w:r>
      <w:r w:rsidRPr="00DB4FBC">
        <w:rPr>
          <w:lang w:val="es-ES"/>
        </w:rPr>
        <w:tab/>
      </w:r>
      <w:bookmarkStart w:id="12" w:name="lt_pId040"/>
      <w:r w:rsidRPr="00DB4FBC">
        <w:rPr>
          <w:lang w:val="es-ES"/>
        </w:rPr>
        <w:t xml:space="preserve">si se ha de tomar una decisión que afecte a todos los Estados Miembros de la Unión, celebre consultas sobre la necesidad y conveniencia de </w:t>
      </w:r>
      <w:r w:rsidRPr="00F6648A">
        <w:rPr>
          <w:lang w:val="es-ES"/>
        </w:rPr>
        <w:t xml:space="preserve">adoptar tal decisión en un marco más amplio y transparente, en el que puedan participar todos los Estados Miembros de la UIT y </w:t>
      </w:r>
      <w:r>
        <w:rPr>
          <w:lang w:val="es-ES"/>
        </w:rPr>
        <w:t>conforme</w:t>
      </w:r>
      <w:r w:rsidRPr="00F6648A">
        <w:rPr>
          <w:lang w:val="es-ES"/>
        </w:rPr>
        <w:t xml:space="preserve"> con el número 28 del Artículo 3 de la Constitución, en lugar de únicamente entre el limitado número de Estados Miembros del Consejo</w:t>
      </w:r>
      <w:r w:rsidRPr="00DB4FBC">
        <w:rPr>
          <w:lang w:val="es-ES"/>
        </w:rPr>
        <w:t>;</w:t>
      </w:r>
      <w:bookmarkEnd w:id="12"/>
    </w:p>
    <w:p w14:paraId="031292B7" w14:textId="77777777" w:rsidR="00903506" w:rsidRPr="00DB4FBC" w:rsidRDefault="00903506" w:rsidP="00903506">
      <w:pPr>
        <w:pStyle w:val="enumlev1"/>
        <w:rPr>
          <w:lang w:val="es-ES"/>
        </w:rPr>
      </w:pPr>
      <w:r w:rsidRPr="00DB4FBC">
        <w:rPr>
          <w:lang w:val="es-ES"/>
        </w:rPr>
        <w:t>2)</w:t>
      </w:r>
      <w:r w:rsidRPr="00DB4FBC">
        <w:rPr>
          <w:lang w:val="es-ES"/>
        </w:rPr>
        <w:tab/>
      </w:r>
      <w:bookmarkStart w:id="13" w:name="lt_pId042"/>
      <w:r w:rsidRPr="00DB4FBC">
        <w:rPr>
          <w:lang w:val="es-ES"/>
        </w:rPr>
        <w:t xml:space="preserve">recomienda que la Secretaría General consulte con la TSB a fin de evitar toda coincidencia en las </w:t>
      </w:r>
      <w:r>
        <w:rPr>
          <w:lang w:val="es-ES"/>
        </w:rPr>
        <w:t>fechas de las reuniones de los GTC y el GANT</w:t>
      </w:r>
      <w:r w:rsidRPr="00DB4FBC">
        <w:rPr>
          <w:lang w:val="es-ES"/>
        </w:rPr>
        <w:t>.</w:t>
      </w:r>
      <w:bookmarkEnd w:id="13"/>
    </w:p>
    <w:p w14:paraId="322830E5" w14:textId="77777777" w:rsidR="00903506" w:rsidRDefault="00903506" w:rsidP="00411C49">
      <w:pPr>
        <w:pStyle w:val="Reasons"/>
      </w:pPr>
    </w:p>
    <w:p w14:paraId="4AE88BBF" w14:textId="77777777" w:rsidR="00903506" w:rsidRDefault="00903506">
      <w:pPr>
        <w:jc w:val="center"/>
      </w:pPr>
      <w:r>
        <w:t>______________</w:t>
      </w:r>
    </w:p>
    <w:sectPr w:rsidR="00903506"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F554" w14:textId="77777777" w:rsidR="00903506" w:rsidRDefault="00903506">
      <w:r>
        <w:separator/>
      </w:r>
    </w:p>
  </w:endnote>
  <w:endnote w:type="continuationSeparator" w:id="0">
    <w:p w14:paraId="34C04265" w14:textId="77777777" w:rsidR="00903506" w:rsidRDefault="009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3273A4" w:rsidRPr="00784011" w14:paraId="59C69B70" w14:textId="77777777" w:rsidTr="007B242D">
      <w:trPr>
        <w:jc w:val="center"/>
      </w:trPr>
      <w:tc>
        <w:tcPr>
          <w:tcW w:w="1803" w:type="dxa"/>
          <w:vAlign w:val="center"/>
        </w:tcPr>
        <w:p w14:paraId="5F9EA22A" w14:textId="425E90C0" w:rsidR="003273A4" w:rsidRDefault="003273A4" w:rsidP="003273A4">
          <w:pPr>
            <w:pStyle w:val="Header"/>
            <w:jc w:val="left"/>
            <w:rPr>
              <w:noProof/>
            </w:rPr>
          </w:pPr>
          <w:r>
            <w:rPr>
              <w:noProof/>
            </w:rPr>
            <w:t xml:space="preserve">DPS </w:t>
          </w:r>
          <w:r w:rsidR="00903506">
            <w:rPr>
              <w:noProof/>
            </w:rPr>
            <w:t>528690</w:t>
          </w:r>
        </w:p>
      </w:tc>
      <w:tc>
        <w:tcPr>
          <w:tcW w:w="8545" w:type="dxa"/>
        </w:tcPr>
        <w:p w14:paraId="63C00D2E" w14:textId="69088BD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903506">
            <w:rPr>
              <w:bCs/>
            </w:rPr>
            <w:t>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3460FF3" w14:textId="7847C8AB"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F24B71" w:rsidRPr="00784011" w14:paraId="586DF8E3" w14:textId="77777777" w:rsidTr="007B242D">
      <w:trPr>
        <w:jc w:val="center"/>
      </w:trPr>
      <w:tc>
        <w:tcPr>
          <w:tcW w:w="1803" w:type="dxa"/>
          <w:vAlign w:val="center"/>
        </w:tcPr>
        <w:p w14:paraId="3163A451" w14:textId="77777777" w:rsidR="00F24B71" w:rsidRDefault="00FB3374" w:rsidP="00F24B71">
          <w:pPr>
            <w:pStyle w:val="Header"/>
            <w:jc w:val="left"/>
            <w:rPr>
              <w:noProof/>
            </w:rPr>
          </w:pPr>
          <w:hyperlink r:id="rId1" w:history="1">
            <w:r w:rsidR="00F24B71" w:rsidRPr="00A514A4">
              <w:rPr>
                <w:rStyle w:val="Hyperlink"/>
                <w:szCs w:val="14"/>
              </w:rPr>
              <w:t>www.itu.int/council</w:t>
            </w:r>
          </w:hyperlink>
        </w:p>
      </w:tc>
      <w:tc>
        <w:tcPr>
          <w:tcW w:w="8545" w:type="dxa"/>
        </w:tcPr>
        <w:p w14:paraId="56A37936" w14:textId="32ADA07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903506">
            <w:rPr>
              <w:bCs/>
            </w:rPr>
            <w:t>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DF2085D" w14:textId="4324DD3A" w:rsidR="00760F1C" w:rsidRPr="00F24B71" w:rsidRDefault="00760F1C" w:rsidP="0029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480C" w14:textId="77777777" w:rsidR="00903506" w:rsidRDefault="00903506">
      <w:r>
        <w:t>____________________</w:t>
      </w:r>
    </w:p>
  </w:footnote>
  <w:footnote w:type="continuationSeparator" w:id="0">
    <w:p w14:paraId="10A38F91" w14:textId="77777777" w:rsidR="00903506" w:rsidRDefault="00903506">
      <w:r>
        <w:continuationSeparator/>
      </w:r>
    </w:p>
  </w:footnote>
  <w:footnote w:id="1">
    <w:p w14:paraId="7A9338DD" w14:textId="45EDCA48" w:rsidR="00903506" w:rsidRPr="00312E98" w:rsidRDefault="00903506" w:rsidP="00903506">
      <w:pPr>
        <w:pStyle w:val="FootnoteText"/>
        <w:rPr>
          <w:lang w:val="es-ES"/>
        </w:rPr>
      </w:pPr>
      <w:r>
        <w:rPr>
          <w:rStyle w:val="FootnoteReference"/>
        </w:rPr>
        <w:footnoteRef/>
      </w:r>
      <w:r w:rsidR="00D4219F">
        <w:rPr>
          <w:lang w:val="es-ES"/>
        </w:rPr>
        <w:tab/>
      </w:r>
      <w:r w:rsidRPr="00312E98">
        <w:rPr>
          <w:lang w:val="es-ES"/>
        </w:rPr>
        <w:t>En el Informe de la Secretaria General sobre la mejora del Consejo</w:t>
      </w:r>
      <w:r w:rsidRPr="00312E98">
        <w:rPr>
          <w:szCs w:val="24"/>
          <w:lang w:val="es-ES"/>
        </w:rPr>
        <w:t xml:space="preserve"> (Documento </w:t>
      </w:r>
      <w:hyperlink r:id="rId1" w:history="1">
        <w:r w:rsidRPr="00271F49">
          <w:rPr>
            <w:rStyle w:val="Hyperlink"/>
            <w:szCs w:val="24"/>
            <w:lang w:val="ru-RU"/>
          </w:rPr>
          <w:t>С</w:t>
        </w:r>
        <w:r w:rsidRPr="00312E98">
          <w:rPr>
            <w:rStyle w:val="Hyperlink"/>
            <w:szCs w:val="24"/>
            <w:lang w:val="es-ES"/>
          </w:rPr>
          <w:t>23/32</w:t>
        </w:r>
      </w:hyperlink>
      <w:r w:rsidRPr="00312E98">
        <w:rPr>
          <w:szCs w:val="24"/>
          <w:lang w:val="es-ES"/>
        </w:rPr>
        <w:t xml:space="preserve">), en el apartado Medidas propuestas para lograr un Consejo centrado en los resultados, se indica, entre otras cosas que </w:t>
      </w:r>
      <w:r w:rsidR="0066318B">
        <w:rPr>
          <w:szCs w:val="24"/>
          <w:lang w:val="es-ES"/>
        </w:rPr>
        <w:t>"</w:t>
      </w:r>
      <w:r w:rsidRPr="00312E98">
        <w:rPr>
          <w:szCs w:val="24"/>
          <w:lang w:val="es-ES"/>
        </w:rPr>
        <w:t>Junto con la mejora del proceso de preparación y la elaboración de</w:t>
      </w:r>
      <w:r>
        <w:rPr>
          <w:szCs w:val="24"/>
          <w:lang w:val="es-ES"/>
        </w:rPr>
        <w:t xml:space="preserve"> un orden del día más específico, la Secretaría sugeriría que se estudiase la posibilidad de reducir la duración del Consejo (por ejemplo, seis días</w:t>
      </w:r>
      <w:r w:rsidRPr="00312E98">
        <w:rPr>
          <w:szCs w:val="24"/>
          <w:lang w:val="es-ES"/>
        </w:rPr>
        <w:t>)</w:t>
      </w:r>
      <w:r w:rsidR="0066318B">
        <w:rPr>
          <w:szCs w:val="24"/>
          <w:lang w:val="es-ES"/>
        </w:rPr>
        <w:t>"</w:t>
      </w:r>
      <w:r w:rsidRPr="00312E98">
        <w:rPr>
          <w:szCs w:val="24"/>
          <w:lang w:val="es-ES"/>
        </w:rPr>
        <w:t xml:space="preserve">, </w:t>
      </w:r>
      <w:r>
        <w:rPr>
          <w:szCs w:val="24"/>
          <w:lang w:val="es-ES"/>
        </w:rPr>
        <w:t>y se incluye una referencia al Documento</w:t>
      </w:r>
      <w:r w:rsidRPr="00312E98">
        <w:rPr>
          <w:szCs w:val="24"/>
          <w:lang w:val="es-ES"/>
        </w:rPr>
        <w:t xml:space="preserve"> </w:t>
      </w:r>
      <w:hyperlink r:id="rId2" w:history="1">
        <w:r w:rsidRPr="00312E98">
          <w:rPr>
            <w:rStyle w:val="Hyperlink"/>
            <w:szCs w:val="24"/>
            <w:lang w:val="es-ES"/>
          </w:rPr>
          <w:t>C23/2</w:t>
        </w:r>
      </w:hyperlink>
      <w:r w:rsidRPr="00312E98">
        <w:rPr>
          <w:szCs w:val="24"/>
          <w:lang w:val="es-ES"/>
        </w:rPr>
        <w:t>.</w:t>
      </w:r>
    </w:p>
    <w:p w14:paraId="7CF973F0" w14:textId="1F808871" w:rsidR="00903506" w:rsidRPr="00F6648A" w:rsidRDefault="00903506" w:rsidP="00903506">
      <w:pPr>
        <w:pStyle w:val="FootnoteText"/>
        <w:rPr>
          <w:lang w:val="es-ES"/>
        </w:rPr>
      </w:pPr>
      <w:bookmarkStart w:id="3" w:name="lt_pId045"/>
      <w:r w:rsidRPr="00312E98">
        <w:rPr>
          <w:lang w:val="es-ES"/>
        </w:rPr>
        <w:tab/>
      </w:r>
      <w:r w:rsidRPr="00F6648A">
        <w:rPr>
          <w:rFonts w:eastAsia="Calibri"/>
          <w:szCs w:val="22"/>
          <w:lang w:val="es-ES"/>
        </w:rPr>
        <w:t xml:space="preserve">En el informe de la Secretaria General sobre las </w:t>
      </w:r>
      <w:r w:rsidRPr="00F6648A">
        <w:rPr>
          <w:lang w:val="es-ES"/>
        </w:rPr>
        <w:t>fechas y la duración propuestas para las reuniones de 2024, 2025 y 2026 del Consejo y las fechas propuestas para las series de reuniones de los Grupos de Trabajo y los Grupos de Expertos del Consejo para el mismo periodo</w:t>
      </w:r>
      <w:r w:rsidRPr="00F6648A">
        <w:rPr>
          <w:szCs w:val="24"/>
          <w:lang w:val="es-ES"/>
        </w:rPr>
        <w:t xml:space="preserve"> (Document</w:t>
      </w:r>
      <w:r>
        <w:rPr>
          <w:szCs w:val="24"/>
          <w:lang w:val="es-ES"/>
        </w:rPr>
        <w:t>o</w:t>
      </w:r>
      <w:r w:rsidRPr="00F6648A">
        <w:rPr>
          <w:szCs w:val="24"/>
          <w:lang w:val="es-ES"/>
        </w:rPr>
        <w:t xml:space="preserve"> </w:t>
      </w:r>
      <w:hyperlink r:id="rId3" w:history="1">
        <w:r w:rsidRPr="00F6648A">
          <w:rPr>
            <w:rStyle w:val="Hyperlink"/>
            <w:rFonts w:eastAsia="Calibri"/>
            <w:szCs w:val="24"/>
            <w:lang w:val="es-ES"/>
          </w:rPr>
          <w:t>C23/2</w:t>
        </w:r>
      </w:hyperlink>
      <w:r w:rsidRPr="00F6648A">
        <w:rPr>
          <w:szCs w:val="24"/>
          <w:lang w:val="es-ES"/>
        </w:rPr>
        <w:t>)</w:t>
      </w:r>
      <w:r>
        <w:rPr>
          <w:szCs w:val="24"/>
          <w:lang w:val="es-ES"/>
        </w:rPr>
        <w:t>,</w:t>
      </w:r>
      <w:r w:rsidRPr="00F6648A">
        <w:rPr>
          <w:szCs w:val="24"/>
          <w:lang w:val="es-ES"/>
        </w:rPr>
        <w:t xml:space="preserve"> </w:t>
      </w:r>
      <w:r>
        <w:rPr>
          <w:szCs w:val="24"/>
          <w:lang w:val="es-ES"/>
        </w:rPr>
        <w:t>se recomienda reducir progresivamente la duración de las próximas reuniones ordinarias del Consejo y organizar una de las series anuales de</w:t>
      </w:r>
      <w:r w:rsidR="0066318B">
        <w:rPr>
          <w:szCs w:val="24"/>
          <w:lang w:val="es-ES"/>
        </w:rPr>
        <w:t xml:space="preserve"> </w:t>
      </w:r>
      <w:r>
        <w:rPr>
          <w:szCs w:val="24"/>
          <w:lang w:val="es-ES"/>
        </w:rPr>
        <w:t>los Grupos de Trabajo y Grupos de Expertos del Consejo (GTC y GE) en formato virtual</w:t>
      </w:r>
      <w:r w:rsidRPr="00F6648A">
        <w:rPr>
          <w:lang w:val="es-ES"/>
        </w:rPr>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07DE0EC" w14:textId="77777777" w:rsidTr="00E31DCE">
      <w:trPr>
        <w:trHeight w:val="1104"/>
        <w:jc w:val="center"/>
      </w:trPr>
      <w:tc>
        <w:tcPr>
          <w:tcW w:w="4390" w:type="dxa"/>
          <w:vAlign w:val="center"/>
        </w:tcPr>
        <w:p w14:paraId="7574CA7A" w14:textId="77777777" w:rsidR="001559F5" w:rsidRPr="009621F8" w:rsidRDefault="007B242D" w:rsidP="001559F5">
          <w:pPr>
            <w:pStyle w:val="Header"/>
            <w:jc w:val="left"/>
            <w:rPr>
              <w:rFonts w:ascii="Arial" w:hAnsi="Arial" w:cs="Arial"/>
              <w:b/>
              <w:bCs/>
              <w:color w:val="009CD6"/>
              <w:sz w:val="36"/>
              <w:szCs w:val="36"/>
            </w:rPr>
          </w:pPr>
          <w:bookmarkStart w:id="14" w:name="_Hlk133422111"/>
          <w:r>
            <w:rPr>
              <w:noProof/>
            </w:rPr>
            <w:drawing>
              <wp:inline distT="0" distB="0" distL="0" distR="0" wp14:anchorId="69757BFD" wp14:editId="5B22864E">
                <wp:extent cx="1952136" cy="5479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2136" cy="547985"/>
                        </a:xfrm>
                        <a:prstGeom prst="rect">
                          <a:avLst/>
                        </a:prstGeom>
                        <a:noFill/>
                        <a:ln>
                          <a:noFill/>
                        </a:ln>
                      </pic:spPr>
                    </pic:pic>
                  </a:graphicData>
                </a:graphic>
              </wp:inline>
            </w:drawing>
          </w:r>
        </w:p>
      </w:tc>
      <w:tc>
        <w:tcPr>
          <w:tcW w:w="5630" w:type="dxa"/>
        </w:tcPr>
        <w:p w14:paraId="1C889D90" w14:textId="77777777" w:rsidR="001559F5" w:rsidRDefault="001559F5" w:rsidP="001559F5">
          <w:pPr>
            <w:pStyle w:val="Header"/>
            <w:jc w:val="right"/>
            <w:rPr>
              <w:rFonts w:ascii="Arial" w:hAnsi="Arial" w:cs="Arial"/>
              <w:b/>
              <w:bCs/>
              <w:color w:val="009CD6"/>
              <w:szCs w:val="18"/>
            </w:rPr>
          </w:pPr>
        </w:p>
        <w:p w14:paraId="40115EE0" w14:textId="77777777" w:rsidR="001559F5" w:rsidRDefault="001559F5" w:rsidP="001559F5">
          <w:pPr>
            <w:pStyle w:val="Header"/>
            <w:jc w:val="right"/>
            <w:rPr>
              <w:rFonts w:ascii="Arial" w:hAnsi="Arial" w:cs="Arial"/>
              <w:b/>
              <w:bCs/>
              <w:color w:val="009CD6"/>
              <w:szCs w:val="18"/>
            </w:rPr>
          </w:pPr>
        </w:p>
        <w:p w14:paraId="75718EB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182A85B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873FAB" wp14:editId="1DA25B1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CC7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6"/>
    <w:rsid w:val="000007D1"/>
    <w:rsid w:val="00093EEB"/>
    <w:rsid w:val="000B0D00"/>
    <w:rsid w:val="000B7C15"/>
    <w:rsid w:val="000D1D0F"/>
    <w:rsid w:val="000F5290"/>
    <w:rsid w:val="0010165C"/>
    <w:rsid w:val="00146BFB"/>
    <w:rsid w:val="001559F5"/>
    <w:rsid w:val="001F14A2"/>
    <w:rsid w:val="002801AA"/>
    <w:rsid w:val="0029318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318B"/>
    <w:rsid w:val="00664572"/>
    <w:rsid w:val="006710F6"/>
    <w:rsid w:val="00677A97"/>
    <w:rsid w:val="006C1B56"/>
    <w:rsid w:val="006D4761"/>
    <w:rsid w:val="00726872"/>
    <w:rsid w:val="00760F1C"/>
    <w:rsid w:val="007657F0"/>
    <w:rsid w:val="0077252D"/>
    <w:rsid w:val="007955DA"/>
    <w:rsid w:val="007B242D"/>
    <w:rsid w:val="007E5DD3"/>
    <w:rsid w:val="007F350B"/>
    <w:rsid w:val="00820BE4"/>
    <w:rsid w:val="008451E8"/>
    <w:rsid w:val="00903506"/>
    <w:rsid w:val="00913B9C"/>
    <w:rsid w:val="00927F93"/>
    <w:rsid w:val="00956E77"/>
    <w:rsid w:val="009907E4"/>
    <w:rsid w:val="009F4811"/>
    <w:rsid w:val="00A721AB"/>
    <w:rsid w:val="00AA390C"/>
    <w:rsid w:val="00AA47AA"/>
    <w:rsid w:val="00B0200A"/>
    <w:rsid w:val="00B574DB"/>
    <w:rsid w:val="00B826C2"/>
    <w:rsid w:val="00B8298E"/>
    <w:rsid w:val="00BD0723"/>
    <w:rsid w:val="00BD2518"/>
    <w:rsid w:val="00BF1D1C"/>
    <w:rsid w:val="00C20C59"/>
    <w:rsid w:val="00C2727F"/>
    <w:rsid w:val="00C538FC"/>
    <w:rsid w:val="00C55B1F"/>
    <w:rsid w:val="00CF1A67"/>
    <w:rsid w:val="00D2750E"/>
    <w:rsid w:val="00D4219F"/>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B3374"/>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AD0C1"/>
  <w15:docId w15:val="{11BD04A5-8F0E-4391-907C-70285AB0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2/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23-CL-C-0002/en" TargetMode="External"/><Relationship Id="rId12" Type="http://schemas.openxmlformats.org/officeDocument/2006/relationships/hyperlink" Target="https://www.itu.int/md/S23-C23ADD-C-0002/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3-CL-C-0032/en" TargetMode="External"/><Relationship Id="rId11" Type="http://schemas.openxmlformats.org/officeDocument/2006/relationships/hyperlink" Target="https://www.itu.int/dms_pub/itu-t/md/22/tsag/col/T22-TSAG-COL-0003!!MSW-E.doc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3-C23ADD-C-0002/en" TargetMode="External"/><Relationship Id="rId4" Type="http://schemas.openxmlformats.org/officeDocument/2006/relationships/footnotes" Target="footnotes.xml"/><Relationship Id="rId9" Type="http://schemas.openxmlformats.org/officeDocument/2006/relationships/hyperlink" Target="https://www.itu.int/md/S23-C23ADD-C-0002/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3-CL-C-0002/en" TargetMode="External"/><Relationship Id="rId2" Type="http://schemas.openxmlformats.org/officeDocument/2006/relationships/hyperlink" Target="https://www.itu.int/md/S23-CL-C-0002/en" TargetMode="External"/><Relationship Id="rId1" Type="http://schemas.openxmlformats.org/officeDocument/2006/relationships/hyperlink" Target="https://www.itu.int/md/S23-CL-C-003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PS_Council23-ADD.dotx</Template>
  <TotalTime>3</TotalTime>
  <Pages>3</Pages>
  <Words>941</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Brouard, Ricarda</cp:lastModifiedBy>
  <cp:revision>3</cp:revision>
  <cp:lastPrinted>2006-03-24T09:51:00Z</cp:lastPrinted>
  <dcterms:created xsi:type="dcterms:W3CDTF">2023-10-10T17:03:00Z</dcterms:created>
  <dcterms:modified xsi:type="dcterms:W3CDTF">2023-10-10T17:05:00Z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