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707532" w14:paraId="4DBDFC69" w14:textId="77777777" w:rsidTr="00D72F49">
        <w:trPr>
          <w:cantSplit/>
          <w:trHeight w:val="23"/>
        </w:trPr>
        <w:tc>
          <w:tcPr>
            <w:tcW w:w="3969" w:type="dxa"/>
            <w:vMerge w:val="restart"/>
            <w:tcMar>
              <w:left w:w="0" w:type="dxa"/>
            </w:tcMar>
          </w:tcPr>
          <w:p w14:paraId="23BB9391" w14:textId="09349FED" w:rsidR="00D72F49" w:rsidRPr="00707532" w:rsidRDefault="00D72F49" w:rsidP="00D72F49">
            <w:pPr>
              <w:tabs>
                <w:tab w:val="left" w:pos="851"/>
              </w:tabs>
              <w:spacing w:before="0" w:line="240" w:lineRule="atLeast"/>
              <w:rPr>
                <w:b/>
              </w:rPr>
            </w:pPr>
            <w:r w:rsidRPr="00707532">
              <w:rPr>
                <w:b/>
              </w:rPr>
              <w:t xml:space="preserve">Point de l'ordre du jour: </w:t>
            </w:r>
            <w:r w:rsidR="00707532" w:rsidRPr="00707532">
              <w:rPr>
                <w:b/>
              </w:rPr>
              <w:t>PL</w:t>
            </w:r>
          </w:p>
        </w:tc>
        <w:tc>
          <w:tcPr>
            <w:tcW w:w="5245" w:type="dxa"/>
          </w:tcPr>
          <w:p w14:paraId="6E18F00C" w14:textId="634C8C52" w:rsidR="00D72F49" w:rsidRPr="00707532" w:rsidRDefault="00D72F49" w:rsidP="00D72F49">
            <w:pPr>
              <w:tabs>
                <w:tab w:val="left" w:pos="851"/>
              </w:tabs>
              <w:spacing w:before="0" w:line="240" w:lineRule="atLeast"/>
              <w:jc w:val="right"/>
              <w:rPr>
                <w:b/>
              </w:rPr>
            </w:pPr>
            <w:r w:rsidRPr="00707532">
              <w:rPr>
                <w:b/>
              </w:rPr>
              <w:t>Document C23</w:t>
            </w:r>
            <w:r w:rsidR="00E63114">
              <w:rPr>
                <w:b/>
              </w:rPr>
              <w:t>-ADD</w:t>
            </w:r>
            <w:r w:rsidRPr="00707532">
              <w:rPr>
                <w:b/>
              </w:rPr>
              <w:t>/</w:t>
            </w:r>
            <w:r w:rsidR="00707532" w:rsidRPr="00707532">
              <w:rPr>
                <w:b/>
              </w:rPr>
              <w:t>6</w:t>
            </w:r>
            <w:r w:rsidRPr="00707532">
              <w:rPr>
                <w:b/>
              </w:rPr>
              <w:t>-F</w:t>
            </w:r>
          </w:p>
        </w:tc>
      </w:tr>
      <w:tr w:rsidR="00D72F49" w:rsidRPr="00707532" w14:paraId="1A9173E6" w14:textId="77777777" w:rsidTr="00D72F49">
        <w:trPr>
          <w:cantSplit/>
        </w:trPr>
        <w:tc>
          <w:tcPr>
            <w:tcW w:w="3969" w:type="dxa"/>
            <w:vMerge/>
          </w:tcPr>
          <w:p w14:paraId="0C893252" w14:textId="77777777" w:rsidR="00D72F49" w:rsidRPr="00707532" w:rsidRDefault="00D72F49" w:rsidP="00D72F49">
            <w:pPr>
              <w:tabs>
                <w:tab w:val="left" w:pos="851"/>
              </w:tabs>
              <w:spacing w:line="240" w:lineRule="atLeast"/>
              <w:rPr>
                <w:b/>
              </w:rPr>
            </w:pPr>
          </w:p>
        </w:tc>
        <w:tc>
          <w:tcPr>
            <w:tcW w:w="5245" w:type="dxa"/>
          </w:tcPr>
          <w:p w14:paraId="065C3608" w14:textId="5E290B9A" w:rsidR="00D72F49" w:rsidRPr="00707532" w:rsidRDefault="00707532" w:rsidP="00D72F49">
            <w:pPr>
              <w:tabs>
                <w:tab w:val="left" w:pos="851"/>
              </w:tabs>
              <w:spacing w:before="0"/>
              <w:jc w:val="right"/>
              <w:rPr>
                <w:b/>
              </w:rPr>
            </w:pPr>
            <w:r w:rsidRPr="00707532">
              <w:rPr>
                <w:b/>
              </w:rPr>
              <w:t>2 octobre</w:t>
            </w:r>
            <w:r w:rsidR="00D72F49" w:rsidRPr="00707532">
              <w:rPr>
                <w:b/>
              </w:rPr>
              <w:t xml:space="preserve"> 2023</w:t>
            </w:r>
          </w:p>
        </w:tc>
      </w:tr>
      <w:tr w:rsidR="00D72F49" w:rsidRPr="00707532" w14:paraId="69A274E7" w14:textId="77777777" w:rsidTr="00D72F49">
        <w:trPr>
          <w:cantSplit/>
          <w:trHeight w:val="23"/>
        </w:trPr>
        <w:tc>
          <w:tcPr>
            <w:tcW w:w="3969" w:type="dxa"/>
            <w:vMerge/>
          </w:tcPr>
          <w:p w14:paraId="591811B9" w14:textId="77777777" w:rsidR="00D72F49" w:rsidRPr="00707532" w:rsidRDefault="00D72F49" w:rsidP="00D72F49">
            <w:pPr>
              <w:tabs>
                <w:tab w:val="left" w:pos="851"/>
              </w:tabs>
              <w:spacing w:line="240" w:lineRule="atLeast"/>
              <w:rPr>
                <w:b/>
              </w:rPr>
            </w:pPr>
          </w:p>
        </w:tc>
        <w:tc>
          <w:tcPr>
            <w:tcW w:w="5245" w:type="dxa"/>
          </w:tcPr>
          <w:p w14:paraId="0B6CD7E0" w14:textId="4FA13696" w:rsidR="00D72F49" w:rsidRPr="00707532" w:rsidRDefault="00D72F49" w:rsidP="00D72F49">
            <w:pPr>
              <w:tabs>
                <w:tab w:val="left" w:pos="851"/>
              </w:tabs>
              <w:spacing w:before="0" w:line="240" w:lineRule="atLeast"/>
              <w:jc w:val="right"/>
              <w:rPr>
                <w:b/>
              </w:rPr>
            </w:pPr>
            <w:r w:rsidRPr="00707532">
              <w:rPr>
                <w:b/>
              </w:rPr>
              <w:t xml:space="preserve">Original: </w:t>
            </w:r>
            <w:r w:rsidR="00707532" w:rsidRPr="00707532">
              <w:rPr>
                <w:b/>
              </w:rPr>
              <w:t>russe</w:t>
            </w:r>
          </w:p>
        </w:tc>
      </w:tr>
      <w:tr w:rsidR="00D72F49" w:rsidRPr="00707532" w14:paraId="18AD73D7" w14:textId="77777777" w:rsidTr="00D72F49">
        <w:trPr>
          <w:cantSplit/>
          <w:trHeight w:val="23"/>
        </w:trPr>
        <w:tc>
          <w:tcPr>
            <w:tcW w:w="3969" w:type="dxa"/>
          </w:tcPr>
          <w:p w14:paraId="186BBB88" w14:textId="77777777" w:rsidR="00D72F49" w:rsidRPr="00707532" w:rsidRDefault="00D72F49" w:rsidP="00D72F49">
            <w:pPr>
              <w:tabs>
                <w:tab w:val="left" w:pos="851"/>
              </w:tabs>
              <w:spacing w:line="240" w:lineRule="atLeast"/>
              <w:rPr>
                <w:b/>
              </w:rPr>
            </w:pPr>
          </w:p>
        </w:tc>
        <w:tc>
          <w:tcPr>
            <w:tcW w:w="5245" w:type="dxa"/>
          </w:tcPr>
          <w:p w14:paraId="7805FC50" w14:textId="77777777" w:rsidR="00D72F49" w:rsidRPr="00707532" w:rsidRDefault="00D72F49" w:rsidP="00D72F49">
            <w:pPr>
              <w:tabs>
                <w:tab w:val="left" w:pos="851"/>
              </w:tabs>
              <w:spacing w:before="0" w:line="240" w:lineRule="atLeast"/>
              <w:jc w:val="right"/>
              <w:rPr>
                <w:b/>
              </w:rPr>
            </w:pPr>
          </w:p>
        </w:tc>
      </w:tr>
      <w:tr w:rsidR="00D72F49" w:rsidRPr="00707532" w14:paraId="5F811A67" w14:textId="77777777" w:rsidTr="00D72F49">
        <w:trPr>
          <w:cantSplit/>
        </w:trPr>
        <w:tc>
          <w:tcPr>
            <w:tcW w:w="9214" w:type="dxa"/>
            <w:gridSpan w:val="2"/>
            <w:tcMar>
              <w:left w:w="0" w:type="dxa"/>
            </w:tcMar>
          </w:tcPr>
          <w:p w14:paraId="5141AC70" w14:textId="129CE77E" w:rsidR="00D72F49" w:rsidRPr="00707532" w:rsidRDefault="00DB4135" w:rsidP="00D72F49">
            <w:pPr>
              <w:pStyle w:val="Source"/>
              <w:jc w:val="left"/>
              <w:rPr>
                <w:sz w:val="34"/>
                <w:szCs w:val="34"/>
              </w:rPr>
            </w:pPr>
            <w:r w:rsidRPr="00707532">
              <w:rPr>
                <w:sz w:val="34"/>
                <w:szCs w:val="34"/>
              </w:rPr>
              <w:t>Contribution de la Fédération de Russie</w:t>
            </w:r>
          </w:p>
        </w:tc>
      </w:tr>
      <w:tr w:rsidR="00D72F49" w:rsidRPr="00707532" w14:paraId="5E576FE2" w14:textId="77777777" w:rsidTr="00D72F49">
        <w:trPr>
          <w:cantSplit/>
        </w:trPr>
        <w:tc>
          <w:tcPr>
            <w:tcW w:w="9214" w:type="dxa"/>
            <w:gridSpan w:val="2"/>
            <w:tcMar>
              <w:left w:w="0" w:type="dxa"/>
            </w:tcMar>
          </w:tcPr>
          <w:p w14:paraId="76DED9D3" w14:textId="0EC1D686" w:rsidR="00D72F49" w:rsidRPr="00707532" w:rsidRDefault="00DB4135" w:rsidP="00D72F49">
            <w:pPr>
              <w:pStyle w:val="Subtitle"/>
              <w:framePr w:hSpace="0" w:wrap="auto" w:hAnchor="text" w:xAlign="left" w:yAlign="inline"/>
              <w:rPr>
                <w:lang w:val="fr-FR"/>
              </w:rPr>
            </w:pPr>
            <w:r w:rsidRPr="00707532">
              <w:rPr>
                <w:lang w:val="fr-FR"/>
              </w:rPr>
              <w:t>DATES ET DURÉE DES SESSIONS DE 2024, 2025 ET 2026 DU CONSEIL ET DATES DES SÉRIES DE RÉUNIONS DES GROUPES DE TRAVAIL DU CONSEIL ET DES GROUPES D'EXPERTS POUR LA MÊME PÉRIODE ET DE LA RÉUNION DE JANVIER 2024 DU GROUPE CONSULTATIF DE LA NORMALISATION DES TÉLÉCOMMUNICATIONS</w:t>
            </w:r>
          </w:p>
        </w:tc>
      </w:tr>
      <w:tr w:rsidR="00D72F49" w:rsidRPr="00707532" w14:paraId="57D5E946" w14:textId="77777777" w:rsidTr="00D72F49">
        <w:trPr>
          <w:cantSplit/>
        </w:trPr>
        <w:tc>
          <w:tcPr>
            <w:tcW w:w="9214" w:type="dxa"/>
            <w:gridSpan w:val="2"/>
            <w:tcBorders>
              <w:top w:val="single" w:sz="4" w:space="0" w:color="auto"/>
              <w:bottom w:val="single" w:sz="4" w:space="0" w:color="auto"/>
            </w:tcBorders>
            <w:tcMar>
              <w:left w:w="0" w:type="dxa"/>
            </w:tcMar>
          </w:tcPr>
          <w:p w14:paraId="5B6C113C" w14:textId="3D4F7BF7" w:rsidR="00D72F49" w:rsidRPr="00707532" w:rsidRDefault="00EF2CB4" w:rsidP="00D72F49">
            <w:pPr>
              <w:spacing w:before="160"/>
              <w:rPr>
                <w:b/>
                <w:bCs/>
                <w:sz w:val="26"/>
                <w:szCs w:val="26"/>
              </w:rPr>
            </w:pPr>
            <w:r w:rsidRPr="00707532">
              <w:rPr>
                <w:b/>
                <w:bCs/>
                <w:sz w:val="26"/>
                <w:szCs w:val="26"/>
              </w:rPr>
              <w:t>Objet</w:t>
            </w:r>
          </w:p>
          <w:p w14:paraId="5BDE065C" w14:textId="09EF4319" w:rsidR="00D72F49" w:rsidRPr="00707532" w:rsidRDefault="00DB4135" w:rsidP="00D72F49">
            <w:r w:rsidRPr="00707532">
              <w:t>L'Administration de la Fédération de Russie invite le Conseil de l'UIT à examiner ses observations concernant les dates et la durée proposées par la Secrétaire générale de l'UIT pour les sessions de 2024, 2025 et 2026 du Conseil et les séries de réunions des Groupes de travail du Conseil et des Groupes d'experts pour la même période, ainsi que les dates de la réunion de janvier 2024 du Groupe consultatif de la normalisation des télécommunications, et à approuver les recommandations adressées à la Secrétaire générale à cet égard.</w:t>
            </w:r>
          </w:p>
          <w:p w14:paraId="6FA6CFE9" w14:textId="77777777" w:rsidR="00D72F49" w:rsidRPr="00707532" w:rsidRDefault="00D72F49" w:rsidP="00D72F49">
            <w:pPr>
              <w:spacing w:before="160"/>
              <w:rPr>
                <w:b/>
                <w:bCs/>
                <w:sz w:val="26"/>
                <w:szCs w:val="26"/>
              </w:rPr>
            </w:pPr>
            <w:r w:rsidRPr="00707532">
              <w:rPr>
                <w:b/>
                <w:bCs/>
                <w:sz w:val="26"/>
                <w:szCs w:val="26"/>
              </w:rPr>
              <w:t>Suite à donner par le Conseil</w:t>
            </w:r>
          </w:p>
          <w:p w14:paraId="6D830B56" w14:textId="62FC356F" w:rsidR="00D72F49" w:rsidRPr="00707532" w:rsidRDefault="00DB4135" w:rsidP="00D72F49">
            <w:r w:rsidRPr="00707532">
              <w:t>Le Conseil est invité à examiner les propositions figurant dans la présente contribution et à adopter les recommandations correspondantes adressées à la Secrétaire générale.</w:t>
            </w:r>
          </w:p>
          <w:p w14:paraId="5218999B" w14:textId="77777777" w:rsidR="00D72F49" w:rsidRPr="00707532" w:rsidRDefault="00D72F49" w:rsidP="00D72F49">
            <w:pPr>
              <w:spacing w:before="160"/>
              <w:rPr>
                <w:caps/>
                <w:sz w:val="22"/>
              </w:rPr>
            </w:pPr>
            <w:r w:rsidRPr="00707532">
              <w:rPr>
                <w:sz w:val="22"/>
              </w:rPr>
              <w:t>__________________</w:t>
            </w:r>
          </w:p>
          <w:p w14:paraId="14C9B537" w14:textId="77777777" w:rsidR="00D72F49" w:rsidRPr="00707532" w:rsidRDefault="00D72F49" w:rsidP="00D72F49">
            <w:pPr>
              <w:spacing w:before="160"/>
              <w:rPr>
                <w:b/>
                <w:bCs/>
                <w:sz w:val="26"/>
                <w:szCs w:val="26"/>
              </w:rPr>
            </w:pPr>
            <w:r w:rsidRPr="00707532">
              <w:rPr>
                <w:b/>
                <w:bCs/>
                <w:sz w:val="26"/>
                <w:szCs w:val="26"/>
              </w:rPr>
              <w:t>Références</w:t>
            </w:r>
          </w:p>
          <w:p w14:paraId="1939C20B" w14:textId="6A9F00FA" w:rsidR="00D72F49" w:rsidRPr="00707532" w:rsidRDefault="00DB4135" w:rsidP="00E63114">
            <w:pPr>
              <w:spacing w:after="120"/>
            </w:pPr>
            <w:r w:rsidRPr="00707532">
              <w:rPr>
                <w:i/>
                <w:iCs/>
              </w:rPr>
              <w:t>Rapport de la Secrétaire générale sur l'amélioration des travaux du Conseil (Document </w:t>
            </w:r>
            <w:hyperlink r:id="rId6" w:history="1">
              <w:r w:rsidRPr="00707532">
                <w:rPr>
                  <w:rStyle w:val="Hyperlink"/>
                  <w:i/>
                  <w:iCs/>
                </w:rPr>
                <w:t>С23/32</w:t>
              </w:r>
            </w:hyperlink>
            <w:r w:rsidRPr="00707532">
              <w:rPr>
                <w:i/>
                <w:iCs/>
              </w:rPr>
              <w:t>)</w:t>
            </w:r>
            <w:r w:rsidR="00E63114">
              <w:rPr>
                <w:i/>
                <w:iCs/>
              </w:rPr>
              <w:br/>
            </w:r>
            <w:r w:rsidRPr="00707532">
              <w:rPr>
                <w:i/>
                <w:iCs/>
              </w:rPr>
              <w:t>Rapport de la Secrétaire générale sur les dates et la durée proposées pour les sessions de</w:t>
            </w:r>
            <w:r w:rsidR="00707532">
              <w:rPr>
                <w:i/>
                <w:iCs/>
              </w:rPr>
              <w:t> </w:t>
            </w:r>
            <w:r w:rsidRPr="00707532">
              <w:rPr>
                <w:i/>
                <w:iCs/>
              </w:rPr>
              <w:t>2024, 2025 et 2026 du Conseil et les dates proposées pour les séries de réunions des Groupes de travail du Conseil et des Groupes d'experts pour la même période (Document</w:t>
            </w:r>
            <w:r w:rsidR="00E63114">
              <w:rPr>
                <w:i/>
                <w:iCs/>
              </w:rPr>
              <w:t> </w:t>
            </w:r>
            <w:hyperlink r:id="rId7" w:history="1">
              <w:r w:rsidRPr="00707532">
                <w:rPr>
                  <w:rStyle w:val="Hyperlink"/>
                  <w:i/>
                  <w:iCs/>
                </w:rPr>
                <w:t>С23/2</w:t>
              </w:r>
            </w:hyperlink>
            <w:r w:rsidRPr="00707532">
              <w:rPr>
                <w:i/>
                <w:iCs/>
              </w:rPr>
              <w:t>)</w:t>
            </w:r>
            <w:r w:rsidR="00E63114">
              <w:rPr>
                <w:i/>
                <w:iCs/>
              </w:rPr>
              <w:br/>
            </w:r>
            <w:r w:rsidRPr="00707532">
              <w:rPr>
                <w:i/>
                <w:iCs/>
              </w:rPr>
              <w:t xml:space="preserve">Document </w:t>
            </w:r>
            <w:hyperlink r:id="rId8" w:history="1">
              <w:r w:rsidRPr="00707532">
                <w:rPr>
                  <w:rStyle w:val="Hyperlink"/>
                  <w:i/>
                  <w:iCs/>
                </w:rPr>
                <w:t>С23-ADD/2</w:t>
              </w:r>
            </w:hyperlink>
            <w:r w:rsidRPr="00707532">
              <w:rPr>
                <w:i/>
                <w:iCs/>
              </w:rPr>
              <w:t xml:space="preserve"> soumis à la session additionnelle du Conseil de 2023</w:t>
            </w:r>
          </w:p>
        </w:tc>
      </w:tr>
    </w:tbl>
    <w:p w14:paraId="28294A10" w14:textId="77777777" w:rsidR="00A51849" w:rsidRPr="00707532" w:rsidRDefault="00A51849">
      <w:pPr>
        <w:tabs>
          <w:tab w:val="clear" w:pos="567"/>
          <w:tab w:val="clear" w:pos="1134"/>
          <w:tab w:val="clear" w:pos="1701"/>
          <w:tab w:val="clear" w:pos="2268"/>
          <w:tab w:val="clear" w:pos="2835"/>
        </w:tabs>
        <w:overflowPunct/>
        <w:autoSpaceDE/>
        <w:autoSpaceDN/>
        <w:adjustRightInd/>
        <w:spacing w:before="0"/>
        <w:textAlignment w:val="auto"/>
      </w:pPr>
      <w:r w:rsidRPr="00707532">
        <w:br w:type="page"/>
      </w:r>
    </w:p>
    <w:p w14:paraId="024B7323" w14:textId="77777777" w:rsidR="00DB4135" w:rsidRPr="00707532" w:rsidRDefault="00DB4135" w:rsidP="00DB4135">
      <w:pPr>
        <w:pStyle w:val="Heading1"/>
        <w:tabs>
          <w:tab w:val="clear" w:pos="1701"/>
          <w:tab w:val="clear" w:pos="2268"/>
          <w:tab w:val="clear" w:pos="2835"/>
          <w:tab w:val="left" w:pos="5340"/>
        </w:tabs>
      </w:pPr>
      <w:r w:rsidRPr="00707532">
        <w:lastRenderedPageBreak/>
        <w:t>1</w:t>
      </w:r>
      <w:r w:rsidRPr="00707532">
        <w:tab/>
        <w:t>Considérations générales</w:t>
      </w:r>
    </w:p>
    <w:p w14:paraId="238CAD0E" w14:textId="77777777" w:rsidR="00DB4135" w:rsidRPr="00707532" w:rsidRDefault="00DB4135" w:rsidP="00DB4135">
      <w:bookmarkStart w:id="0" w:name="lt_pId022"/>
      <w:r w:rsidRPr="00707532">
        <w:t>Durant la session ordinaire de 2023 du Conseil de l'UIT, le Secrétariat a proposé d'envisager de raccourcir la durée des sessions de 2024, 2025 et 2026 du Conseil et d'organiser chaque année une série de réunions des Groupes de travail du Conseil et des Groupes d'experts (GTC et EG) dans un format virtuel</w:t>
      </w:r>
      <w:r w:rsidRPr="00E63114">
        <w:rPr>
          <w:rStyle w:val="FootnoteReference"/>
        </w:rPr>
        <w:footnoteReference w:id="1"/>
      </w:r>
      <w:r w:rsidRPr="00707532">
        <w:t>.</w:t>
      </w:r>
      <w:bookmarkEnd w:id="0"/>
    </w:p>
    <w:p w14:paraId="66D7B36C" w14:textId="77777777" w:rsidR="00DB4135" w:rsidRPr="00707532" w:rsidRDefault="00DB4135" w:rsidP="00DB4135">
      <w:bookmarkStart w:id="2" w:name="lt_pId023"/>
      <w:r w:rsidRPr="00707532">
        <w:t>Ces propositions ont suscité un débat animé, qui n'a pas abouti à un consensus sur l'opportunité de décider de raccourcir la durée des trois prochaines sessions du Conseil ou d'organiser une série de réunions des GTC et EG de manière virtuelle.</w:t>
      </w:r>
      <w:bookmarkEnd w:id="2"/>
    </w:p>
    <w:p w14:paraId="7C0B360F" w14:textId="764143C2" w:rsidR="00DB4135" w:rsidRPr="00707532" w:rsidRDefault="00DB4135" w:rsidP="00DB4135">
      <w:bookmarkStart w:id="3" w:name="lt_pId024"/>
      <w:r w:rsidRPr="00707532">
        <w:t xml:space="preserve">Le Document </w:t>
      </w:r>
      <w:hyperlink r:id="rId9" w:history="1">
        <w:r w:rsidRPr="00707532">
          <w:rPr>
            <w:color w:val="0563C1"/>
            <w:u w:val="single"/>
          </w:rPr>
          <w:t>C23-ADD/2</w:t>
        </w:r>
      </w:hyperlink>
      <w:r w:rsidRPr="00707532">
        <w:t xml:space="preserve"> soumis à la session additionnelle du Conseil de 2023 contient les propositions actualisées du Secrétariat concernant les dates et la durée des sessions de 2024, 2025 et 2026 du Conseil, ainsi que les dates et formats proposés pour la série de réunions des GTC et EG durant la même période.</w:t>
      </w:r>
      <w:bookmarkEnd w:id="3"/>
    </w:p>
    <w:p w14:paraId="5525D901" w14:textId="77777777" w:rsidR="00DB4135" w:rsidRPr="00707532" w:rsidRDefault="00DB4135" w:rsidP="00DB4135">
      <w:pPr>
        <w:rPr>
          <w:highlight w:val="yellow"/>
        </w:rPr>
      </w:pPr>
      <w:bookmarkStart w:id="4" w:name="lt_pId025"/>
      <w:r w:rsidRPr="00707532">
        <w:t>La Fédération de Russie se félicite de la proposition du Secrétariat consistant à tenir les sessions de 2024, 2025 et 2026 du Conseil sur neuf jours et à des dates qui tiennent compte des grandes fêtes religieuses et de la disponibilité du Centre international de conférences de Genève (CICG) pendant la phase de démolition et de construction initiale prévue dans le projet de locaux du siège</w:t>
      </w:r>
      <w:bookmarkEnd w:id="4"/>
      <w:r w:rsidRPr="00707532">
        <w:t>.</w:t>
      </w:r>
    </w:p>
    <w:p w14:paraId="2802E96F" w14:textId="56B18265" w:rsidR="00DB4135" w:rsidRPr="00707532" w:rsidRDefault="00DB4135" w:rsidP="00DB4135">
      <w:bookmarkStart w:id="5" w:name="lt_pId026"/>
      <w:r w:rsidRPr="00707532">
        <w:t xml:space="preserve">Le Document </w:t>
      </w:r>
      <w:hyperlink r:id="rId10" w:history="1">
        <w:r w:rsidRPr="00707532">
          <w:rPr>
            <w:color w:val="0563C1"/>
            <w:u w:val="single"/>
          </w:rPr>
          <w:t>C23-ADD/2</w:t>
        </w:r>
      </w:hyperlink>
      <w:r w:rsidRPr="00707532">
        <w:t xml:space="preserve"> soumis à la session additionnelle du Conseil de l'UIT de 2023, publié le 18 septembre 2023, contient une proposition visant à organiser une série de réunions des GTC du 22 janvier au 2 février 2024, tandis que dans la </w:t>
      </w:r>
      <w:hyperlink r:id="rId11" w:history="1">
        <w:r w:rsidRPr="00707532">
          <w:rPr>
            <w:rStyle w:val="Hyperlink"/>
          </w:rPr>
          <w:t>Lettre collective 3</w:t>
        </w:r>
      </w:hyperlink>
      <w:r w:rsidRPr="00707532">
        <w:t xml:space="preserve"> du Bureau de la normalisation des télécommunications (TSB) en date du 22 septembre 2023, il est indiqué que la réunion du Groupe consultatif de la normalisation des télécommunications (GCNT) se tiendra du 22 au 26 janvier 2024.</w:t>
      </w:r>
      <w:bookmarkEnd w:id="5"/>
    </w:p>
    <w:p w14:paraId="12C21AA6" w14:textId="77777777" w:rsidR="00DB4135" w:rsidRPr="00707532" w:rsidRDefault="00DB4135" w:rsidP="00707532">
      <w:pPr>
        <w:pStyle w:val="Heading1"/>
      </w:pPr>
      <w:r w:rsidRPr="00707532">
        <w:t>2</w:t>
      </w:r>
      <w:r w:rsidRPr="00707532">
        <w:tab/>
        <w:t>Justification</w:t>
      </w:r>
    </w:p>
    <w:p w14:paraId="3B85052E" w14:textId="7D64F996" w:rsidR="00DB4135" w:rsidRPr="00707532" w:rsidRDefault="00DB4135" w:rsidP="00DB4135">
      <w:r w:rsidRPr="00707532">
        <w:t>2.1</w:t>
      </w:r>
      <w:r w:rsidRPr="00707532">
        <w:tab/>
      </w:r>
      <w:bookmarkStart w:id="6" w:name="lt_pId030"/>
      <w:r w:rsidRPr="00707532">
        <w:t xml:space="preserve">Compte tenu des discussions particulièrement animées concernant la proposition du Secrétariat visant à raccourcir la durée des sessions du Conseil et à organiser une série de réunions des GTC et EG sous forme virtuelle, et des divergences de vues exprimées par les participants au débat durant la session ordinaire de 2023 du Conseil, et dans la mesure où </w:t>
      </w:r>
      <w:r w:rsidRPr="00707532">
        <w:lastRenderedPageBreak/>
        <w:t xml:space="preserve">une décision de cette envergure aurait des incidences pour tous les États Membres de l'Union, </w:t>
      </w:r>
      <w:bookmarkEnd w:id="6"/>
      <w:r w:rsidRPr="00707532">
        <w:t>il conviendrait de mener des consultations concernant la nécessité et l'opportunité d'une telle décision auprès d'une base plus large et transparente, comprenant tous les États</w:t>
      </w:r>
      <w:r w:rsidR="00707532" w:rsidRPr="00707532">
        <w:t> </w:t>
      </w:r>
      <w:r w:rsidRPr="00707532">
        <w:t>Membres de l'UIT et conformément au numéro 28 de l'article 3 de la Constitution de l'Union, et non pas auprès d'un nombre restreint d'États Membres du Conseil.</w:t>
      </w:r>
    </w:p>
    <w:p w14:paraId="79249C5C" w14:textId="79A158B9" w:rsidR="00DB4135" w:rsidRPr="00707532" w:rsidRDefault="00DB4135" w:rsidP="00DB4135">
      <w:pPr>
        <w:rPr>
          <w:rFonts w:cs="Calibri"/>
          <w:b/>
        </w:rPr>
      </w:pPr>
      <w:r w:rsidRPr="00707532">
        <w:t>2.2</w:t>
      </w:r>
      <w:r w:rsidRPr="00707532">
        <w:tab/>
      </w:r>
      <w:bookmarkStart w:id="7" w:name="lt_pId032"/>
      <w:r w:rsidRPr="00707532">
        <w:t xml:space="preserve">Il ressort d'une analyse du Document </w:t>
      </w:r>
      <w:hyperlink r:id="rId12" w:history="1">
        <w:r w:rsidRPr="00707532">
          <w:rPr>
            <w:color w:val="0563C1"/>
            <w:u w:val="single"/>
          </w:rPr>
          <w:t>C23-ADD/2</w:t>
        </w:r>
      </w:hyperlink>
      <w:r w:rsidRPr="00707532">
        <w:t xml:space="preserve"> que les dates proposées pour la série de réunions des GTC prévue en janvier 2024 se chevauchent avec celles de la réunion du</w:t>
      </w:r>
      <w:r w:rsidR="00707532" w:rsidRPr="00707532">
        <w:t> </w:t>
      </w:r>
      <w:r w:rsidRPr="00707532">
        <w:t>GCNT.</w:t>
      </w:r>
      <w:bookmarkEnd w:id="7"/>
    </w:p>
    <w:p w14:paraId="0C8F6FC9" w14:textId="3567F425" w:rsidR="00DB4135" w:rsidRPr="00707532" w:rsidRDefault="00DB4135" w:rsidP="00DB4135">
      <w:bookmarkStart w:id="8" w:name="lt_pId033"/>
      <w:r w:rsidRPr="00707532">
        <w:t xml:space="preserve">Cette pratique s'inscrit dans la tendance continue qui consiste à organiser les réunions des GTC et celles des groupes consultatifs des Secteurs en parallèle. La Conférence de plénipotentiaires a attiré l'attention sur cette pratique, en particulier dans le point 13 du </w:t>
      </w:r>
      <w:r w:rsidRPr="00707532">
        <w:rPr>
          <w:i/>
          <w:iCs/>
        </w:rPr>
        <w:t xml:space="preserve">décide </w:t>
      </w:r>
      <w:r w:rsidRPr="00707532">
        <w:t>de la Décision 11 (Rév. Bucarest, 2022), en vertu duquel elle a décidé que les réunions des GTC ne se tiendraient pas pendant les grandes conférences et assemblées de l'Union ou lors des réunions des groupes consultatifs des Secteurs</w:t>
      </w:r>
      <w:bookmarkStart w:id="9" w:name="lt_pId034"/>
      <w:bookmarkEnd w:id="8"/>
      <w:r w:rsidRPr="00707532">
        <w:t>.</w:t>
      </w:r>
      <w:bookmarkEnd w:id="9"/>
      <w:r w:rsidRPr="00707532">
        <w:t xml:space="preserve"> Par conséquent, la proposition d'organiser une série de réunions des GTC du 22 janvier au 2 février 2024 va à l'encontre de la Décision</w:t>
      </w:r>
      <w:r w:rsidR="00707532" w:rsidRPr="00707532">
        <w:t> </w:t>
      </w:r>
      <w:r w:rsidRPr="00707532">
        <w:t>11 (Rév. Bucarest, 2022) de la Conférence de plénipotentiaires.</w:t>
      </w:r>
    </w:p>
    <w:p w14:paraId="75C016F5" w14:textId="77777777" w:rsidR="00DB4135" w:rsidRPr="00707532" w:rsidRDefault="00DB4135" w:rsidP="00DB4135">
      <w:pPr>
        <w:pStyle w:val="Heading1"/>
      </w:pPr>
      <w:r w:rsidRPr="00707532">
        <w:t>3</w:t>
      </w:r>
      <w:r w:rsidRPr="00707532">
        <w:tab/>
        <w:t>Proposition</w:t>
      </w:r>
    </w:p>
    <w:p w14:paraId="653DA3E5" w14:textId="77777777" w:rsidR="00DB4135" w:rsidRPr="00707532" w:rsidRDefault="00DB4135" w:rsidP="00762558">
      <w:r w:rsidRPr="00707532">
        <w:t>Compte tenu de ce qui précède, la Fédération de Russie propose au Conseil:</w:t>
      </w:r>
    </w:p>
    <w:p w14:paraId="08C581CE" w14:textId="77777777" w:rsidR="00DB4135" w:rsidRPr="00707532" w:rsidRDefault="00DB4135" w:rsidP="00DB4135">
      <w:pPr>
        <w:pStyle w:val="enumlev1"/>
      </w:pPr>
      <w:r w:rsidRPr="00707532">
        <w:t>1)</w:t>
      </w:r>
      <w:r w:rsidRPr="00707532">
        <w:tab/>
      </w:r>
      <w:bookmarkStart w:id="10" w:name="lt_pId040"/>
      <w:r w:rsidRPr="00707532">
        <w:t>si une décision concernant tous les États Membres doit être prise, de mener des consultations concernant la nécessité et l'opportunité d'une telle décision auprès d'une base plus large et transparente, comprenant tous les États Membres de l'UIT et conformément au numéro 28 de l'article 3 de la Constitution de l'UIT, et non pas auprès d'un nombre restreint d'États Membres du Conseil;</w:t>
      </w:r>
      <w:bookmarkEnd w:id="10"/>
    </w:p>
    <w:p w14:paraId="1C1167BF" w14:textId="4F645A6E" w:rsidR="00DB4135" w:rsidRPr="00707532" w:rsidRDefault="00DB4135" w:rsidP="00DB4135">
      <w:pPr>
        <w:pStyle w:val="enumlev1"/>
        <w:rPr>
          <w:rPrChange w:id="11" w:author="Author">
            <w:rPr>
              <w:lang w:val="en-GB"/>
            </w:rPr>
          </w:rPrChange>
        </w:rPr>
      </w:pPr>
      <w:r w:rsidRPr="00707532">
        <w:t>2)</w:t>
      </w:r>
      <w:r w:rsidRPr="00707532">
        <w:tab/>
      </w:r>
      <w:bookmarkStart w:id="12" w:name="lt_pId042"/>
      <w:r w:rsidRPr="00707532">
        <w:t>de recommander à la Secrétaire générale de consulter le TSB afin d'éviter tout chevauchement entre les dates des réunions des GTC et du GCNT.</w:t>
      </w:r>
      <w:bookmarkEnd w:id="12"/>
    </w:p>
    <w:p w14:paraId="619FB5CA" w14:textId="77777777" w:rsidR="00707532" w:rsidRDefault="00707532">
      <w:pPr>
        <w:jc w:val="center"/>
      </w:pPr>
      <w:r w:rsidRPr="00707532">
        <w:t>______________</w:t>
      </w:r>
    </w:p>
    <w:sectPr w:rsidR="00707532" w:rsidSect="00D72F49">
      <w:headerReference w:type="even" r:id="rId13"/>
      <w:footerReference w:type="even" r:id="rId14"/>
      <w:footerReference w:type="default" r:id="rId15"/>
      <w:headerReference w:type="first" r:id="rId16"/>
      <w:footerReference w:type="first" r:id="rId17"/>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2DD40" w14:textId="77777777" w:rsidR="00486A04" w:rsidRPr="00707532" w:rsidRDefault="00486A04">
      <w:r w:rsidRPr="00707532">
        <w:separator/>
      </w:r>
    </w:p>
  </w:endnote>
  <w:endnote w:type="continuationSeparator" w:id="0">
    <w:p w14:paraId="5F6AB1E4" w14:textId="77777777" w:rsidR="00486A04" w:rsidRPr="00707532" w:rsidRDefault="00486A04">
      <w:r w:rsidRPr="007075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2A03" w14:textId="5DF6F3E0" w:rsidR="00732045" w:rsidRPr="00707532" w:rsidRDefault="00A84E3D">
    <w:pPr>
      <w:pStyle w:val="Footer"/>
      <w:rPr>
        <w:noProof w:val="0"/>
      </w:rPr>
    </w:pPr>
    <w:r w:rsidRPr="00707532">
      <w:rPr>
        <w:noProof w:val="0"/>
      </w:rPr>
      <w:fldChar w:fldCharType="begin"/>
    </w:r>
    <w:r w:rsidRPr="00707532">
      <w:rPr>
        <w:noProof w:val="0"/>
      </w:rPr>
      <w:instrText xml:space="preserve"> FILENAME \p \* MERGEFORMAT </w:instrText>
    </w:r>
    <w:r w:rsidRPr="00707532">
      <w:rPr>
        <w:noProof w:val="0"/>
      </w:rPr>
      <w:fldChar w:fldCharType="separate"/>
    </w:r>
    <w:r w:rsidR="00762558">
      <w:t>P:\FRA\SG\CONSEIL\C23-ADD\006F.docx</w:t>
    </w:r>
    <w:r w:rsidRPr="00707532">
      <w:rPr>
        <w:noProof w:val="0"/>
      </w:rPr>
      <w:fldChar w:fldCharType="end"/>
    </w:r>
    <w:r w:rsidR="00732045" w:rsidRPr="00707532">
      <w:rPr>
        <w:noProof w:val="0"/>
      </w:rPr>
      <w:tab/>
    </w:r>
    <w:r w:rsidR="002F1B76" w:rsidRPr="00707532">
      <w:rPr>
        <w:noProof w:val="0"/>
      </w:rPr>
      <w:fldChar w:fldCharType="begin"/>
    </w:r>
    <w:r w:rsidR="00732045" w:rsidRPr="00707532">
      <w:rPr>
        <w:noProof w:val="0"/>
      </w:rPr>
      <w:instrText xml:space="preserve"> savedate \@ dd.MM.yy </w:instrText>
    </w:r>
    <w:r w:rsidR="002F1B76" w:rsidRPr="00707532">
      <w:rPr>
        <w:noProof w:val="0"/>
      </w:rPr>
      <w:fldChar w:fldCharType="separate"/>
    </w:r>
    <w:r w:rsidR="00D0792A">
      <w:t>10.10.23</w:t>
    </w:r>
    <w:r w:rsidR="002F1B76" w:rsidRPr="00707532">
      <w:rPr>
        <w:noProof w:val="0"/>
      </w:rPr>
      <w:fldChar w:fldCharType="end"/>
    </w:r>
    <w:r w:rsidR="00732045" w:rsidRPr="00707532">
      <w:rPr>
        <w:noProof w:val="0"/>
      </w:rPr>
      <w:tab/>
    </w:r>
    <w:r w:rsidR="002F1B76" w:rsidRPr="00707532">
      <w:rPr>
        <w:noProof w:val="0"/>
      </w:rPr>
      <w:fldChar w:fldCharType="begin"/>
    </w:r>
    <w:r w:rsidR="00732045" w:rsidRPr="00707532">
      <w:rPr>
        <w:noProof w:val="0"/>
      </w:rPr>
      <w:instrText xml:space="preserve"> printdate \@ dd.MM.yy </w:instrText>
    </w:r>
    <w:r w:rsidR="002F1B76" w:rsidRPr="00707532">
      <w:rPr>
        <w:noProof w:val="0"/>
      </w:rPr>
      <w:fldChar w:fldCharType="separate"/>
    </w:r>
    <w:r w:rsidR="00762558">
      <w:t>00.00.00</w:t>
    </w:r>
    <w:r w:rsidR="002F1B76" w:rsidRPr="00707532">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07532" w14:paraId="4028530B" w14:textId="77777777" w:rsidTr="00E31DCE">
      <w:trPr>
        <w:jc w:val="center"/>
      </w:trPr>
      <w:tc>
        <w:tcPr>
          <w:tcW w:w="1803" w:type="dxa"/>
          <w:vAlign w:val="center"/>
        </w:tcPr>
        <w:p w14:paraId="0C4FF983" w14:textId="09D80F33" w:rsidR="00A51849" w:rsidRPr="00707532" w:rsidRDefault="00A51849" w:rsidP="00A51849">
          <w:pPr>
            <w:pStyle w:val="Header"/>
            <w:jc w:val="left"/>
          </w:pPr>
          <w:r w:rsidRPr="00707532">
            <w:t xml:space="preserve">DPS </w:t>
          </w:r>
          <w:r w:rsidR="00707532" w:rsidRPr="00707532">
            <w:t>528690</w:t>
          </w:r>
        </w:p>
      </w:tc>
      <w:tc>
        <w:tcPr>
          <w:tcW w:w="8261" w:type="dxa"/>
        </w:tcPr>
        <w:p w14:paraId="7323D17B" w14:textId="2F173F16" w:rsidR="00A51849" w:rsidRPr="00707532" w:rsidRDefault="00A51849" w:rsidP="000471DE">
          <w:pPr>
            <w:pStyle w:val="Header"/>
            <w:tabs>
              <w:tab w:val="left" w:pos="6447"/>
              <w:tab w:val="right" w:pos="8505"/>
              <w:tab w:val="right" w:pos="9639"/>
            </w:tabs>
            <w:jc w:val="left"/>
            <w:rPr>
              <w:rFonts w:ascii="Arial" w:hAnsi="Arial" w:cs="Arial"/>
              <w:b/>
              <w:bCs/>
              <w:szCs w:val="18"/>
            </w:rPr>
          </w:pPr>
          <w:r w:rsidRPr="00707532">
            <w:rPr>
              <w:bCs/>
            </w:rPr>
            <w:tab/>
            <w:t>C23</w:t>
          </w:r>
          <w:r w:rsidR="000471DE" w:rsidRPr="00707532">
            <w:rPr>
              <w:bCs/>
            </w:rPr>
            <w:t>-ADD</w:t>
          </w:r>
          <w:r w:rsidRPr="00707532">
            <w:rPr>
              <w:bCs/>
            </w:rPr>
            <w:t>/</w:t>
          </w:r>
          <w:r w:rsidR="00707532" w:rsidRPr="00707532">
            <w:rPr>
              <w:bCs/>
            </w:rPr>
            <w:t>6</w:t>
          </w:r>
          <w:r w:rsidRPr="00707532">
            <w:rPr>
              <w:bCs/>
            </w:rPr>
            <w:t>-</w:t>
          </w:r>
          <w:r w:rsidR="00973F53" w:rsidRPr="00707532">
            <w:rPr>
              <w:bCs/>
            </w:rPr>
            <w:t>F</w:t>
          </w:r>
          <w:r w:rsidRPr="00707532">
            <w:rPr>
              <w:bCs/>
            </w:rPr>
            <w:tab/>
          </w:r>
          <w:r w:rsidRPr="00707532">
            <w:fldChar w:fldCharType="begin"/>
          </w:r>
          <w:r w:rsidRPr="00707532">
            <w:instrText>PAGE</w:instrText>
          </w:r>
          <w:r w:rsidRPr="00707532">
            <w:fldChar w:fldCharType="separate"/>
          </w:r>
          <w:r w:rsidRPr="00707532">
            <w:t>1</w:t>
          </w:r>
          <w:r w:rsidRPr="00707532">
            <w:fldChar w:fldCharType="end"/>
          </w:r>
        </w:p>
      </w:tc>
    </w:tr>
  </w:tbl>
  <w:p w14:paraId="6606B478" w14:textId="114507CE" w:rsidR="00732045" w:rsidRPr="00707532" w:rsidRDefault="00732045" w:rsidP="00707532">
    <w:pPr>
      <w:pStyle w:val="Footer"/>
      <w:rPr>
        <w:noProof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07532" w14:paraId="1CB6C207" w14:textId="77777777" w:rsidTr="00E31DCE">
      <w:trPr>
        <w:jc w:val="center"/>
      </w:trPr>
      <w:tc>
        <w:tcPr>
          <w:tcW w:w="1803" w:type="dxa"/>
          <w:vAlign w:val="center"/>
        </w:tcPr>
        <w:p w14:paraId="626239B1" w14:textId="77777777" w:rsidR="00A51849" w:rsidRPr="00762558" w:rsidRDefault="00D0792A" w:rsidP="00A51849">
          <w:pPr>
            <w:pStyle w:val="Header"/>
            <w:jc w:val="left"/>
            <w:rPr>
              <w:rStyle w:val="Hyperlink"/>
            </w:rPr>
          </w:pPr>
          <w:hyperlink r:id="rId1" w:history="1">
            <w:r w:rsidR="00A51849" w:rsidRPr="00762558">
              <w:rPr>
                <w:rStyle w:val="Hyperlink"/>
              </w:rPr>
              <w:t>www.itu.int/council</w:t>
            </w:r>
          </w:hyperlink>
        </w:p>
      </w:tc>
      <w:tc>
        <w:tcPr>
          <w:tcW w:w="8261" w:type="dxa"/>
        </w:tcPr>
        <w:p w14:paraId="6D4C21BA" w14:textId="31DC15B8" w:rsidR="00A51849" w:rsidRPr="00707532" w:rsidRDefault="00A51849" w:rsidP="000471DE">
          <w:pPr>
            <w:pStyle w:val="Header"/>
            <w:tabs>
              <w:tab w:val="left" w:pos="6447"/>
              <w:tab w:val="right" w:pos="8505"/>
              <w:tab w:val="right" w:pos="9639"/>
            </w:tabs>
            <w:jc w:val="left"/>
            <w:rPr>
              <w:rFonts w:ascii="Arial" w:hAnsi="Arial" w:cs="Arial"/>
              <w:b/>
              <w:bCs/>
              <w:szCs w:val="18"/>
            </w:rPr>
          </w:pPr>
          <w:r w:rsidRPr="00707532">
            <w:rPr>
              <w:bCs/>
            </w:rPr>
            <w:tab/>
            <w:t>C23</w:t>
          </w:r>
          <w:r w:rsidR="000471DE" w:rsidRPr="00707532">
            <w:rPr>
              <w:bCs/>
            </w:rPr>
            <w:t>-ADD</w:t>
          </w:r>
          <w:r w:rsidRPr="00707532">
            <w:rPr>
              <w:bCs/>
            </w:rPr>
            <w:t>/</w:t>
          </w:r>
          <w:r w:rsidR="00DB4135" w:rsidRPr="00707532">
            <w:rPr>
              <w:bCs/>
            </w:rPr>
            <w:t>6</w:t>
          </w:r>
          <w:r w:rsidRPr="00707532">
            <w:rPr>
              <w:bCs/>
            </w:rPr>
            <w:t>-</w:t>
          </w:r>
          <w:r w:rsidR="00D72F49" w:rsidRPr="00707532">
            <w:rPr>
              <w:bCs/>
            </w:rPr>
            <w:t>F</w:t>
          </w:r>
          <w:r w:rsidRPr="00707532">
            <w:rPr>
              <w:bCs/>
            </w:rPr>
            <w:tab/>
          </w:r>
          <w:r w:rsidRPr="00707532">
            <w:fldChar w:fldCharType="begin"/>
          </w:r>
          <w:r w:rsidRPr="00707532">
            <w:instrText>PAGE</w:instrText>
          </w:r>
          <w:r w:rsidRPr="00707532">
            <w:fldChar w:fldCharType="separate"/>
          </w:r>
          <w:r w:rsidRPr="00707532">
            <w:t>1</w:t>
          </w:r>
          <w:r w:rsidRPr="00707532">
            <w:fldChar w:fldCharType="end"/>
          </w:r>
        </w:p>
      </w:tc>
    </w:tr>
  </w:tbl>
  <w:p w14:paraId="2A3E37EC" w14:textId="4A49EE3A" w:rsidR="00732045" w:rsidRPr="00707532" w:rsidRDefault="00732045" w:rsidP="00A51849">
    <w:pPr>
      <w:pStyle w:val="Foo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9A5CC" w14:textId="77777777" w:rsidR="00486A04" w:rsidRPr="00707532" w:rsidRDefault="00486A04">
      <w:r w:rsidRPr="00707532">
        <w:t>____________________</w:t>
      </w:r>
    </w:p>
  </w:footnote>
  <w:footnote w:type="continuationSeparator" w:id="0">
    <w:p w14:paraId="7B0E6DF4" w14:textId="77777777" w:rsidR="00486A04" w:rsidRPr="00707532" w:rsidRDefault="00486A04">
      <w:r w:rsidRPr="00707532">
        <w:continuationSeparator/>
      </w:r>
    </w:p>
  </w:footnote>
  <w:footnote w:id="1">
    <w:p w14:paraId="62C5CECB" w14:textId="02CA6B69" w:rsidR="00DB4135" w:rsidRPr="00707532" w:rsidRDefault="00DB4135" w:rsidP="00DB4135">
      <w:pPr>
        <w:pStyle w:val="FootnoteText"/>
      </w:pPr>
      <w:r w:rsidRPr="00707532">
        <w:rPr>
          <w:rStyle w:val="FootnoteReference"/>
        </w:rPr>
        <w:footnoteRef/>
      </w:r>
      <w:r w:rsidRPr="00707532">
        <w:tab/>
        <w:t xml:space="preserve">Dans le rapport de la Secrétaire générale sur l'amélioration des travaux du Conseil </w:t>
      </w:r>
      <w:r w:rsidRPr="00707532">
        <w:rPr>
          <w:szCs w:val="24"/>
        </w:rPr>
        <w:t xml:space="preserve">(Document </w:t>
      </w:r>
      <w:hyperlink r:id="rId1" w:history="1">
        <w:r w:rsidRPr="00707532">
          <w:rPr>
            <w:rStyle w:val="Hyperlink"/>
            <w:szCs w:val="24"/>
          </w:rPr>
          <w:t>С23/32</w:t>
        </w:r>
      </w:hyperlink>
      <w:r w:rsidRPr="00707532">
        <w:rPr>
          <w:szCs w:val="24"/>
        </w:rPr>
        <w:t>), en particulier le paragraphe consacré aux étapes proposées vers un Conseil axé sur les résultats, on peut lire ce qui suit: "</w:t>
      </w:r>
      <w:r w:rsidRPr="00707532">
        <w:t>Dans la mesure où le processus préparatoire aura été amélioré et où l'ordre du jour aura été davantage ciblé, le Secrétariat suggèrera d'étudier la possibilité de réduire la durée du Conseil (pour porter celle</w:t>
      </w:r>
      <w:r w:rsidR="00707532" w:rsidRPr="00707532">
        <w:noBreakHyphen/>
      </w:r>
      <w:r w:rsidRPr="00707532">
        <w:t>ci à six jours, par exemple)" (voir le Document </w:t>
      </w:r>
      <w:hyperlink r:id="rId2" w:history="1">
        <w:r w:rsidRPr="00707532">
          <w:rPr>
            <w:rStyle w:val="Hyperlink"/>
          </w:rPr>
          <w:t>C23/2</w:t>
        </w:r>
      </w:hyperlink>
      <w:r w:rsidRPr="00707532">
        <w:t>)</w:t>
      </w:r>
      <w:r w:rsidRPr="00707532">
        <w:rPr>
          <w:szCs w:val="24"/>
        </w:rPr>
        <w:t>.</w:t>
      </w:r>
    </w:p>
    <w:p w14:paraId="599B3BBA" w14:textId="72E44237" w:rsidR="00DB4135" w:rsidRPr="008F5757" w:rsidRDefault="00DB4135" w:rsidP="00DB4135">
      <w:pPr>
        <w:pStyle w:val="FootnoteText"/>
        <w:rPr>
          <w:lang w:val="fr-CH"/>
        </w:rPr>
      </w:pPr>
      <w:bookmarkStart w:id="1" w:name="lt_pId045"/>
      <w:r w:rsidRPr="00707532">
        <w:tab/>
        <w:t>Dans son rapport sur les dates et la durée proposées pour les sessions de 2024, 2025 et 2026 du Conseil et les dates proposées pour les séries de réunions des Groupes de travail du Conseil et des Groupes d'experts pour la même période (</w:t>
      </w:r>
      <w:r w:rsidRPr="00707532">
        <w:rPr>
          <w:szCs w:val="24"/>
        </w:rPr>
        <w:t xml:space="preserve">Document </w:t>
      </w:r>
      <w:hyperlink r:id="rId3" w:history="1">
        <w:r w:rsidRPr="00707532">
          <w:rPr>
            <w:rStyle w:val="Hyperlink"/>
            <w:rFonts w:eastAsia="Calibri"/>
            <w:szCs w:val="24"/>
          </w:rPr>
          <w:t>C23/2</w:t>
        </w:r>
      </w:hyperlink>
      <w:r w:rsidRPr="00707532">
        <w:rPr>
          <w:szCs w:val="24"/>
        </w:rPr>
        <w:t xml:space="preserve">), la Secrétaire générale recommande de réduire progressivement la durée des prochaines </w:t>
      </w:r>
      <w:r w:rsidRPr="00707532">
        <w:t>sessions ordinaires du Conseil et d'organiser l'une des séries de réunions des Groupes de travail du Conseil et des Groupes d'experts (GTC et EG) tenues chaque année de manière virtuelle.</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D896" w14:textId="77777777" w:rsidR="00732045" w:rsidRPr="00707532" w:rsidRDefault="00732045">
    <w:pPr>
      <w:pStyle w:val="Header"/>
    </w:pPr>
    <w:r w:rsidRPr="00707532">
      <w:t xml:space="preserve">- </w:t>
    </w:r>
    <w:r w:rsidR="00C27A7C" w:rsidRPr="00707532">
      <w:fldChar w:fldCharType="begin"/>
    </w:r>
    <w:r w:rsidR="00C27A7C" w:rsidRPr="00707532">
      <w:instrText>PAGE</w:instrText>
    </w:r>
    <w:r w:rsidR="00C27A7C" w:rsidRPr="00707532">
      <w:fldChar w:fldCharType="separate"/>
    </w:r>
    <w:r w:rsidRPr="00707532">
      <w:t>2</w:t>
    </w:r>
    <w:r w:rsidR="00C27A7C" w:rsidRPr="00707532">
      <w:fldChar w:fldCharType="end"/>
    </w:r>
    <w:r w:rsidRPr="00707532">
      <w:t xml:space="preserve"> -</w:t>
    </w:r>
  </w:p>
  <w:p w14:paraId="7E57C5E2" w14:textId="77777777" w:rsidR="00732045" w:rsidRPr="00707532" w:rsidRDefault="00732045">
    <w:pPr>
      <w:pStyle w:val="Header"/>
    </w:pPr>
    <w:r w:rsidRPr="00707532">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51849" w:rsidRPr="00707532" w14:paraId="3FF5CF41" w14:textId="77777777" w:rsidTr="00E31DCE">
      <w:trPr>
        <w:trHeight w:val="1104"/>
        <w:jc w:val="center"/>
      </w:trPr>
      <w:tc>
        <w:tcPr>
          <w:tcW w:w="4390" w:type="dxa"/>
          <w:vAlign w:val="center"/>
        </w:tcPr>
        <w:p w14:paraId="67F2D0FF" w14:textId="77777777" w:rsidR="00A51849" w:rsidRPr="00707532" w:rsidRDefault="00A51849" w:rsidP="00A51849">
          <w:pPr>
            <w:pStyle w:val="Header"/>
            <w:jc w:val="left"/>
            <w:rPr>
              <w:rFonts w:ascii="Arial" w:hAnsi="Arial" w:cs="Arial"/>
              <w:b/>
              <w:bCs/>
              <w:color w:val="009CD6"/>
              <w:sz w:val="36"/>
              <w:szCs w:val="36"/>
            </w:rPr>
          </w:pPr>
          <w:r w:rsidRPr="00707532">
            <w:rPr>
              <w:noProof/>
            </w:rPr>
            <w:drawing>
              <wp:inline distT="0" distB="0" distL="0" distR="0" wp14:anchorId="787E8004" wp14:editId="64766DA5">
                <wp:extent cx="1912753" cy="536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753" cy="536930"/>
                        </a:xfrm>
                        <a:prstGeom prst="rect">
                          <a:avLst/>
                        </a:prstGeom>
                        <a:noFill/>
                        <a:ln>
                          <a:noFill/>
                        </a:ln>
                      </pic:spPr>
                    </pic:pic>
                  </a:graphicData>
                </a:graphic>
              </wp:inline>
            </w:drawing>
          </w:r>
        </w:p>
      </w:tc>
      <w:tc>
        <w:tcPr>
          <w:tcW w:w="5630" w:type="dxa"/>
        </w:tcPr>
        <w:p w14:paraId="6948B2AE" w14:textId="77777777" w:rsidR="00A51849" w:rsidRPr="00707532" w:rsidRDefault="00A51849" w:rsidP="00A51849">
          <w:pPr>
            <w:pStyle w:val="Header"/>
            <w:jc w:val="right"/>
            <w:rPr>
              <w:rFonts w:ascii="Arial" w:hAnsi="Arial" w:cs="Arial"/>
              <w:b/>
              <w:bCs/>
              <w:color w:val="009CD6"/>
              <w:szCs w:val="18"/>
            </w:rPr>
          </w:pPr>
        </w:p>
        <w:p w14:paraId="24FBBA91" w14:textId="77777777" w:rsidR="00A51849" w:rsidRPr="00707532" w:rsidRDefault="00A51849" w:rsidP="00A51849">
          <w:pPr>
            <w:pStyle w:val="Header"/>
            <w:jc w:val="right"/>
            <w:rPr>
              <w:rFonts w:ascii="Arial" w:hAnsi="Arial" w:cs="Arial"/>
              <w:b/>
              <w:bCs/>
              <w:color w:val="009CD6"/>
              <w:szCs w:val="18"/>
            </w:rPr>
          </w:pPr>
        </w:p>
        <w:p w14:paraId="68312218" w14:textId="77777777" w:rsidR="00A51849" w:rsidRPr="00707532" w:rsidRDefault="00A51849" w:rsidP="00A51849">
          <w:pPr>
            <w:pStyle w:val="Header"/>
            <w:jc w:val="right"/>
            <w:rPr>
              <w:rFonts w:ascii="Arial" w:hAnsi="Arial" w:cs="Arial"/>
              <w:color w:val="009CD6"/>
              <w:szCs w:val="18"/>
            </w:rPr>
          </w:pPr>
          <w:r w:rsidRPr="00707532">
            <w:rPr>
              <w:rFonts w:ascii="Arial" w:hAnsi="Arial" w:cs="Arial"/>
              <w:b/>
              <w:bCs/>
              <w:color w:val="009CD6"/>
              <w:szCs w:val="18"/>
            </w:rPr>
            <w:t xml:space="preserve"> </w:t>
          </w:r>
        </w:p>
      </w:tc>
    </w:tr>
  </w:tbl>
  <w:p w14:paraId="541CD6F7" w14:textId="77777777" w:rsidR="00A51849" w:rsidRPr="00707532" w:rsidRDefault="00A51849">
    <w:pPr>
      <w:pStyle w:val="Header"/>
    </w:pPr>
    <w:r w:rsidRPr="00707532">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4CA0653" wp14:editId="05619E49">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A9F5046"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04"/>
    <w:rsid w:val="000471DE"/>
    <w:rsid w:val="00076A2C"/>
    <w:rsid w:val="000D0D0A"/>
    <w:rsid w:val="00103163"/>
    <w:rsid w:val="00106B19"/>
    <w:rsid w:val="00115D93"/>
    <w:rsid w:val="001247A8"/>
    <w:rsid w:val="001378C0"/>
    <w:rsid w:val="0018694A"/>
    <w:rsid w:val="001A3287"/>
    <w:rsid w:val="001A3DEE"/>
    <w:rsid w:val="001A6508"/>
    <w:rsid w:val="001D4C31"/>
    <w:rsid w:val="001E4D21"/>
    <w:rsid w:val="00207CD1"/>
    <w:rsid w:val="00226657"/>
    <w:rsid w:val="002477A2"/>
    <w:rsid w:val="00263A51"/>
    <w:rsid w:val="00267E02"/>
    <w:rsid w:val="002A5D44"/>
    <w:rsid w:val="002E0BC4"/>
    <w:rsid w:val="002F1B76"/>
    <w:rsid w:val="0033568E"/>
    <w:rsid w:val="00355FF5"/>
    <w:rsid w:val="00361350"/>
    <w:rsid w:val="003A2928"/>
    <w:rsid w:val="003C3FAE"/>
    <w:rsid w:val="004038CB"/>
    <w:rsid w:val="0040546F"/>
    <w:rsid w:val="0042404A"/>
    <w:rsid w:val="0044618F"/>
    <w:rsid w:val="0046769A"/>
    <w:rsid w:val="00475FB3"/>
    <w:rsid w:val="00486A04"/>
    <w:rsid w:val="004C37A9"/>
    <w:rsid w:val="004D1D50"/>
    <w:rsid w:val="004F259E"/>
    <w:rsid w:val="00511F1D"/>
    <w:rsid w:val="00520F36"/>
    <w:rsid w:val="00540615"/>
    <w:rsid w:val="00540A6D"/>
    <w:rsid w:val="00571EEA"/>
    <w:rsid w:val="00575417"/>
    <w:rsid w:val="005768E1"/>
    <w:rsid w:val="005B1938"/>
    <w:rsid w:val="005C3890"/>
    <w:rsid w:val="005F7BFE"/>
    <w:rsid w:val="00600017"/>
    <w:rsid w:val="006235CA"/>
    <w:rsid w:val="006643AB"/>
    <w:rsid w:val="006F0A53"/>
    <w:rsid w:val="006F59B5"/>
    <w:rsid w:val="00707532"/>
    <w:rsid w:val="007210CD"/>
    <w:rsid w:val="00732045"/>
    <w:rsid w:val="007369DB"/>
    <w:rsid w:val="00762558"/>
    <w:rsid w:val="007956C2"/>
    <w:rsid w:val="007A187E"/>
    <w:rsid w:val="007C72C2"/>
    <w:rsid w:val="007D4436"/>
    <w:rsid w:val="007F257A"/>
    <w:rsid w:val="007F3665"/>
    <w:rsid w:val="00800037"/>
    <w:rsid w:val="0083391C"/>
    <w:rsid w:val="00861D73"/>
    <w:rsid w:val="00897553"/>
    <w:rsid w:val="008A4E87"/>
    <w:rsid w:val="008D76E6"/>
    <w:rsid w:val="00904605"/>
    <w:rsid w:val="0092392D"/>
    <w:rsid w:val="0093234A"/>
    <w:rsid w:val="00956A78"/>
    <w:rsid w:val="0097363B"/>
    <w:rsid w:val="00973F53"/>
    <w:rsid w:val="009C307F"/>
    <w:rsid w:val="009C353C"/>
    <w:rsid w:val="00A2113E"/>
    <w:rsid w:val="00A23A51"/>
    <w:rsid w:val="00A24607"/>
    <w:rsid w:val="00A25CD3"/>
    <w:rsid w:val="00A51849"/>
    <w:rsid w:val="00A709FE"/>
    <w:rsid w:val="00A73C60"/>
    <w:rsid w:val="00A82767"/>
    <w:rsid w:val="00A84E3D"/>
    <w:rsid w:val="00AA332F"/>
    <w:rsid w:val="00AA7BBB"/>
    <w:rsid w:val="00AB64A8"/>
    <w:rsid w:val="00AC0266"/>
    <w:rsid w:val="00AD24EC"/>
    <w:rsid w:val="00B309F9"/>
    <w:rsid w:val="00B32B60"/>
    <w:rsid w:val="00B61619"/>
    <w:rsid w:val="00BB4545"/>
    <w:rsid w:val="00BD5873"/>
    <w:rsid w:val="00C04BE3"/>
    <w:rsid w:val="00C25D29"/>
    <w:rsid w:val="00C27A7C"/>
    <w:rsid w:val="00CA08ED"/>
    <w:rsid w:val="00CF183B"/>
    <w:rsid w:val="00D0792A"/>
    <w:rsid w:val="00D375CD"/>
    <w:rsid w:val="00D553A2"/>
    <w:rsid w:val="00D72F49"/>
    <w:rsid w:val="00D774D3"/>
    <w:rsid w:val="00D904E8"/>
    <w:rsid w:val="00DA08C3"/>
    <w:rsid w:val="00DB4135"/>
    <w:rsid w:val="00DB5A3E"/>
    <w:rsid w:val="00DC22AA"/>
    <w:rsid w:val="00DF74DD"/>
    <w:rsid w:val="00E25AD0"/>
    <w:rsid w:val="00E63114"/>
    <w:rsid w:val="00E93668"/>
    <w:rsid w:val="00EB6350"/>
    <w:rsid w:val="00EF2CB4"/>
    <w:rsid w:val="00F15B57"/>
    <w:rsid w:val="00F35EF4"/>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7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pub/itu-s/md/23/c23add/c/S23-C23ADD-C-0002!!MSW-F.docx"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tu.int/md/S23-CL-C-0002/fr" TargetMode="External"/><Relationship Id="rId12" Type="http://schemas.openxmlformats.org/officeDocument/2006/relationships/hyperlink" Target="https://www.itu.int/dms_pub/itu-s/md/23/c23add/c/S23-C23ADD-C-0002!!MSW-F.docx" TargetMode="Externa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itu.int/md/S23-CL-C-0032/fr" TargetMode="External"/><Relationship Id="rId11" Type="http://schemas.openxmlformats.org/officeDocument/2006/relationships/hyperlink" Target="https://www.itu.int/dms_pub/itu-t/md/22/tsag/col/T22-TSAG-COL-0003!!MSW-F.docx"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itu.int/dms_pub/itu-s/md/23/c23add/c/S23-C23ADD-C-0002!!MSW-F.doc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itu.int/dms_pub/itu-s/md/23/c23add/c/S23-C23ADD-C-0002!!MSW-F.docx"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md/S23-CL-C-0002/en" TargetMode="External"/><Relationship Id="rId2" Type="http://schemas.openxmlformats.org/officeDocument/2006/relationships/hyperlink" Target="https://www.itu.int/md/S23-CL-C-0002/fr" TargetMode="External"/><Relationship Id="rId1" Type="http://schemas.openxmlformats.org/officeDocument/2006/relationships/hyperlink" Target="https://www.itu.int/md/S23-CL-C-0032/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6297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de la Fédération de Russie</dc:title>
  <dc:subject>Session additionnelle du Conseil 2023</dc:subject>
  <dc:creator/>
  <cp:keywords>C23-ADD, C2023, C23, Conseil-23</cp:keywords>
  <dc:description/>
  <cp:lastModifiedBy/>
  <cp:revision>1</cp:revision>
  <dcterms:created xsi:type="dcterms:W3CDTF">2023-10-10T16:59:00Z</dcterms:created>
  <dcterms:modified xsi:type="dcterms:W3CDTF">2023-10-10T17:00:00Z</dcterms:modified>
  <cp:category>Document de conférence</cp:category>
</cp:coreProperties>
</file>