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2BD717E" w14:textId="77777777" w:rsidTr="00C538FC">
        <w:trPr>
          <w:cantSplit/>
          <w:trHeight w:val="23"/>
        </w:trPr>
        <w:tc>
          <w:tcPr>
            <w:tcW w:w="3969" w:type="dxa"/>
            <w:vMerge w:val="restart"/>
            <w:tcMar>
              <w:left w:w="0" w:type="dxa"/>
            </w:tcMar>
          </w:tcPr>
          <w:p w14:paraId="613774F1" w14:textId="6CDE252B" w:rsidR="00FE57F6" w:rsidRPr="00E85629" w:rsidRDefault="000D3698" w:rsidP="00C538FC">
            <w:pPr>
              <w:tabs>
                <w:tab w:val="left" w:pos="851"/>
              </w:tabs>
              <w:spacing w:before="0" w:line="240" w:lineRule="atLeast"/>
              <w:rPr>
                <w:b/>
              </w:rPr>
            </w:pPr>
            <w:bookmarkStart w:id="0" w:name="_Hlk133421839"/>
            <w:r w:rsidRPr="00FE3025">
              <w:rPr>
                <w:b/>
                <w:lang w:val="es-ES"/>
              </w:rPr>
              <w:t>Punto del orden del día: PL</w:t>
            </w:r>
          </w:p>
        </w:tc>
        <w:tc>
          <w:tcPr>
            <w:tcW w:w="5245" w:type="dxa"/>
          </w:tcPr>
          <w:p w14:paraId="278E220F" w14:textId="2FEE2A43"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w:t>
            </w:r>
            <w:r w:rsidR="00613322" w:rsidRPr="00F809A3">
              <w:rPr>
                <w:b/>
                <w:lang w:val="it-IT"/>
              </w:rPr>
              <w:t>C23-ADD/</w:t>
            </w:r>
            <w:r w:rsidR="00613322">
              <w:rPr>
                <w:b/>
                <w:lang w:val="it-IT"/>
              </w:rPr>
              <w:t>4</w:t>
            </w:r>
            <w:r w:rsidR="00613322" w:rsidRPr="00F809A3">
              <w:rPr>
                <w:b/>
                <w:lang w:val="it-IT"/>
              </w:rPr>
              <w:t>-</w:t>
            </w:r>
            <w:r w:rsidR="00613322">
              <w:rPr>
                <w:b/>
                <w:lang w:val="it-IT"/>
              </w:rPr>
              <w:t>S</w:t>
            </w:r>
          </w:p>
        </w:tc>
      </w:tr>
      <w:tr w:rsidR="00FE57F6" w:rsidRPr="00813E5E" w14:paraId="64C8C72D" w14:textId="77777777" w:rsidTr="00C538FC">
        <w:trPr>
          <w:cantSplit/>
        </w:trPr>
        <w:tc>
          <w:tcPr>
            <w:tcW w:w="3969" w:type="dxa"/>
            <w:vMerge/>
          </w:tcPr>
          <w:p w14:paraId="08B7B2AA" w14:textId="77777777" w:rsidR="00FE57F6" w:rsidRPr="00813E5E" w:rsidRDefault="00FE57F6" w:rsidP="00C538FC">
            <w:pPr>
              <w:tabs>
                <w:tab w:val="left" w:pos="851"/>
              </w:tabs>
              <w:spacing w:line="240" w:lineRule="atLeast"/>
              <w:rPr>
                <w:b/>
              </w:rPr>
            </w:pPr>
          </w:p>
        </w:tc>
        <w:tc>
          <w:tcPr>
            <w:tcW w:w="5245" w:type="dxa"/>
          </w:tcPr>
          <w:p w14:paraId="0A4DC69A" w14:textId="2E23EA80" w:rsidR="00FE57F6" w:rsidRPr="00E85629" w:rsidRDefault="00613322" w:rsidP="00C538FC">
            <w:pPr>
              <w:tabs>
                <w:tab w:val="left" w:pos="851"/>
              </w:tabs>
              <w:spacing w:before="0"/>
              <w:jc w:val="right"/>
              <w:rPr>
                <w:b/>
              </w:rPr>
            </w:pPr>
            <w:r>
              <w:rPr>
                <w:b/>
              </w:rPr>
              <w:t>15 de septiembre de 2023</w:t>
            </w:r>
          </w:p>
        </w:tc>
      </w:tr>
      <w:tr w:rsidR="00FE57F6" w:rsidRPr="00F24B71" w14:paraId="417F66C4" w14:textId="77777777" w:rsidTr="00C538FC">
        <w:trPr>
          <w:cantSplit/>
          <w:trHeight w:val="23"/>
        </w:trPr>
        <w:tc>
          <w:tcPr>
            <w:tcW w:w="3969" w:type="dxa"/>
            <w:vMerge/>
          </w:tcPr>
          <w:p w14:paraId="058E0343" w14:textId="77777777" w:rsidR="00FE57F6" w:rsidRPr="00813E5E" w:rsidRDefault="00FE57F6" w:rsidP="00C538FC">
            <w:pPr>
              <w:tabs>
                <w:tab w:val="left" w:pos="851"/>
              </w:tabs>
              <w:spacing w:line="240" w:lineRule="atLeast"/>
              <w:rPr>
                <w:b/>
              </w:rPr>
            </w:pPr>
          </w:p>
        </w:tc>
        <w:tc>
          <w:tcPr>
            <w:tcW w:w="5245" w:type="dxa"/>
          </w:tcPr>
          <w:p w14:paraId="341FC2C2"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5A266466" w14:textId="77777777" w:rsidTr="00C538FC">
        <w:trPr>
          <w:cantSplit/>
          <w:trHeight w:val="23"/>
        </w:trPr>
        <w:tc>
          <w:tcPr>
            <w:tcW w:w="3969" w:type="dxa"/>
          </w:tcPr>
          <w:p w14:paraId="4F964252" w14:textId="77777777" w:rsidR="00FE57F6" w:rsidRPr="00813E5E" w:rsidRDefault="00FE57F6" w:rsidP="00C538FC">
            <w:pPr>
              <w:tabs>
                <w:tab w:val="left" w:pos="851"/>
              </w:tabs>
              <w:spacing w:line="240" w:lineRule="atLeast"/>
              <w:rPr>
                <w:b/>
              </w:rPr>
            </w:pPr>
          </w:p>
        </w:tc>
        <w:tc>
          <w:tcPr>
            <w:tcW w:w="5245" w:type="dxa"/>
          </w:tcPr>
          <w:p w14:paraId="527B2AD1" w14:textId="77777777" w:rsidR="00FE57F6" w:rsidRDefault="00FE57F6" w:rsidP="00C538FC">
            <w:pPr>
              <w:tabs>
                <w:tab w:val="left" w:pos="851"/>
              </w:tabs>
              <w:spacing w:before="0" w:line="240" w:lineRule="atLeast"/>
              <w:jc w:val="right"/>
              <w:rPr>
                <w:b/>
              </w:rPr>
            </w:pPr>
          </w:p>
        </w:tc>
      </w:tr>
      <w:tr w:rsidR="00FE57F6" w:rsidRPr="00FE57F6" w14:paraId="5DE4BB6E" w14:textId="77777777" w:rsidTr="00C538FC">
        <w:trPr>
          <w:cantSplit/>
        </w:trPr>
        <w:tc>
          <w:tcPr>
            <w:tcW w:w="9214" w:type="dxa"/>
            <w:gridSpan w:val="2"/>
            <w:tcMar>
              <w:left w:w="0" w:type="dxa"/>
            </w:tcMar>
          </w:tcPr>
          <w:p w14:paraId="0DE67A0B"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6DD49E96" w14:textId="77777777" w:rsidTr="00C538FC">
        <w:trPr>
          <w:cantSplit/>
        </w:trPr>
        <w:tc>
          <w:tcPr>
            <w:tcW w:w="9214" w:type="dxa"/>
            <w:gridSpan w:val="2"/>
            <w:tcMar>
              <w:left w:w="0" w:type="dxa"/>
            </w:tcMar>
          </w:tcPr>
          <w:p w14:paraId="2AF75716" w14:textId="58CE4923" w:rsidR="00FE57F6" w:rsidRPr="00613322" w:rsidRDefault="00613322" w:rsidP="00C538FC">
            <w:pPr>
              <w:pStyle w:val="Subtitle"/>
              <w:framePr w:hSpace="0" w:wrap="auto" w:hAnchor="text" w:xAlign="left" w:yAlign="inline"/>
              <w:rPr>
                <w:lang w:val="es-ES"/>
              </w:rPr>
            </w:pPr>
            <w:r w:rsidRPr="00FE3025">
              <w:rPr>
                <w:lang w:val="es-ES"/>
              </w:rPr>
              <w:t xml:space="preserve">FECHA Y LUGAR DE CELEBRACIÓN DE LA </w:t>
            </w:r>
            <w:r>
              <w:rPr>
                <w:lang w:val="es-ES"/>
              </w:rPr>
              <w:t>CONFERENCIA DE PLENIPOTENCIARIOS DE 2026</w:t>
            </w:r>
          </w:p>
        </w:tc>
      </w:tr>
      <w:tr w:rsidR="00FE57F6" w:rsidRPr="00813E5E" w14:paraId="434FB9D7" w14:textId="77777777" w:rsidTr="00C538FC">
        <w:trPr>
          <w:cantSplit/>
        </w:trPr>
        <w:tc>
          <w:tcPr>
            <w:tcW w:w="9214" w:type="dxa"/>
            <w:gridSpan w:val="2"/>
            <w:tcBorders>
              <w:top w:val="single" w:sz="4" w:space="0" w:color="auto"/>
              <w:bottom w:val="single" w:sz="4" w:space="0" w:color="auto"/>
            </w:tcBorders>
            <w:tcMar>
              <w:left w:w="0" w:type="dxa"/>
            </w:tcMar>
          </w:tcPr>
          <w:p w14:paraId="10D4D828" w14:textId="3B6812C7" w:rsidR="00FE57F6" w:rsidRPr="00F24B71" w:rsidRDefault="00F24B71" w:rsidP="00C538FC">
            <w:pPr>
              <w:spacing w:before="160"/>
              <w:rPr>
                <w:b/>
                <w:bCs/>
                <w:sz w:val="26"/>
                <w:szCs w:val="26"/>
                <w:lang w:val="es-ES"/>
              </w:rPr>
            </w:pPr>
            <w:r w:rsidRPr="00F24B71">
              <w:rPr>
                <w:b/>
                <w:bCs/>
                <w:sz w:val="26"/>
                <w:szCs w:val="26"/>
                <w:lang w:val="es-ES"/>
              </w:rPr>
              <w:t>Finalidad</w:t>
            </w:r>
          </w:p>
          <w:p w14:paraId="3AF05F05" w14:textId="77777777" w:rsidR="00613322" w:rsidRPr="00FE3025" w:rsidRDefault="00613322" w:rsidP="00613322">
            <w:pPr>
              <w:rPr>
                <w:lang w:val="es-ES"/>
              </w:rPr>
            </w:pPr>
            <w:r w:rsidRPr="00FE3025">
              <w:rPr>
                <w:lang w:val="es-ES"/>
              </w:rPr>
              <w:t>La Conferencia de Plenipotenciarios de 2022 decidió en su Resolución 77 (Rev. Bucarest, 2022) que la próxima Co</w:t>
            </w:r>
            <w:r>
              <w:rPr>
                <w:lang w:val="es-ES"/>
              </w:rPr>
              <w:t>nferencia de Plenipotenciarios</w:t>
            </w:r>
            <w:r w:rsidRPr="00FE3025">
              <w:rPr>
                <w:lang w:val="es-ES"/>
              </w:rPr>
              <w:t xml:space="preserve"> (PP) s</w:t>
            </w:r>
            <w:r>
              <w:rPr>
                <w:lang w:val="es-ES"/>
              </w:rPr>
              <w:t>e celebre durante el último trimestre de 2026 en</w:t>
            </w:r>
            <w:r w:rsidRPr="00FE3025">
              <w:rPr>
                <w:lang w:val="es-ES"/>
              </w:rPr>
              <w:t xml:space="preserve"> Doha, Qatar.</w:t>
            </w:r>
          </w:p>
          <w:p w14:paraId="50752D27" w14:textId="327A1F34" w:rsidR="00FE57F6" w:rsidRPr="00F24B71" w:rsidRDefault="00613322" w:rsidP="00613322">
            <w:pPr>
              <w:rPr>
                <w:lang w:val="es-ES"/>
              </w:rPr>
            </w:pPr>
            <w:r w:rsidRPr="00FE3025">
              <w:rPr>
                <w:lang w:val="es-ES"/>
              </w:rPr>
              <w:t>En el presente documento se comunica a los Consejeros la invitación recibida del Gobierno de Qatar p</w:t>
            </w:r>
            <w:r>
              <w:rPr>
                <w:lang w:val="es-ES"/>
              </w:rPr>
              <w:t>ara celebrar la próxima Conferencia de Plenipotenciarios en</w:t>
            </w:r>
            <w:r w:rsidRPr="00FE3025">
              <w:rPr>
                <w:lang w:val="es-ES"/>
              </w:rPr>
              <w:t xml:space="preserve"> Doha </w:t>
            </w:r>
            <w:r>
              <w:rPr>
                <w:lang w:val="es-ES"/>
              </w:rPr>
              <w:t xml:space="preserve">del </w:t>
            </w:r>
            <w:r>
              <w:rPr>
                <w:b/>
                <w:bCs/>
                <w:lang w:val="es-ES"/>
              </w:rPr>
              <w:t>lunes 9 de noviembre de 2026 al viernes 27 de noviembre de</w:t>
            </w:r>
            <w:r w:rsidRPr="00FE3025">
              <w:rPr>
                <w:b/>
                <w:bCs/>
                <w:lang w:val="es-ES"/>
              </w:rPr>
              <w:t xml:space="preserve"> 2026.</w:t>
            </w:r>
          </w:p>
          <w:p w14:paraId="3A521AF8"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7AE161D9" w14:textId="4580CB69" w:rsidR="00FE57F6" w:rsidRPr="00F24B71" w:rsidRDefault="00613322" w:rsidP="0009577F">
            <w:pPr>
              <w:rPr>
                <w:lang w:val="es-ES"/>
              </w:rPr>
            </w:pPr>
            <w:r w:rsidRPr="00FE3025">
              <w:rPr>
                <w:lang w:val="es-ES"/>
              </w:rPr>
              <w:t xml:space="preserve">Se invita al Consejo a </w:t>
            </w:r>
            <w:r w:rsidRPr="00FE3025">
              <w:rPr>
                <w:b/>
                <w:bCs/>
                <w:lang w:val="es-ES"/>
              </w:rPr>
              <w:t>decidir</w:t>
            </w:r>
            <w:r w:rsidRPr="00FE3025">
              <w:rPr>
                <w:lang w:val="es-ES"/>
              </w:rPr>
              <w:t xml:space="preserve"> las fechas y el lugar de celebración exactos de la próxima Conferencia de Plenipotenciarios, entendiéndose que</w:t>
            </w:r>
            <w:r>
              <w:rPr>
                <w:lang w:val="es-ES"/>
              </w:rPr>
              <w:t>,</w:t>
            </w:r>
            <w:r w:rsidRPr="00FE3025">
              <w:rPr>
                <w:lang w:val="es-ES"/>
              </w:rPr>
              <w:t xml:space="preserve"> </w:t>
            </w:r>
            <w:r>
              <w:rPr>
                <w:lang w:val="es-ES"/>
              </w:rPr>
              <w:t xml:space="preserve">una vez tomada </w:t>
            </w:r>
            <w:r w:rsidRPr="00FE3025">
              <w:rPr>
                <w:lang w:val="es-ES"/>
              </w:rPr>
              <w:t xml:space="preserve">esa decisión mediante la </w:t>
            </w:r>
            <w:r w:rsidRPr="00FE3025">
              <w:rPr>
                <w:b/>
                <w:bCs/>
                <w:lang w:val="es-ES"/>
              </w:rPr>
              <w:t xml:space="preserve">adopción </w:t>
            </w:r>
            <w:r w:rsidRPr="00FE3025">
              <w:rPr>
                <w:lang w:val="es-ES"/>
              </w:rPr>
              <w:t xml:space="preserve">del proyecto de Acuerdo reproducido en el </w:t>
            </w:r>
            <w:hyperlink w:anchor="annexb" w:history="1">
              <w:r w:rsidRPr="00FE3025">
                <w:rPr>
                  <w:rStyle w:val="Hyperlink"/>
                  <w:iCs/>
                  <w:lang w:val="es-ES"/>
                </w:rPr>
                <w:t>Anexo B</w:t>
              </w:r>
            </w:hyperlink>
            <w:r w:rsidRPr="00FE3025">
              <w:rPr>
                <w:iCs/>
                <w:lang w:val="es-ES"/>
              </w:rPr>
              <w:t xml:space="preserve"> a este documento, </w:t>
            </w:r>
            <w:r>
              <w:rPr>
                <w:iCs/>
                <w:lang w:val="es-ES"/>
              </w:rPr>
              <w:t>se celebrarán consultas con todos los Estados Miembros</w:t>
            </w:r>
            <w:r w:rsidRPr="00FE3025">
              <w:rPr>
                <w:lang w:val="es-ES"/>
              </w:rPr>
              <w:t>.</w:t>
            </w:r>
          </w:p>
          <w:p w14:paraId="3373C628"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7B85BDFA" w14:textId="3B6D3065" w:rsidR="00FE57F6" w:rsidRPr="00F24B71" w:rsidRDefault="00613322" w:rsidP="00C538FC">
            <w:pPr>
              <w:rPr>
                <w:lang w:val="es-ES"/>
              </w:rPr>
            </w:pPr>
            <w:r w:rsidRPr="00C13F2E">
              <w:rPr>
                <w:lang w:val="es-ES"/>
              </w:rPr>
              <w:t>Impulso de los Miembros, plata</w:t>
            </w:r>
            <w:r>
              <w:rPr>
                <w:lang w:val="es-ES"/>
              </w:rPr>
              <w:t>forma de convocación</w:t>
            </w:r>
          </w:p>
          <w:p w14:paraId="54D60AAB" w14:textId="0BC10730" w:rsidR="00FE57F6" w:rsidRDefault="00F24B71" w:rsidP="00C538FC">
            <w:pPr>
              <w:spacing w:before="160"/>
              <w:rPr>
                <w:b/>
                <w:bCs/>
                <w:sz w:val="26"/>
                <w:szCs w:val="26"/>
              </w:rPr>
            </w:pPr>
            <w:r w:rsidRPr="00F24B71">
              <w:rPr>
                <w:b/>
                <w:bCs/>
                <w:sz w:val="26"/>
                <w:szCs w:val="26"/>
              </w:rPr>
              <w:t xml:space="preserve">Repercusiones financieras: </w:t>
            </w:r>
          </w:p>
          <w:p w14:paraId="5A689C46" w14:textId="7A40152C" w:rsidR="00613322" w:rsidRDefault="00613322" w:rsidP="00C538FC">
            <w:pPr>
              <w:spacing w:before="160"/>
              <w:rPr>
                <w:b/>
                <w:bCs/>
                <w:sz w:val="26"/>
                <w:szCs w:val="26"/>
              </w:rPr>
            </w:pPr>
            <w:r w:rsidRPr="0009577F">
              <w:rPr>
                <w:lang w:val="es-ES"/>
              </w:rPr>
              <w:t>Sufragado por el país anfitrión</w:t>
            </w:r>
          </w:p>
          <w:p w14:paraId="32641CDC" w14:textId="77777777" w:rsidR="00FE57F6" w:rsidRPr="00813E5E" w:rsidRDefault="00FE57F6" w:rsidP="00C538FC">
            <w:pPr>
              <w:spacing w:before="160"/>
              <w:rPr>
                <w:caps/>
                <w:sz w:val="22"/>
              </w:rPr>
            </w:pPr>
            <w:r w:rsidRPr="00813E5E">
              <w:rPr>
                <w:sz w:val="22"/>
              </w:rPr>
              <w:t>____________</w:t>
            </w:r>
            <w:r>
              <w:rPr>
                <w:sz w:val="22"/>
              </w:rPr>
              <w:t>______</w:t>
            </w:r>
          </w:p>
          <w:p w14:paraId="45B3FC7D" w14:textId="0A86E6A9" w:rsidR="00FE57F6" w:rsidRDefault="00F24B71" w:rsidP="00C538FC">
            <w:pPr>
              <w:spacing w:before="160"/>
              <w:rPr>
                <w:b/>
                <w:bCs/>
                <w:sz w:val="26"/>
                <w:szCs w:val="26"/>
              </w:rPr>
            </w:pPr>
            <w:r w:rsidRPr="00F24B71">
              <w:rPr>
                <w:b/>
                <w:bCs/>
                <w:sz w:val="26"/>
                <w:szCs w:val="26"/>
              </w:rPr>
              <w:t>Referencia</w:t>
            </w:r>
            <w:r w:rsidR="00613322">
              <w:rPr>
                <w:b/>
                <w:bCs/>
                <w:sz w:val="26"/>
                <w:szCs w:val="26"/>
              </w:rPr>
              <w:t>s</w:t>
            </w:r>
          </w:p>
          <w:p w14:paraId="24EA15B6" w14:textId="2E414167" w:rsidR="00FE57F6" w:rsidRDefault="000E63CC" w:rsidP="00C538FC">
            <w:pPr>
              <w:spacing w:after="160"/>
            </w:pPr>
            <w:hyperlink r:id="rId6" w:history="1">
              <w:r w:rsidR="00613322" w:rsidRPr="00C13F2E">
                <w:rPr>
                  <w:i/>
                  <w:iCs/>
                  <w:color w:val="0000FF"/>
                  <w:u w:val="single"/>
                  <w:lang w:val="es-ES"/>
                </w:rPr>
                <w:t>CV 2</w:t>
              </w:r>
            </w:hyperlink>
            <w:r w:rsidR="00613322" w:rsidRPr="00C13F2E">
              <w:rPr>
                <w:i/>
                <w:iCs/>
                <w:lang w:val="es-ES"/>
              </w:rPr>
              <w:t xml:space="preserve">; </w:t>
            </w:r>
            <w:hyperlink r:id="rId7" w:history="1">
              <w:r w:rsidR="00613322" w:rsidRPr="00C13F2E">
                <w:rPr>
                  <w:i/>
                  <w:iCs/>
                  <w:color w:val="0000FF"/>
                  <w:u w:val="single"/>
                  <w:lang w:val="es-ES"/>
                </w:rPr>
                <w:t>Res. 77 (Rev. Bucarest, 2022)</w:t>
              </w:r>
            </w:hyperlink>
          </w:p>
        </w:tc>
      </w:tr>
      <w:bookmarkEnd w:id="0"/>
    </w:tbl>
    <w:p w14:paraId="649934F6" w14:textId="77777777" w:rsidR="00093EEB" w:rsidRDefault="00093EEB"/>
    <w:p w14:paraId="6491A29F"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C41F45B" w14:textId="77777777" w:rsidR="00613322" w:rsidRPr="007E5734" w:rsidRDefault="00613322" w:rsidP="00613322">
      <w:pPr>
        <w:pStyle w:val="Heading1"/>
        <w:spacing w:before="240" w:after="120"/>
      </w:pPr>
      <w:r w:rsidRPr="007E5734">
        <w:lastRenderedPageBreak/>
        <w:t>1</w:t>
      </w:r>
      <w:r w:rsidRPr="007E5734">
        <w:tab/>
      </w:r>
      <w:r>
        <w:t>Antecedentes</w:t>
      </w:r>
    </w:p>
    <w:p w14:paraId="69482D09" w14:textId="77777777" w:rsidR="00613322" w:rsidRPr="00986C31" w:rsidRDefault="00613322" w:rsidP="0009577F">
      <w:pPr>
        <w:rPr>
          <w:lang w:val="es-ES"/>
        </w:rPr>
      </w:pPr>
      <w:r w:rsidRPr="00986C31">
        <w:rPr>
          <w:lang w:val="es-ES"/>
        </w:rPr>
        <w:t>1.1</w:t>
      </w:r>
      <w:r w:rsidRPr="00986C31">
        <w:rPr>
          <w:lang w:val="es-ES"/>
        </w:rPr>
        <w:tab/>
        <w:t xml:space="preserve">En su </w:t>
      </w:r>
      <w:r w:rsidRPr="00986C31">
        <w:rPr>
          <w:i/>
          <w:iCs/>
          <w:lang w:val="es-ES"/>
        </w:rPr>
        <w:t>resuelve</w:t>
      </w:r>
      <w:r w:rsidRPr="00986C31">
        <w:rPr>
          <w:i/>
          <w:lang w:val="es-ES"/>
        </w:rPr>
        <w:t xml:space="preserve"> 5.5,</w:t>
      </w:r>
      <w:r w:rsidRPr="00986C31">
        <w:rPr>
          <w:lang w:val="es-ES"/>
        </w:rPr>
        <w:t xml:space="preserve"> la Resolución 77 (Rev. Bucarest, 2022) establece que la próxima Conferencia de Plenipotenciarios (PP) se celebre en el</w:t>
      </w:r>
      <w:r>
        <w:rPr>
          <w:lang w:val="es-ES"/>
        </w:rPr>
        <w:t xml:space="preserve"> último trimestre de 2026 en</w:t>
      </w:r>
      <w:r w:rsidRPr="00986C31">
        <w:rPr>
          <w:lang w:val="es-ES"/>
        </w:rPr>
        <w:t xml:space="preserve"> Doha, Qatar. </w:t>
      </w:r>
    </w:p>
    <w:p w14:paraId="10F49447" w14:textId="77777777" w:rsidR="00613322" w:rsidRPr="00986C31" w:rsidRDefault="00613322" w:rsidP="0009577F">
      <w:pPr>
        <w:rPr>
          <w:lang w:val="es-ES"/>
        </w:rPr>
      </w:pPr>
      <w:r w:rsidRPr="00986C31">
        <w:rPr>
          <w:lang w:val="es-ES"/>
        </w:rPr>
        <w:t>1.2</w:t>
      </w:r>
      <w:r w:rsidRPr="00986C31">
        <w:rPr>
          <w:lang w:val="es-ES"/>
        </w:rPr>
        <w:tab/>
        <w:t xml:space="preserve">De conformidad con el número 2 del Convenio, si la PP anterior no fija las fechas exactas y el lugar de celebración de la PP, éstos serán determinados por el Consejo con el acuerdo </w:t>
      </w:r>
      <w:r>
        <w:rPr>
          <w:lang w:val="es-ES"/>
        </w:rPr>
        <w:t>de la mayoría de los Estados Miembros</w:t>
      </w:r>
      <w:r w:rsidRPr="00986C31">
        <w:rPr>
          <w:lang w:val="es-ES"/>
        </w:rPr>
        <w:t>.</w:t>
      </w:r>
    </w:p>
    <w:p w14:paraId="11E931C0" w14:textId="1804C3CB" w:rsidR="00613322" w:rsidRPr="00986C31" w:rsidRDefault="00613322" w:rsidP="0009577F">
      <w:pPr>
        <w:rPr>
          <w:lang w:val="es-ES"/>
        </w:rPr>
      </w:pPr>
      <w:r w:rsidRPr="00986C31">
        <w:rPr>
          <w:lang w:val="es-ES"/>
        </w:rPr>
        <w:t>1.3</w:t>
      </w:r>
      <w:r w:rsidRPr="00986C31">
        <w:rPr>
          <w:lang w:val="es-ES"/>
        </w:rPr>
        <w:tab/>
        <w:t>El 28 de agosto de 2023, el Ministro de Comunicaciones y Tecnología de la Información de Qatar informó</w:t>
      </w:r>
      <w:r>
        <w:rPr>
          <w:lang w:val="es-ES"/>
        </w:rPr>
        <w:t xml:space="preserve"> a la Secretaria General de que Qatar se ofrece a acoger la próxima PP en el</w:t>
      </w:r>
      <w:r w:rsidRPr="00986C31">
        <w:rPr>
          <w:lang w:val="es-ES"/>
        </w:rPr>
        <w:t xml:space="preserve"> Doha Exhibition and Convention Center (</w:t>
      </w:r>
      <w:r>
        <w:rPr>
          <w:lang w:val="es-ES"/>
        </w:rPr>
        <w:t>D</w:t>
      </w:r>
      <w:r w:rsidRPr="00986C31">
        <w:rPr>
          <w:lang w:val="es-ES"/>
        </w:rPr>
        <w:t xml:space="preserve">ECC) </w:t>
      </w:r>
      <w:r>
        <w:rPr>
          <w:lang w:val="es-ES"/>
        </w:rPr>
        <w:t>del</w:t>
      </w:r>
      <w:r w:rsidRPr="00986C31">
        <w:rPr>
          <w:lang w:val="es-ES"/>
        </w:rPr>
        <w:t xml:space="preserve"> </w:t>
      </w:r>
      <w:r w:rsidRPr="00986C31">
        <w:rPr>
          <w:b/>
          <w:bCs/>
          <w:lang w:val="es-ES"/>
        </w:rPr>
        <w:t xml:space="preserve">9 </w:t>
      </w:r>
      <w:r>
        <w:rPr>
          <w:b/>
          <w:bCs/>
          <w:lang w:val="es-ES"/>
        </w:rPr>
        <w:t>al</w:t>
      </w:r>
      <w:r w:rsidRPr="00986C31">
        <w:rPr>
          <w:b/>
          <w:bCs/>
          <w:lang w:val="es-ES"/>
        </w:rPr>
        <w:t xml:space="preserve"> 27 </w:t>
      </w:r>
      <w:r>
        <w:rPr>
          <w:b/>
          <w:bCs/>
          <w:lang w:val="es-ES"/>
        </w:rPr>
        <w:t>de noviembre de</w:t>
      </w:r>
      <w:r w:rsidRPr="00986C31">
        <w:rPr>
          <w:b/>
          <w:bCs/>
          <w:lang w:val="es-ES"/>
        </w:rPr>
        <w:t xml:space="preserve"> 2026</w:t>
      </w:r>
      <w:r>
        <w:rPr>
          <w:lang w:val="es-ES"/>
        </w:rPr>
        <w:t xml:space="preserve"> </w:t>
      </w:r>
      <w:r w:rsidRPr="00986C31">
        <w:rPr>
          <w:rFonts w:hint="eastAsia"/>
          <w:lang w:val="es-ES"/>
        </w:rPr>
        <w:t>(</w:t>
      </w:r>
      <w:r>
        <w:rPr>
          <w:lang w:val="es-ES"/>
        </w:rPr>
        <w:t>véase el</w:t>
      </w:r>
      <w:r w:rsidRPr="00986C31">
        <w:rPr>
          <w:lang w:val="es-ES"/>
        </w:rPr>
        <w:t xml:space="preserve"> </w:t>
      </w:r>
      <w:hyperlink w:anchor="annexA" w:history="1">
        <w:r w:rsidRPr="00986C31">
          <w:rPr>
            <w:rStyle w:val="Hyperlink"/>
            <w:lang w:val="es-ES"/>
          </w:rPr>
          <w:t>Anex</w:t>
        </w:r>
        <w:r w:rsidR="0009577F">
          <w:rPr>
            <w:rStyle w:val="Hyperlink"/>
            <w:lang w:val="es-ES"/>
          </w:rPr>
          <w:t>o</w:t>
        </w:r>
        <w:r w:rsidRPr="00986C31">
          <w:rPr>
            <w:rStyle w:val="Hyperlink"/>
            <w:lang w:val="es-ES"/>
          </w:rPr>
          <w:t xml:space="preserve"> A</w:t>
        </w:r>
      </w:hyperlink>
      <w:r w:rsidRPr="00986C31">
        <w:rPr>
          <w:lang w:val="es-ES"/>
        </w:rPr>
        <w:t>).</w:t>
      </w:r>
    </w:p>
    <w:p w14:paraId="3A2650F1" w14:textId="77777777" w:rsidR="00613322" w:rsidRPr="00E01E8C" w:rsidRDefault="00613322" w:rsidP="00613322">
      <w:pPr>
        <w:pStyle w:val="Heading1"/>
        <w:spacing w:before="240" w:after="120"/>
        <w:jc w:val="both"/>
      </w:pPr>
      <w:r>
        <w:t>2</w:t>
      </w:r>
      <w:r w:rsidRPr="00E01E8C">
        <w:tab/>
        <w:t>Prop</w:t>
      </w:r>
      <w:r>
        <w:t>uesta</w:t>
      </w:r>
    </w:p>
    <w:p w14:paraId="6AFBFE3F" w14:textId="3CD9FCB5" w:rsidR="00613322" w:rsidRPr="00505E53" w:rsidRDefault="00613322" w:rsidP="0009577F">
      <w:pPr>
        <w:rPr>
          <w:lang w:val="es-ES"/>
        </w:rPr>
      </w:pPr>
      <w:r w:rsidRPr="00505E53">
        <w:rPr>
          <w:lang w:val="es-ES"/>
        </w:rPr>
        <w:t>2.1</w:t>
      </w:r>
      <w:r w:rsidRPr="00505E53">
        <w:rPr>
          <w:lang w:val="es-ES"/>
        </w:rPr>
        <w:tab/>
        <w:t xml:space="preserve">Se invita al Consejo a considerar la invitación de Qatar para celebrar la PP-26 en Doha del </w:t>
      </w:r>
      <w:r w:rsidRPr="00505E53">
        <w:rPr>
          <w:b/>
          <w:bCs/>
          <w:lang w:val="es-ES"/>
        </w:rPr>
        <w:t xml:space="preserve">lunes 9 de noviembre de 2026 al viernes 27 de noviembre de 2026 </w:t>
      </w:r>
      <w:r w:rsidRPr="00505E53">
        <w:rPr>
          <w:lang w:val="es-ES"/>
        </w:rPr>
        <w:t xml:space="preserve">en el Doha Exhibition and Convention Center (DECC) </w:t>
      </w:r>
      <w:r>
        <w:rPr>
          <w:lang w:val="es-ES"/>
        </w:rPr>
        <w:t>y a decidir el lugar y las fechas exactas de celebración de la</w:t>
      </w:r>
      <w:r w:rsidRPr="00505E53">
        <w:rPr>
          <w:lang w:val="es-ES"/>
        </w:rPr>
        <w:t xml:space="preserve"> PP</w:t>
      </w:r>
      <w:r w:rsidR="0009577F">
        <w:rPr>
          <w:lang w:val="es-ES"/>
        </w:rPr>
        <w:noBreakHyphen/>
      </w:r>
      <w:r w:rsidRPr="00505E53">
        <w:rPr>
          <w:lang w:val="es-ES"/>
        </w:rPr>
        <w:t xml:space="preserve">26 </w:t>
      </w:r>
      <w:r>
        <w:rPr>
          <w:lang w:val="es-ES"/>
        </w:rPr>
        <w:t>adoptando el proyecto de Acuerdo que figura en el</w:t>
      </w:r>
      <w:r w:rsidRPr="00505E53">
        <w:rPr>
          <w:lang w:val="es-ES"/>
        </w:rPr>
        <w:t xml:space="preserve"> </w:t>
      </w:r>
      <w:hyperlink w:anchor="annexb" w:history="1">
        <w:r w:rsidRPr="00505E53">
          <w:rPr>
            <w:rStyle w:val="Hyperlink"/>
            <w:lang w:val="es-ES"/>
          </w:rPr>
          <w:t>Anex</w:t>
        </w:r>
        <w:r>
          <w:rPr>
            <w:rStyle w:val="Hyperlink"/>
            <w:lang w:val="es-ES"/>
          </w:rPr>
          <w:t>o</w:t>
        </w:r>
        <w:r w:rsidRPr="00505E53">
          <w:rPr>
            <w:rStyle w:val="Hyperlink"/>
            <w:lang w:val="es-ES"/>
          </w:rPr>
          <w:t xml:space="preserve"> B</w:t>
        </w:r>
      </w:hyperlink>
      <w:r w:rsidRPr="00505E53">
        <w:rPr>
          <w:lang w:val="es-ES"/>
        </w:rPr>
        <w:t>.</w:t>
      </w:r>
    </w:p>
    <w:p w14:paraId="6055A8C7" w14:textId="215EEF11" w:rsidR="00613322" w:rsidRPr="00505E53" w:rsidRDefault="00613322" w:rsidP="0009577F">
      <w:pPr>
        <w:rPr>
          <w:lang w:val="es-ES"/>
        </w:rPr>
      </w:pPr>
      <w:r w:rsidRPr="00505E53">
        <w:rPr>
          <w:lang w:val="es-ES"/>
        </w:rPr>
        <w:t>2</w:t>
      </w:r>
      <w:r w:rsidR="0009577F">
        <w:rPr>
          <w:lang w:val="es-ES"/>
        </w:rPr>
        <w:t>.</w:t>
      </w:r>
      <w:r w:rsidRPr="00505E53">
        <w:rPr>
          <w:lang w:val="es-ES"/>
        </w:rPr>
        <w:t>2</w:t>
      </w:r>
      <w:r w:rsidRPr="00505E53">
        <w:rPr>
          <w:lang w:val="es-ES"/>
        </w:rPr>
        <w:tab/>
        <w:t>Se efectuará una consulta entre los Estados Miembros de la UIT para confirmar su aprobaci</w:t>
      </w:r>
      <w:r>
        <w:rPr>
          <w:lang w:val="es-ES"/>
        </w:rPr>
        <w:t>ón de ese lugar y esas fechas exactas, conforme al número 2 del Convenio de la UIT</w:t>
      </w:r>
      <w:r w:rsidRPr="00505E53">
        <w:rPr>
          <w:lang w:val="es-ES"/>
        </w:rPr>
        <w:t>.</w:t>
      </w:r>
    </w:p>
    <w:p w14:paraId="5138B7BA" w14:textId="77777777" w:rsidR="00613322" w:rsidRPr="00505E53" w:rsidRDefault="00613322" w:rsidP="00613322">
      <w:pPr>
        <w:spacing w:before="720" w:after="120"/>
        <w:jc w:val="both"/>
        <w:rPr>
          <w:lang w:val="es-ES"/>
        </w:rPr>
      </w:pPr>
      <w:r w:rsidRPr="00505E53">
        <w:rPr>
          <w:b/>
          <w:bCs/>
          <w:lang w:val="es-ES"/>
        </w:rPr>
        <w:t>Anexos</w:t>
      </w:r>
      <w:r w:rsidRPr="00505E53">
        <w:rPr>
          <w:lang w:val="es-ES"/>
        </w:rPr>
        <w:t>: 2</w:t>
      </w:r>
    </w:p>
    <w:p w14:paraId="07ED47D2" w14:textId="77777777" w:rsidR="00613322" w:rsidRPr="00505E53" w:rsidRDefault="00613322" w:rsidP="0061332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505E53">
        <w:rPr>
          <w:lang w:val="es-ES"/>
        </w:rPr>
        <w:br w:type="page"/>
      </w:r>
    </w:p>
    <w:p w14:paraId="34E8F052" w14:textId="77777777" w:rsidR="00613322" w:rsidRPr="00505E53" w:rsidRDefault="00613322" w:rsidP="00613322">
      <w:pPr>
        <w:pStyle w:val="AnnexNo"/>
        <w:rPr>
          <w:lang w:val="es-ES"/>
        </w:rPr>
      </w:pPr>
      <w:r w:rsidRPr="00505E53">
        <w:rPr>
          <w:lang w:val="es-ES"/>
        </w:rPr>
        <w:lastRenderedPageBreak/>
        <w:t>ANEXo A</w:t>
      </w:r>
      <w:bookmarkStart w:id="1" w:name="annexA"/>
      <w:bookmarkEnd w:id="1"/>
    </w:p>
    <w:p w14:paraId="6E4646FA" w14:textId="77777777" w:rsidR="00613322" w:rsidRPr="00505E53" w:rsidRDefault="00613322" w:rsidP="00613322">
      <w:pPr>
        <w:pStyle w:val="Annextitle"/>
        <w:rPr>
          <w:lang w:val="es-ES"/>
        </w:rPr>
      </w:pPr>
      <w:r w:rsidRPr="00505E53">
        <w:rPr>
          <w:lang w:val="es-ES"/>
        </w:rPr>
        <w:t>Estado de Qatar</w:t>
      </w:r>
    </w:p>
    <w:p w14:paraId="191DDE82" w14:textId="77777777" w:rsidR="00613322" w:rsidRPr="00505E53" w:rsidRDefault="00613322" w:rsidP="00613322">
      <w:pPr>
        <w:pStyle w:val="Annextitle"/>
        <w:rPr>
          <w:lang w:val="es-ES"/>
        </w:rPr>
      </w:pPr>
      <w:r w:rsidRPr="00505E53">
        <w:rPr>
          <w:lang w:val="es-ES"/>
        </w:rPr>
        <w:t>Ministerio de Comunicaciones y Tecnol</w:t>
      </w:r>
      <w:r>
        <w:rPr>
          <w:lang w:val="es-ES"/>
        </w:rPr>
        <w:t>ogía de la Información</w:t>
      </w:r>
    </w:p>
    <w:p w14:paraId="29EDD41B" w14:textId="77777777" w:rsidR="00613322" w:rsidRDefault="00613322" w:rsidP="00613322">
      <w:pPr>
        <w:pStyle w:val="Annextitle"/>
      </w:pPr>
      <w:r>
        <w:t>Gabinete del Ministro</w:t>
      </w:r>
    </w:p>
    <w:p w14:paraId="23EED019" w14:textId="77777777" w:rsidR="00613322" w:rsidRPr="00505E53" w:rsidRDefault="00613322" w:rsidP="00613322">
      <w:pPr>
        <w:spacing w:before="480"/>
        <w:rPr>
          <w:lang w:val="es-ES"/>
        </w:rPr>
      </w:pPr>
      <w:r w:rsidRPr="00505E53">
        <w:rPr>
          <w:lang w:val="es-ES"/>
        </w:rPr>
        <w:t>Fecha: 28 de agosto de 2023</w:t>
      </w:r>
    </w:p>
    <w:p w14:paraId="1BB22314" w14:textId="77777777" w:rsidR="00613322" w:rsidRPr="00613322" w:rsidRDefault="00613322" w:rsidP="00613322">
      <w:pPr>
        <w:rPr>
          <w:lang w:val="es-ES"/>
        </w:rPr>
      </w:pPr>
      <w:r w:rsidRPr="00613322">
        <w:rPr>
          <w:lang w:val="es-ES"/>
        </w:rPr>
        <w:t>REF:MCIT/MO/390/2023</w:t>
      </w:r>
    </w:p>
    <w:p w14:paraId="1BF8817F" w14:textId="77777777" w:rsidR="00613322" w:rsidRPr="00505E53" w:rsidRDefault="00613322" w:rsidP="00613322">
      <w:pPr>
        <w:tabs>
          <w:tab w:val="left" w:pos="426"/>
        </w:tabs>
        <w:spacing w:before="480"/>
        <w:rPr>
          <w:lang w:val="es-ES"/>
        </w:rPr>
      </w:pPr>
      <w:r w:rsidRPr="00505E53">
        <w:rPr>
          <w:lang w:val="es-ES"/>
        </w:rPr>
        <w:t>Excma. Sra. Doreen Bogdan-Martin</w:t>
      </w:r>
    </w:p>
    <w:p w14:paraId="278CA6B3" w14:textId="77777777" w:rsidR="00613322" w:rsidRPr="00505E53" w:rsidRDefault="00613322" w:rsidP="00613322">
      <w:pPr>
        <w:tabs>
          <w:tab w:val="left" w:pos="426"/>
        </w:tabs>
        <w:spacing w:before="0"/>
        <w:rPr>
          <w:lang w:val="es-ES"/>
        </w:rPr>
      </w:pPr>
      <w:r w:rsidRPr="00505E53">
        <w:rPr>
          <w:lang w:val="es-ES"/>
        </w:rPr>
        <w:t>Secretaria General</w:t>
      </w:r>
    </w:p>
    <w:p w14:paraId="59E3F864" w14:textId="77777777" w:rsidR="00613322" w:rsidRDefault="00613322" w:rsidP="00613322">
      <w:pPr>
        <w:tabs>
          <w:tab w:val="left" w:pos="426"/>
        </w:tabs>
        <w:spacing w:before="0"/>
      </w:pPr>
      <w:r>
        <w:t>Unión Internacional de Telecomunicaciones</w:t>
      </w:r>
    </w:p>
    <w:p w14:paraId="19BD0C97" w14:textId="77777777" w:rsidR="00613322" w:rsidRDefault="00613322" w:rsidP="00613322">
      <w:pPr>
        <w:tabs>
          <w:tab w:val="left" w:pos="426"/>
        </w:tabs>
        <w:spacing w:before="0"/>
      </w:pPr>
      <w:r>
        <w:t>Ginebra, Suiza</w:t>
      </w:r>
    </w:p>
    <w:p w14:paraId="0498C4CA" w14:textId="77777777" w:rsidR="00613322" w:rsidRPr="0009577F" w:rsidRDefault="00613322" w:rsidP="0009577F">
      <w:pPr>
        <w:rPr>
          <w:b/>
          <w:bCs/>
          <w:lang w:val="es-ES"/>
        </w:rPr>
      </w:pPr>
      <w:r w:rsidRPr="0009577F">
        <w:rPr>
          <w:b/>
          <w:bCs/>
          <w:lang w:val="es-ES"/>
        </w:rPr>
        <w:t>Asunto: Fechas y lugar de celebración de la Conferencia de Plenipotenciarios de 2026</w:t>
      </w:r>
    </w:p>
    <w:p w14:paraId="7D67ACC2" w14:textId="184B0D87" w:rsidR="00613322" w:rsidRPr="00505E53" w:rsidRDefault="00613322" w:rsidP="00613322">
      <w:pPr>
        <w:rPr>
          <w:szCs w:val="24"/>
          <w:lang w:val="es-ES"/>
        </w:rPr>
      </w:pPr>
      <w:r w:rsidRPr="00505E53">
        <w:rPr>
          <w:szCs w:val="24"/>
          <w:lang w:val="es-ES"/>
        </w:rPr>
        <w:t>En referencia a la decisión adoptada por la Conferencia de Plenipotenciarios de la UIT de</w:t>
      </w:r>
      <w:r w:rsidR="0009577F">
        <w:rPr>
          <w:szCs w:val="24"/>
          <w:lang w:val="es-ES"/>
        </w:rPr>
        <w:t> </w:t>
      </w:r>
      <w:r w:rsidRPr="00505E53">
        <w:rPr>
          <w:szCs w:val="24"/>
          <w:lang w:val="es-ES"/>
        </w:rPr>
        <w:t>2022, ce</w:t>
      </w:r>
      <w:r>
        <w:rPr>
          <w:szCs w:val="24"/>
          <w:lang w:val="es-ES"/>
        </w:rPr>
        <w:t>lebrada en Bucarest, Rumania, en el inciso 5.5 de su Resolución</w:t>
      </w:r>
      <w:r w:rsidRPr="00505E53">
        <w:rPr>
          <w:szCs w:val="24"/>
          <w:lang w:val="es-ES"/>
        </w:rPr>
        <w:t xml:space="preserve"> 77</w:t>
      </w:r>
      <w:r>
        <w:rPr>
          <w:szCs w:val="24"/>
          <w:lang w:val="es-ES"/>
        </w:rPr>
        <w:t xml:space="preserve">, a saber, que </w:t>
      </w:r>
      <w:r w:rsidR="0009577F">
        <w:rPr>
          <w:szCs w:val="24"/>
          <w:lang w:val="es-ES"/>
        </w:rPr>
        <w:t>"</w:t>
      </w:r>
      <w:r>
        <w:rPr>
          <w:szCs w:val="24"/>
          <w:lang w:val="es-ES"/>
        </w:rPr>
        <w:t xml:space="preserve">la Conferencia de Plenipotenciarios se celebrará en el último trimestre de 2026 en </w:t>
      </w:r>
      <w:r w:rsidRPr="00505E53">
        <w:rPr>
          <w:szCs w:val="24"/>
          <w:lang w:val="es-ES"/>
        </w:rPr>
        <w:t>Doha</w:t>
      </w:r>
      <w:r>
        <w:rPr>
          <w:szCs w:val="24"/>
          <w:lang w:val="es-ES"/>
        </w:rPr>
        <w:t xml:space="preserve"> (Qatar)</w:t>
      </w:r>
      <w:r w:rsidR="0009577F">
        <w:rPr>
          <w:szCs w:val="24"/>
          <w:lang w:val="es-ES"/>
        </w:rPr>
        <w:t>"</w:t>
      </w:r>
      <w:r>
        <w:rPr>
          <w:szCs w:val="24"/>
          <w:lang w:val="es-ES"/>
        </w:rPr>
        <w:t>, es para mí un honor informarle de que el Estado de Qatar desearía celebrar la Conferencia de Plenipotenciarios de la UIT de 2026 en el</w:t>
      </w:r>
      <w:r w:rsidRPr="00505E53">
        <w:rPr>
          <w:szCs w:val="24"/>
          <w:lang w:val="es-ES"/>
        </w:rPr>
        <w:t xml:space="preserve"> Doha Exhibition and Convention Centre (DECC) </w:t>
      </w:r>
      <w:r>
        <w:rPr>
          <w:szCs w:val="24"/>
          <w:lang w:val="es-ES"/>
        </w:rPr>
        <w:t>del 9 al 27 de noviembre de</w:t>
      </w:r>
      <w:r w:rsidRPr="00505E53">
        <w:rPr>
          <w:szCs w:val="24"/>
          <w:lang w:val="es-ES"/>
        </w:rPr>
        <w:t xml:space="preserve"> 2026. </w:t>
      </w:r>
    </w:p>
    <w:p w14:paraId="0E99E2A6" w14:textId="77777777" w:rsidR="00613322" w:rsidRPr="00505E53" w:rsidRDefault="00613322" w:rsidP="00613322">
      <w:pPr>
        <w:spacing w:before="600"/>
        <w:rPr>
          <w:szCs w:val="24"/>
          <w:lang w:val="es-ES"/>
        </w:rPr>
      </w:pPr>
      <w:r w:rsidRPr="00505E53">
        <w:rPr>
          <w:szCs w:val="24"/>
          <w:lang w:val="es-ES"/>
        </w:rPr>
        <w:t>Atentamente,</w:t>
      </w:r>
    </w:p>
    <w:p w14:paraId="4098ACCF" w14:textId="77777777" w:rsidR="00613322" w:rsidRPr="00505E53" w:rsidRDefault="00613322" w:rsidP="00613322">
      <w:pPr>
        <w:spacing w:before="600"/>
        <w:rPr>
          <w:lang w:val="es-ES"/>
        </w:rPr>
      </w:pPr>
      <w:r w:rsidRPr="00505E53">
        <w:rPr>
          <w:lang w:val="es-ES"/>
        </w:rPr>
        <w:t>[firmado]</w:t>
      </w:r>
    </w:p>
    <w:p w14:paraId="3C2A4503" w14:textId="77777777" w:rsidR="00613322" w:rsidRPr="00505E53" w:rsidRDefault="00613322" w:rsidP="00613322">
      <w:pPr>
        <w:spacing w:before="360"/>
        <w:rPr>
          <w:lang w:val="es-ES"/>
        </w:rPr>
      </w:pPr>
      <w:r w:rsidRPr="00505E53">
        <w:rPr>
          <w:lang w:val="es-ES"/>
        </w:rPr>
        <w:t>Mohamed bin Ali Al Mannai</w:t>
      </w:r>
      <w:r w:rsidRPr="00505E53">
        <w:rPr>
          <w:lang w:val="es-ES"/>
        </w:rPr>
        <w:br/>
        <w:t>Ministro de Comunicaciones y Tecnología</w:t>
      </w:r>
      <w:r>
        <w:rPr>
          <w:lang w:val="es-ES"/>
        </w:rPr>
        <w:t xml:space="preserve"> de la Información</w:t>
      </w:r>
    </w:p>
    <w:p w14:paraId="3CA64654" w14:textId="77777777" w:rsidR="00613322" w:rsidRPr="00505E53" w:rsidRDefault="00613322" w:rsidP="00613322">
      <w:pPr>
        <w:rPr>
          <w:lang w:val="es-ES"/>
        </w:rPr>
      </w:pPr>
    </w:p>
    <w:p w14:paraId="51E4CDDF" w14:textId="77777777" w:rsidR="00613322" w:rsidRPr="00505E53" w:rsidRDefault="00613322" w:rsidP="00613322">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51BAB72E" w14:textId="77777777" w:rsidR="00613322" w:rsidRPr="00505E53" w:rsidRDefault="00613322" w:rsidP="0061332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505E53">
        <w:rPr>
          <w:lang w:val="es-ES"/>
        </w:rPr>
        <w:br w:type="page"/>
      </w:r>
    </w:p>
    <w:p w14:paraId="03125162" w14:textId="77777777" w:rsidR="00613322" w:rsidRPr="00505E53" w:rsidRDefault="00613322" w:rsidP="00613322">
      <w:pPr>
        <w:pStyle w:val="AnnexNo"/>
        <w:rPr>
          <w:lang w:val="es-ES"/>
        </w:rPr>
      </w:pPr>
      <w:r w:rsidRPr="00505E53">
        <w:rPr>
          <w:lang w:val="es-ES"/>
        </w:rPr>
        <w:lastRenderedPageBreak/>
        <w:t>ANEXO B</w:t>
      </w:r>
      <w:bookmarkStart w:id="2" w:name="annexb"/>
      <w:bookmarkEnd w:id="2"/>
    </w:p>
    <w:p w14:paraId="70C8BEC4" w14:textId="77777777" w:rsidR="00613322" w:rsidRPr="00505E53" w:rsidRDefault="00613322" w:rsidP="00613322">
      <w:pPr>
        <w:pStyle w:val="ResNo"/>
        <w:rPr>
          <w:lang w:val="es-ES"/>
        </w:rPr>
      </w:pPr>
      <w:r w:rsidRPr="00505E53">
        <w:rPr>
          <w:lang w:val="es-ES"/>
        </w:rPr>
        <w:t>PROYECTO DE ACUERDO [...]</w:t>
      </w:r>
    </w:p>
    <w:p w14:paraId="604B5ED0" w14:textId="097B5047" w:rsidR="00613322" w:rsidRPr="00505E53" w:rsidRDefault="00613322" w:rsidP="00613322">
      <w:pPr>
        <w:pStyle w:val="Restitle"/>
        <w:rPr>
          <w:lang w:val="es-ES"/>
        </w:rPr>
      </w:pPr>
      <w:r w:rsidRPr="00505E53">
        <w:rPr>
          <w:lang w:val="es-ES"/>
        </w:rPr>
        <w:t xml:space="preserve">Convocación de la próxima </w:t>
      </w:r>
      <w:r w:rsidR="0009577F" w:rsidRPr="00505E53">
        <w:rPr>
          <w:lang w:val="es-ES"/>
        </w:rPr>
        <w:t>Conferencia</w:t>
      </w:r>
      <w:r w:rsidRPr="00505E53">
        <w:rPr>
          <w:lang w:val="es-ES"/>
        </w:rPr>
        <w:t xml:space="preserve"> de </w:t>
      </w:r>
      <w:r>
        <w:rPr>
          <w:lang w:val="es-ES"/>
        </w:rPr>
        <w:t>Plenipotenciarios ordinaria</w:t>
      </w:r>
    </w:p>
    <w:p w14:paraId="46813AD6" w14:textId="77777777" w:rsidR="00613322" w:rsidRPr="003B157A" w:rsidRDefault="00613322" w:rsidP="00613322">
      <w:pPr>
        <w:pStyle w:val="Normalaftertitle"/>
      </w:pPr>
      <w:r>
        <w:t>El Consejo</w:t>
      </w:r>
      <w:r w:rsidRPr="003B157A">
        <w:t>,</w:t>
      </w:r>
    </w:p>
    <w:p w14:paraId="66BB0572" w14:textId="77777777" w:rsidR="00613322" w:rsidRPr="003B157A" w:rsidRDefault="00613322" w:rsidP="00613322">
      <w:pPr>
        <w:pStyle w:val="Call"/>
      </w:pPr>
      <w:r w:rsidRPr="003F6AFC">
        <w:t>o</w:t>
      </w:r>
      <w:r>
        <w:t>bservando</w:t>
      </w:r>
    </w:p>
    <w:p w14:paraId="2FCCE139" w14:textId="77777777" w:rsidR="00613322" w:rsidRPr="00B04B5C" w:rsidRDefault="00613322" w:rsidP="00613322">
      <w:pPr>
        <w:rPr>
          <w:lang w:val="es-ES"/>
        </w:rPr>
      </w:pPr>
      <w:r w:rsidRPr="00B04B5C">
        <w:rPr>
          <w:lang w:val="es-ES"/>
        </w:rPr>
        <w:t xml:space="preserve">la Resolución 77 (Rev. Bucarest, 2022), que establece que la próxima Conferencia de Plenipotenciarios (PP) se celebre en el último trimestre de </w:t>
      </w:r>
      <w:r>
        <w:rPr>
          <w:lang w:val="es-ES"/>
        </w:rPr>
        <w:t>2026 en</w:t>
      </w:r>
      <w:r w:rsidRPr="00B04B5C">
        <w:rPr>
          <w:lang w:val="es-ES"/>
        </w:rPr>
        <w:t xml:space="preserve"> Doha, Qatar,</w:t>
      </w:r>
    </w:p>
    <w:p w14:paraId="61E91661" w14:textId="77777777" w:rsidR="00613322" w:rsidRPr="003B157A" w:rsidRDefault="00613322" w:rsidP="00613322">
      <w:pPr>
        <w:pStyle w:val="Call"/>
      </w:pPr>
      <w:r>
        <w:t>acuerda</w:t>
      </w:r>
    </w:p>
    <w:p w14:paraId="460C7CCD" w14:textId="77777777" w:rsidR="00613322" w:rsidRPr="00B04B5C" w:rsidRDefault="00613322" w:rsidP="00613322">
      <w:pPr>
        <w:rPr>
          <w:lang w:val="es-ES"/>
        </w:rPr>
      </w:pPr>
      <w:r w:rsidRPr="00B04B5C">
        <w:rPr>
          <w:i/>
          <w:iCs/>
          <w:lang w:val="es-ES"/>
        </w:rPr>
        <w:t>a)</w:t>
      </w:r>
      <w:r w:rsidRPr="00B04B5C">
        <w:rPr>
          <w:lang w:val="es-ES"/>
        </w:rPr>
        <w:tab/>
        <w:t>que, a reserva del acuerdo de la mayoría de los Estados Miembros de la Unión, la próxima Conferencia de Plenipotenciarios ordinaria se celebre durante un periodo de tres semanas en el Doha Exhibition and Convention Center;</w:t>
      </w:r>
    </w:p>
    <w:p w14:paraId="681C9E16" w14:textId="77777777" w:rsidR="00613322" w:rsidRPr="00B04B5C" w:rsidRDefault="00613322" w:rsidP="00613322">
      <w:pPr>
        <w:rPr>
          <w:lang w:val="es-ES"/>
        </w:rPr>
      </w:pPr>
      <w:r w:rsidRPr="00B04B5C">
        <w:rPr>
          <w:i/>
          <w:iCs/>
          <w:lang w:val="es-ES"/>
        </w:rPr>
        <w:t>b)</w:t>
      </w:r>
      <w:r w:rsidRPr="00B04B5C">
        <w:rPr>
          <w:i/>
          <w:iCs/>
          <w:lang w:val="es-ES"/>
        </w:rPr>
        <w:tab/>
      </w:r>
      <w:r w:rsidRPr="00B04B5C">
        <w:rPr>
          <w:lang w:val="es-ES"/>
        </w:rPr>
        <w:t>que las fechas de apertura y clausura de la Conferencia serán, respectivamente, el [l</w:t>
      </w:r>
      <w:r>
        <w:rPr>
          <w:lang w:val="es-ES"/>
        </w:rPr>
        <w:t>unes</w:t>
      </w:r>
      <w:r w:rsidRPr="00B04B5C">
        <w:rPr>
          <w:lang w:val="es-ES"/>
        </w:rPr>
        <w:t xml:space="preserve"> 9 </w:t>
      </w:r>
      <w:r>
        <w:rPr>
          <w:lang w:val="es-ES"/>
        </w:rPr>
        <w:t>de noviembre de</w:t>
      </w:r>
      <w:r w:rsidRPr="00B04B5C">
        <w:rPr>
          <w:lang w:val="es-ES"/>
        </w:rPr>
        <w:t xml:space="preserve"> 2026] </w:t>
      </w:r>
      <w:r>
        <w:rPr>
          <w:lang w:val="es-ES"/>
        </w:rPr>
        <w:t>y el</w:t>
      </w:r>
      <w:r w:rsidRPr="00B04B5C">
        <w:rPr>
          <w:lang w:val="es-ES"/>
        </w:rPr>
        <w:t xml:space="preserve"> [</w:t>
      </w:r>
      <w:r>
        <w:rPr>
          <w:lang w:val="es-ES"/>
        </w:rPr>
        <w:t>viernes</w:t>
      </w:r>
      <w:r w:rsidRPr="00B04B5C">
        <w:rPr>
          <w:lang w:val="es-ES"/>
        </w:rPr>
        <w:t xml:space="preserve"> 27 </w:t>
      </w:r>
      <w:r>
        <w:rPr>
          <w:lang w:val="es-ES"/>
        </w:rPr>
        <w:t>de noviembre de</w:t>
      </w:r>
      <w:r w:rsidRPr="00B04B5C">
        <w:rPr>
          <w:lang w:val="es-ES"/>
        </w:rPr>
        <w:t xml:space="preserve"> 2026],</w:t>
      </w:r>
    </w:p>
    <w:p w14:paraId="2CE99520" w14:textId="77777777" w:rsidR="00613322" w:rsidRPr="003B157A" w:rsidRDefault="00613322" w:rsidP="00613322">
      <w:pPr>
        <w:pStyle w:val="Call"/>
      </w:pPr>
      <w:r>
        <w:t>encarga al Secretario General</w:t>
      </w:r>
    </w:p>
    <w:p w14:paraId="4218A51F" w14:textId="180AAC04" w:rsidR="00927F93" w:rsidRDefault="00613322" w:rsidP="00613322">
      <w:pPr>
        <w:rPr>
          <w:lang w:val="es-ES"/>
        </w:rPr>
      </w:pPr>
      <w:r w:rsidRPr="00B04B5C">
        <w:rPr>
          <w:lang w:val="es-ES"/>
        </w:rPr>
        <w:t>que organice una visita al lugar e informe al Consejo en su reunión de 2024.</w:t>
      </w:r>
    </w:p>
    <w:p w14:paraId="71ED8218" w14:textId="77777777" w:rsidR="00613322" w:rsidRDefault="00613322" w:rsidP="00411C49">
      <w:pPr>
        <w:pStyle w:val="Reasons"/>
      </w:pPr>
    </w:p>
    <w:p w14:paraId="3FA4D59E" w14:textId="77777777" w:rsidR="00613322" w:rsidRDefault="00613322">
      <w:pPr>
        <w:jc w:val="center"/>
      </w:pPr>
      <w:r>
        <w:t>______________</w:t>
      </w:r>
    </w:p>
    <w:p w14:paraId="49057886" w14:textId="77777777" w:rsidR="00613322" w:rsidRPr="000B0D00" w:rsidRDefault="00613322" w:rsidP="00613322"/>
    <w:sectPr w:rsidR="00613322" w:rsidRPr="000B0D00"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8FB6" w14:textId="77777777" w:rsidR="000D3698" w:rsidRDefault="000D3698">
      <w:r>
        <w:separator/>
      </w:r>
    </w:p>
  </w:endnote>
  <w:endnote w:type="continuationSeparator" w:id="0">
    <w:p w14:paraId="54EBF6BE" w14:textId="77777777" w:rsidR="000D3698" w:rsidRDefault="000D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8B2E19C" w14:textId="77777777" w:rsidTr="00E31DCE">
      <w:trPr>
        <w:jc w:val="center"/>
      </w:trPr>
      <w:tc>
        <w:tcPr>
          <w:tcW w:w="1803" w:type="dxa"/>
          <w:vAlign w:val="center"/>
        </w:tcPr>
        <w:p w14:paraId="0602AE30" w14:textId="4ED41E7F" w:rsidR="003273A4" w:rsidRDefault="003273A4" w:rsidP="003273A4">
          <w:pPr>
            <w:pStyle w:val="Header"/>
            <w:jc w:val="left"/>
            <w:rPr>
              <w:noProof/>
            </w:rPr>
          </w:pPr>
          <w:r>
            <w:rPr>
              <w:noProof/>
            </w:rPr>
            <w:t xml:space="preserve">DPS </w:t>
          </w:r>
          <w:r w:rsidR="00613322">
            <w:rPr>
              <w:noProof/>
            </w:rPr>
            <w:t>528194</w:t>
          </w:r>
        </w:p>
      </w:tc>
      <w:tc>
        <w:tcPr>
          <w:tcW w:w="8261" w:type="dxa"/>
        </w:tcPr>
        <w:p w14:paraId="2FE1136C" w14:textId="76B43E2D" w:rsidR="003273A4" w:rsidRPr="00E06FD5" w:rsidRDefault="003273A4" w:rsidP="00613322">
          <w:pPr>
            <w:pStyle w:val="Header"/>
            <w:tabs>
              <w:tab w:val="left" w:pos="6876"/>
              <w:tab w:val="right" w:pos="8505"/>
              <w:tab w:val="right" w:pos="9639"/>
            </w:tabs>
            <w:jc w:val="left"/>
            <w:rPr>
              <w:rFonts w:ascii="Arial" w:hAnsi="Arial" w:cs="Arial"/>
              <w:b/>
              <w:bCs/>
              <w:szCs w:val="18"/>
            </w:rPr>
          </w:pPr>
          <w:r>
            <w:rPr>
              <w:bCs/>
            </w:rPr>
            <w:tab/>
          </w:r>
          <w:r w:rsidRPr="00623AE3">
            <w:rPr>
              <w:bCs/>
            </w:rPr>
            <w:t>C</w:t>
          </w:r>
          <w:r>
            <w:rPr>
              <w:bCs/>
            </w:rPr>
            <w:t>23</w:t>
          </w:r>
          <w:r w:rsidR="00613322">
            <w:rPr>
              <w:bCs/>
            </w:rPr>
            <w:t>-ADD</w:t>
          </w:r>
          <w:r w:rsidRPr="00623AE3">
            <w:rPr>
              <w:bCs/>
            </w:rPr>
            <w:t>/</w:t>
          </w:r>
          <w:r w:rsidR="00613322">
            <w:rPr>
              <w:bCs/>
            </w:rPr>
            <w:t>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1861389" w14:textId="65C3E09C" w:rsidR="00760F1C" w:rsidRPr="00763C1D" w:rsidRDefault="000E63CC" w:rsidP="00F62440">
    <w:pPr>
      <w:pStyle w:val="Footer"/>
      <w:rPr>
        <w:lang w:val="fr-FR"/>
      </w:rPr>
    </w:pPr>
    <w:r w:rsidRPr="00763C1D">
      <w:rPr>
        <w:color w:val="F2F2F2" w:themeColor="background1" w:themeShade="F2"/>
      </w:rPr>
      <w:fldChar w:fldCharType="begin"/>
    </w:r>
    <w:r w:rsidRPr="00763C1D">
      <w:rPr>
        <w:color w:val="F2F2F2" w:themeColor="background1" w:themeShade="F2"/>
        <w:lang w:val="fr-FR"/>
      </w:rPr>
      <w:instrText xml:space="preserve"> FILENAME \p  \* MERGEFORMAT </w:instrText>
    </w:r>
    <w:r w:rsidRPr="00763C1D">
      <w:rPr>
        <w:color w:val="F2F2F2" w:themeColor="background1" w:themeShade="F2"/>
      </w:rPr>
      <w:fldChar w:fldCharType="separate"/>
    </w:r>
    <w:r w:rsidR="00F62440" w:rsidRPr="00763C1D">
      <w:rPr>
        <w:color w:val="F2F2F2" w:themeColor="background1" w:themeShade="F2"/>
        <w:lang w:val="fr-FR"/>
      </w:rPr>
      <w:t>P:\ESP\SG\CONSEIL\C23-ADD\004S.docx</w:t>
    </w:r>
    <w:r w:rsidRPr="00763C1D">
      <w:rPr>
        <w:color w:val="F2F2F2" w:themeColor="background1" w:themeShade="F2"/>
      </w:rPr>
      <w:fldChar w:fldCharType="end"/>
    </w:r>
    <w:r w:rsidR="00F62440" w:rsidRPr="00763C1D">
      <w:rPr>
        <w:color w:val="F2F2F2" w:themeColor="background1" w:themeShade="F2"/>
        <w:lang w:val="fr-FR"/>
      </w:rPr>
      <w:t xml:space="preserve"> (528194))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F0AA1B1" w14:textId="77777777" w:rsidTr="00E31DCE">
      <w:trPr>
        <w:jc w:val="center"/>
      </w:trPr>
      <w:tc>
        <w:tcPr>
          <w:tcW w:w="1803" w:type="dxa"/>
          <w:vAlign w:val="center"/>
        </w:tcPr>
        <w:p w14:paraId="04978BE1" w14:textId="77777777" w:rsidR="00F24B71" w:rsidRDefault="000E63CC" w:rsidP="00F24B71">
          <w:pPr>
            <w:pStyle w:val="Header"/>
            <w:jc w:val="left"/>
            <w:rPr>
              <w:noProof/>
            </w:rPr>
          </w:pPr>
          <w:hyperlink r:id="rId1" w:history="1">
            <w:r w:rsidR="00F24B71" w:rsidRPr="00A514A4">
              <w:rPr>
                <w:rStyle w:val="Hyperlink"/>
                <w:szCs w:val="14"/>
              </w:rPr>
              <w:t>www.itu.int/council</w:t>
            </w:r>
          </w:hyperlink>
        </w:p>
      </w:tc>
      <w:tc>
        <w:tcPr>
          <w:tcW w:w="8261" w:type="dxa"/>
        </w:tcPr>
        <w:p w14:paraId="44DDE0EC" w14:textId="7312C96C" w:rsidR="00F24B71" w:rsidRPr="00E06FD5" w:rsidRDefault="00F24B71" w:rsidP="00613322">
          <w:pPr>
            <w:pStyle w:val="Header"/>
            <w:tabs>
              <w:tab w:val="left" w:pos="6876"/>
              <w:tab w:val="right" w:pos="8505"/>
              <w:tab w:val="right" w:pos="9639"/>
            </w:tabs>
            <w:jc w:val="left"/>
            <w:rPr>
              <w:rFonts w:ascii="Arial" w:hAnsi="Arial" w:cs="Arial"/>
              <w:b/>
              <w:bCs/>
              <w:szCs w:val="18"/>
            </w:rPr>
          </w:pPr>
          <w:r>
            <w:rPr>
              <w:bCs/>
            </w:rPr>
            <w:tab/>
          </w:r>
          <w:r w:rsidRPr="00623AE3">
            <w:rPr>
              <w:bCs/>
            </w:rPr>
            <w:t>C</w:t>
          </w:r>
          <w:r>
            <w:rPr>
              <w:bCs/>
            </w:rPr>
            <w:t>23</w:t>
          </w:r>
          <w:r w:rsidR="00613322">
            <w:rPr>
              <w:bCs/>
            </w:rPr>
            <w:t>-ADD</w:t>
          </w:r>
          <w:r w:rsidRPr="00623AE3">
            <w:rPr>
              <w:bCs/>
            </w:rPr>
            <w:t>/</w:t>
          </w:r>
          <w:r w:rsidR="00613322">
            <w:rPr>
              <w:bCs/>
            </w:rPr>
            <w:t>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5E9C29E" w14:textId="6378ED4D" w:rsidR="00760F1C" w:rsidRPr="00763C1D" w:rsidRDefault="000E63CC" w:rsidP="00F62440">
    <w:pPr>
      <w:pStyle w:val="Footer"/>
      <w:rPr>
        <w:lang w:val="fr-FR"/>
      </w:rPr>
    </w:pPr>
    <w:r w:rsidRPr="00763C1D">
      <w:rPr>
        <w:color w:val="F2F2F2" w:themeColor="background1" w:themeShade="F2"/>
      </w:rPr>
      <w:fldChar w:fldCharType="begin"/>
    </w:r>
    <w:r w:rsidRPr="00763C1D">
      <w:rPr>
        <w:color w:val="F2F2F2" w:themeColor="background1" w:themeShade="F2"/>
        <w:lang w:val="fr-FR"/>
      </w:rPr>
      <w:instrText xml:space="preserve"> FILENAME \p  \* MERGEFORMAT </w:instrText>
    </w:r>
    <w:r w:rsidRPr="00763C1D">
      <w:rPr>
        <w:color w:val="F2F2F2" w:themeColor="background1" w:themeShade="F2"/>
      </w:rPr>
      <w:fldChar w:fldCharType="separate"/>
    </w:r>
    <w:r w:rsidR="00F62440" w:rsidRPr="00763C1D">
      <w:rPr>
        <w:color w:val="F2F2F2" w:themeColor="background1" w:themeShade="F2"/>
        <w:lang w:val="fr-FR"/>
      </w:rPr>
      <w:t>P:\ESP\SG\CONSEIL\C23-ADD\004S.docx</w:t>
    </w:r>
    <w:r w:rsidRPr="00763C1D">
      <w:rPr>
        <w:color w:val="F2F2F2" w:themeColor="background1" w:themeShade="F2"/>
      </w:rPr>
      <w:fldChar w:fldCharType="end"/>
    </w:r>
    <w:r w:rsidR="00F62440" w:rsidRPr="00763C1D">
      <w:rPr>
        <w:color w:val="F2F2F2" w:themeColor="background1" w:themeShade="F2"/>
        <w:lang w:val="fr-FR"/>
      </w:rPr>
      <w:t xml:space="preserve"> (528194)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7DAA" w14:textId="77777777" w:rsidR="000D3698" w:rsidRDefault="000D3698">
      <w:r>
        <w:t>____________________</w:t>
      </w:r>
    </w:p>
  </w:footnote>
  <w:footnote w:type="continuationSeparator" w:id="0">
    <w:p w14:paraId="59F9A17F" w14:textId="77777777" w:rsidR="000D3698" w:rsidRDefault="000D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17F7F7C6" w14:textId="77777777" w:rsidTr="00E31DCE">
      <w:trPr>
        <w:trHeight w:val="1104"/>
        <w:jc w:val="center"/>
      </w:trPr>
      <w:tc>
        <w:tcPr>
          <w:tcW w:w="4390" w:type="dxa"/>
          <w:vAlign w:val="center"/>
        </w:tcPr>
        <w:p w14:paraId="745B4CD6" w14:textId="64FAE3F4" w:rsidR="001559F5" w:rsidRPr="009621F8" w:rsidRDefault="000D3698" w:rsidP="001559F5">
          <w:pPr>
            <w:pStyle w:val="Header"/>
            <w:jc w:val="left"/>
            <w:rPr>
              <w:rFonts w:ascii="Arial" w:hAnsi="Arial" w:cs="Arial"/>
              <w:b/>
              <w:bCs/>
              <w:color w:val="009CD6"/>
              <w:sz w:val="36"/>
              <w:szCs w:val="36"/>
            </w:rPr>
          </w:pPr>
          <w:bookmarkStart w:id="3" w:name="_Hlk133422111"/>
          <w:r>
            <w:rPr>
              <w:noProof/>
            </w:rPr>
            <w:drawing>
              <wp:anchor distT="0" distB="0" distL="114300" distR="114300" simplePos="0" relativeHeight="251661312" behindDoc="0" locked="0" layoutInCell="1" allowOverlap="1" wp14:anchorId="0807E7B4" wp14:editId="03C3076F">
                <wp:simplePos x="0" y="0"/>
                <wp:positionH relativeFrom="column">
                  <wp:posOffset>41910</wp:posOffset>
                </wp:positionH>
                <wp:positionV relativeFrom="page">
                  <wp:posOffset>15875</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6D9F9511" w14:textId="77777777" w:rsidR="001559F5" w:rsidRDefault="001559F5" w:rsidP="001559F5">
          <w:pPr>
            <w:pStyle w:val="Header"/>
            <w:jc w:val="right"/>
            <w:rPr>
              <w:rFonts w:ascii="Arial" w:hAnsi="Arial" w:cs="Arial"/>
              <w:b/>
              <w:bCs/>
              <w:color w:val="009CD6"/>
              <w:szCs w:val="18"/>
            </w:rPr>
          </w:pPr>
        </w:p>
        <w:p w14:paraId="1E269999" w14:textId="77777777" w:rsidR="001559F5" w:rsidRDefault="001559F5" w:rsidP="001559F5">
          <w:pPr>
            <w:pStyle w:val="Header"/>
            <w:jc w:val="right"/>
            <w:rPr>
              <w:rFonts w:ascii="Arial" w:hAnsi="Arial" w:cs="Arial"/>
              <w:b/>
              <w:bCs/>
              <w:color w:val="009CD6"/>
              <w:szCs w:val="18"/>
            </w:rPr>
          </w:pPr>
        </w:p>
        <w:p w14:paraId="49DF5620"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1EE91AD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595A33" wp14:editId="20E5FDDE">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894AC"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98"/>
    <w:rsid w:val="000007D1"/>
    <w:rsid w:val="00093EEB"/>
    <w:rsid w:val="0009577F"/>
    <w:rsid w:val="000B0D00"/>
    <w:rsid w:val="000B7C15"/>
    <w:rsid w:val="000D1D0F"/>
    <w:rsid w:val="000D3698"/>
    <w:rsid w:val="000E63CC"/>
    <w:rsid w:val="000F5290"/>
    <w:rsid w:val="0010165C"/>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13322"/>
    <w:rsid w:val="006447EA"/>
    <w:rsid w:val="0064731F"/>
    <w:rsid w:val="00664572"/>
    <w:rsid w:val="006710F6"/>
    <w:rsid w:val="00677A97"/>
    <w:rsid w:val="006C1B56"/>
    <w:rsid w:val="006D4761"/>
    <w:rsid w:val="00726872"/>
    <w:rsid w:val="00760F1C"/>
    <w:rsid w:val="00763C1D"/>
    <w:rsid w:val="007657F0"/>
    <w:rsid w:val="0077252D"/>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860FB"/>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62440"/>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5225F"/>
  <w15:docId w15:val="{5700FAC7-335F-4C0A-AC0A-17F98926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en/council/Documents/basic-texts-2023/RES-077-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Convention-S.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4</TotalTime>
  <Pages>4</Pages>
  <Words>691</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4485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y lugar de celebración de la Conferencia de Plenipotenciarios de 2026</dc:title>
  <dc:subject>Council 2023</dc:subject>
  <dc:creator>Spanish</dc:creator>
  <cp:keywords>C2023, C23, Council-23</cp:keywords>
  <dc:description/>
  <cp:lastModifiedBy>Xue, Kun</cp:lastModifiedBy>
  <cp:revision>4</cp:revision>
  <cp:lastPrinted>2006-03-24T09:51:00Z</cp:lastPrinted>
  <dcterms:created xsi:type="dcterms:W3CDTF">2023-10-02T09:33:00Z</dcterms:created>
  <dcterms:modified xsi:type="dcterms:W3CDTF">2023-10-02T09:37:00Z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