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F023FC" w14:paraId="2592CC74" w14:textId="77777777" w:rsidTr="00D72F49">
        <w:trPr>
          <w:cantSplit/>
          <w:trHeight w:val="23"/>
        </w:trPr>
        <w:tc>
          <w:tcPr>
            <w:tcW w:w="3969" w:type="dxa"/>
            <w:vMerge w:val="restart"/>
            <w:tcMar>
              <w:left w:w="0" w:type="dxa"/>
            </w:tcMar>
          </w:tcPr>
          <w:p w14:paraId="27E56DEB" w14:textId="6E9AFA29" w:rsidR="00D72F49" w:rsidRPr="00F023FC" w:rsidRDefault="00D72F49" w:rsidP="00DF06F9">
            <w:pPr>
              <w:tabs>
                <w:tab w:val="left" w:pos="851"/>
              </w:tabs>
              <w:spacing w:before="0"/>
              <w:rPr>
                <w:b/>
              </w:rPr>
            </w:pPr>
            <w:r w:rsidRPr="00F023FC">
              <w:rPr>
                <w:b/>
              </w:rPr>
              <w:t xml:space="preserve">Point de l'ordre du jour: </w:t>
            </w:r>
            <w:r w:rsidR="00C96E1B" w:rsidRPr="00F023FC">
              <w:rPr>
                <w:b/>
              </w:rPr>
              <w:t>PL</w:t>
            </w:r>
          </w:p>
        </w:tc>
        <w:tc>
          <w:tcPr>
            <w:tcW w:w="5245" w:type="dxa"/>
          </w:tcPr>
          <w:p w14:paraId="27B6A98A" w14:textId="008CE3D7" w:rsidR="00D72F49" w:rsidRPr="00F023FC" w:rsidRDefault="00D72F49" w:rsidP="00DF06F9">
            <w:pPr>
              <w:tabs>
                <w:tab w:val="left" w:pos="851"/>
              </w:tabs>
              <w:spacing w:before="0"/>
              <w:jc w:val="right"/>
              <w:rPr>
                <w:b/>
              </w:rPr>
            </w:pPr>
            <w:r w:rsidRPr="00F023FC">
              <w:rPr>
                <w:b/>
              </w:rPr>
              <w:t>Document C23</w:t>
            </w:r>
            <w:r w:rsidR="00F50861" w:rsidRPr="00F023FC">
              <w:rPr>
                <w:b/>
              </w:rPr>
              <w:t>-ADD</w:t>
            </w:r>
            <w:r w:rsidRPr="00F023FC">
              <w:rPr>
                <w:b/>
              </w:rPr>
              <w:t>/</w:t>
            </w:r>
            <w:r w:rsidR="00C96E1B" w:rsidRPr="00F023FC">
              <w:rPr>
                <w:b/>
              </w:rPr>
              <w:t>4</w:t>
            </w:r>
            <w:r w:rsidRPr="00F023FC">
              <w:rPr>
                <w:b/>
              </w:rPr>
              <w:t>-F</w:t>
            </w:r>
          </w:p>
        </w:tc>
      </w:tr>
      <w:tr w:rsidR="00D72F49" w:rsidRPr="00F023FC" w14:paraId="41096C77" w14:textId="77777777" w:rsidTr="00D72F49">
        <w:trPr>
          <w:cantSplit/>
        </w:trPr>
        <w:tc>
          <w:tcPr>
            <w:tcW w:w="3969" w:type="dxa"/>
            <w:vMerge/>
          </w:tcPr>
          <w:p w14:paraId="0BBA5643" w14:textId="77777777" w:rsidR="00D72F49" w:rsidRPr="00F023FC" w:rsidRDefault="00D72F49" w:rsidP="00DF06F9">
            <w:pPr>
              <w:tabs>
                <w:tab w:val="left" w:pos="851"/>
              </w:tabs>
              <w:rPr>
                <w:b/>
              </w:rPr>
            </w:pPr>
          </w:p>
        </w:tc>
        <w:tc>
          <w:tcPr>
            <w:tcW w:w="5245" w:type="dxa"/>
          </w:tcPr>
          <w:p w14:paraId="068BECD5" w14:textId="47740BFF" w:rsidR="00D72F49" w:rsidRPr="00F023FC" w:rsidRDefault="00C96E1B" w:rsidP="00DF06F9">
            <w:pPr>
              <w:tabs>
                <w:tab w:val="left" w:pos="851"/>
              </w:tabs>
              <w:spacing w:before="0"/>
              <w:jc w:val="right"/>
              <w:rPr>
                <w:b/>
              </w:rPr>
            </w:pPr>
            <w:r w:rsidRPr="00F023FC">
              <w:rPr>
                <w:b/>
              </w:rPr>
              <w:t>15 septembre</w:t>
            </w:r>
            <w:r w:rsidR="00D72F49" w:rsidRPr="00F023FC">
              <w:rPr>
                <w:b/>
              </w:rPr>
              <w:t xml:space="preserve"> 2023</w:t>
            </w:r>
          </w:p>
        </w:tc>
      </w:tr>
      <w:tr w:rsidR="00D72F49" w:rsidRPr="00F023FC" w14:paraId="17E5B988" w14:textId="77777777" w:rsidTr="00D72F49">
        <w:trPr>
          <w:cantSplit/>
          <w:trHeight w:val="23"/>
        </w:trPr>
        <w:tc>
          <w:tcPr>
            <w:tcW w:w="3969" w:type="dxa"/>
            <w:vMerge/>
          </w:tcPr>
          <w:p w14:paraId="2192D6D7" w14:textId="77777777" w:rsidR="00D72F49" w:rsidRPr="00F023FC" w:rsidRDefault="00D72F49" w:rsidP="00DF06F9">
            <w:pPr>
              <w:tabs>
                <w:tab w:val="left" w:pos="851"/>
              </w:tabs>
              <w:rPr>
                <w:b/>
              </w:rPr>
            </w:pPr>
          </w:p>
        </w:tc>
        <w:tc>
          <w:tcPr>
            <w:tcW w:w="5245" w:type="dxa"/>
          </w:tcPr>
          <w:p w14:paraId="1948C622" w14:textId="77777777" w:rsidR="00D72F49" w:rsidRPr="00F023FC" w:rsidRDefault="00D72F49" w:rsidP="00DF06F9">
            <w:pPr>
              <w:tabs>
                <w:tab w:val="left" w:pos="851"/>
              </w:tabs>
              <w:spacing w:before="0"/>
              <w:jc w:val="right"/>
              <w:rPr>
                <w:b/>
              </w:rPr>
            </w:pPr>
            <w:r w:rsidRPr="00F023FC">
              <w:rPr>
                <w:b/>
              </w:rPr>
              <w:t>Original: anglais</w:t>
            </w:r>
          </w:p>
        </w:tc>
      </w:tr>
      <w:tr w:rsidR="00D72F49" w:rsidRPr="00F023FC" w14:paraId="53623BEE" w14:textId="77777777" w:rsidTr="00D72F49">
        <w:trPr>
          <w:cantSplit/>
          <w:trHeight w:val="23"/>
        </w:trPr>
        <w:tc>
          <w:tcPr>
            <w:tcW w:w="3969" w:type="dxa"/>
          </w:tcPr>
          <w:p w14:paraId="630B4C34" w14:textId="77777777" w:rsidR="00D72F49" w:rsidRPr="00F023FC" w:rsidRDefault="00D72F49" w:rsidP="00DF06F9">
            <w:pPr>
              <w:tabs>
                <w:tab w:val="left" w:pos="851"/>
              </w:tabs>
              <w:rPr>
                <w:b/>
              </w:rPr>
            </w:pPr>
          </w:p>
        </w:tc>
        <w:tc>
          <w:tcPr>
            <w:tcW w:w="5245" w:type="dxa"/>
          </w:tcPr>
          <w:p w14:paraId="437750C4" w14:textId="77777777" w:rsidR="00D72F49" w:rsidRPr="00F023FC" w:rsidRDefault="00D72F49" w:rsidP="00DF06F9">
            <w:pPr>
              <w:tabs>
                <w:tab w:val="left" w:pos="851"/>
              </w:tabs>
              <w:spacing w:before="0"/>
              <w:jc w:val="right"/>
              <w:rPr>
                <w:b/>
              </w:rPr>
            </w:pPr>
          </w:p>
        </w:tc>
      </w:tr>
      <w:tr w:rsidR="00D72F49" w:rsidRPr="00F023FC" w14:paraId="31FFA2A5" w14:textId="77777777" w:rsidTr="00D72F49">
        <w:trPr>
          <w:cantSplit/>
        </w:trPr>
        <w:tc>
          <w:tcPr>
            <w:tcW w:w="9214" w:type="dxa"/>
            <w:gridSpan w:val="2"/>
            <w:tcMar>
              <w:left w:w="0" w:type="dxa"/>
            </w:tcMar>
          </w:tcPr>
          <w:p w14:paraId="7AA1F34C" w14:textId="49FD0E6D" w:rsidR="00D72F49" w:rsidRPr="00F023FC" w:rsidRDefault="00D72F49" w:rsidP="00DF06F9">
            <w:pPr>
              <w:pStyle w:val="Source"/>
              <w:jc w:val="left"/>
              <w:rPr>
                <w:sz w:val="34"/>
                <w:szCs w:val="34"/>
              </w:rPr>
            </w:pPr>
            <w:r w:rsidRPr="00F023FC">
              <w:rPr>
                <w:rFonts w:cstheme="minorHAnsi"/>
                <w:color w:val="000000"/>
                <w:sz w:val="34"/>
                <w:szCs w:val="34"/>
              </w:rPr>
              <w:t xml:space="preserve">Rapport </w:t>
            </w:r>
            <w:r w:rsidR="00E95647" w:rsidRPr="00F023FC">
              <w:rPr>
                <w:rFonts w:cstheme="minorHAnsi"/>
                <w:color w:val="000000"/>
                <w:sz w:val="34"/>
                <w:szCs w:val="34"/>
              </w:rPr>
              <w:t xml:space="preserve">de la </w:t>
            </w:r>
            <w:r w:rsidRPr="00F023FC">
              <w:rPr>
                <w:rFonts w:cstheme="minorHAnsi"/>
                <w:color w:val="000000"/>
                <w:sz w:val="34"/>
                <w:szCs w:val="34"/>
              </w:rPr>
              <w:t>Secrétaire général</w:t>
            </w:r>
            <w:r w:rsidR="00E95647" w:rsidRPr="00F023FC">
              <w:rPr>
                <w:rFonts w:cstheme="minorHAnsi"/>
                <w:color w:val="000000"/>
                <w:sz w:val="34"/>
                <w:szCs w:val="34"/>
              </w:rPr>
              <w:t>e</w:t>
            </w:r>
          </w:p>
        </w:tc>
      </w:tr>
      <w:tr w:rsidR="00D72F49" w:rsidRPr="00F023FC" w14:paraId="65E7E3D8" w14:textId="77777777" w:rsidTr="00D72F49">
        <w:trPr>
          <w:cantSplit/>
        </w:trPr>
        <w:tc>
          <w:tcPr>
            <w:tcW w:w="9214" w:type="dxa"/>
            <w:gridSpan w:val="2"/>
            <w:tcMar>
              <w:left w:w="0" w:type="dxa"/>
            </w:tcMar>
          </w:tcPr>
          <w:p w14:paraId="370F6D7B" w14:textId="111A77C2" w:rsidR="00D72F49" w:rsidRPr="00F023FC" w:rsidRDefault="00DF06F9" w:rsidP="00DF06F9">
            <w:pPr>
              <w:pStyle w:val="Subtitle"/>
              <w:framePr w:hSpace="0" w:wrap="auto" w:hAnchor="text" w:xAlign="left" w:yAlign="inline"/>
              <w:rPr>
                <w:lang w:val="fr-FR"/>
              </w:rPr>
            </w:pPr>
            <w:r w:rsidRPr="00F023FC">
              <w:rPr>
                <w:lang w:val="fr-FR"/>
              </w:rPr>
              <w:t>LIEU PRÉCIS ET DATES EXACTES DE LA CONFÉRENCE DE</w:t>
            </w:r>
            <w:r w:rsidR="008351FE" w:rsidRPr="00F023FC">
              <w:rPr>
                <w:lang w:val="fr-FR"/>
              </w:rPr>
              <w:t xml:space="preserve"> </w:t>
            </w:r>
            <w:r w:rsidRPr="00F023FC">
              <w:rPr>
                <w:lang w:val="fr-FR"/>
              </w:rPr>
              <w:br/>
              <w:t>PLÉNIPOTENTIAIRES DE 2026</w:t>
            </w:r>
          </w:p>
        </w:tc>
      </w:tr>
      <w:tr w:rsidR="00D72F49" w:rsidRPr="00F023FC"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189C4023" w:rsidR="00D72F49" w:rsidRPr="00F023FC" w:rsidRDefault="00F37FE5" w:rsidP="00DF06F9">
            <w:pPr>
              <w:spacing w:before="160"/>
              <w:rPr>
                <w:b/>
                <w:bCs/>
                <w:sz w:val="26"/>
                <w:szCs w:val="26"/>
              </w:rPr>
            </w:pPr>
            <w:r w:rsidRPr="00F023FC">
              <w:rPr>
                <w:b/>
                <w:bCs/>
                <w:sz w:val="26"/>
                <w:szCs w:val="26"/>
              </w:rPr>
              <w:t>Objet</w:t>
            </w:r>
          </w:p>
          <w:p w14:paraId="45E55FB2" w14:textId="0BAA60F9" w:rsidR="00D72F49" w:rsidRPr="00F023FC" w:rsidRDefault="00754DA9" w:rsidP="00DF06F9">
            <w:r w:rsidRPr="00F023FC">
              <w:t xml:space="preserve">Par sa Résolution 77 (Rév. Bucarest, 2022), la Conférence de plénipotentiaires de 2022 a décidé que la prochaine Conférence de plénipotentiaires (PP) se tiendrait </w:t>
            </w:r>
            <w:r w:rsidR="00F50861" w:rsidRPr="00F023FC">
              <w:t>pendan</w:t>
            </w:r>
            <w:r w:rsidRPr="00F023FC">
              <w:t>t le dernier semestre de 2026 à Doha (Qatar)</w:t>
            </w:r>
            <w:r w:rsidR="00C96E1B" w:rsidRPr="00F023FC">
              <w:t>.</w:t>
            </w:r>
          </w:p>
          <w:p w14:paraId="7A6662F0" w14:textId="080FEB6F" w:rsidR="00C96E1B" w:rsidRPr="00F023FC" w:rsidRDefault="00C96E1B" w:rsidP="00DF06F9">
            <w:pPr>
              <w:rPr>
                <w:b/>
                <w:bCs/>
              </w:rPr>
            </w:pPr>
            <w:r w:rsidRPr="00F023FC">
              <w:t xml:space="preserve">Le présent document fait part aux </w:t>
            </w:r>
            <w:r w:rsidR="00890824" w:rsidRPr="00F023FC">
              <w:t>C</w:t>
            </w:r>
            <w:r w:rsidRPr="00F023FC">
              <w:t xml:space="preserve">onseillers de l'invitation reçue du Gouvernement </w:t>
            </w:r>
            <w:r w:rsidR="00890824" w:rsidRPr="00F023FC">
              <w:t>du</w:t>
            </w:r>
            <w:r w:rsidR="008351FE" w:rsidRPr="00F023FC">
              <w:t> </w:t>
            </w:r>
            <w:r w:rsidR="00890824" w:rsidRPr="00F023FC">
              <w:t>Qatar en vue d'accueillir la prochaine Conférence de plénipotentiaires à Doha, du</w:t>
            </w:r>
            <w:r w:rsidR="008351FE" w:rsidRPr="00F023FC">
              <w:t> </w:t>
            </w:r>
            <w:r w:rsidR="00890824" w:rsidRPr="00F023FC">
              <w:rPr>
                <w:b/>
                <w:bCs/>
              </w:rPr>
              <w:t>lundi</w:t>
            </w:r>
            <w:r w:rsidR="008351FE" w:rsidRPr="00F023FC">
              <w:rPr>
                <w:b/>
                <w:bCs/>
              </w:rPr>
              <w:t> </w:t>
            </w:r>
            <w:r w:rsidR="00890824" w:rsidRPr="00F023FC">
              <w:rPr>
                <w:b/>
                <w:bCs/>
              </w:rPr>
              <w:t>9</w:t>
            </w:r>
            <w:r w:rsidR="008351FE" w:rsidRPr="00F023FC">
              <w:rPr>
                <w:b/>
                <w:bCs/>
              </w:rPr>
              <w:t> </w:t>
            </w:r>
            <w:r w:rsidR="00890824" w:rsidRPr="00F023FC">
              <w:rPr>
                <w:b/>
                <w:bCs/>
              </w:rPr>
              <w:t>novembre 2026 au vendredi 27 novembre 2026.</w:t>
            </w:r>
          </w:p>
          <w:p w14:paraId="0B950982" w14:textId="77777777" w:rsidR="00D72F49" w:rsidRPr="00F023FC" w:rsidRDefault="00D72F49" w:rsidP="00DF06F9">
            <w:pPr>
              <w:spacing w:before="160"/>
              <w:rPr>
                <w:b/>
                <w:bCs/>
                <w:sz w:val="26"/>
                <w:szCs w:val="26"/>
              </w:rPr>
            </w:pPr>
            <w:r w:rsidRPr="00F023FC">
              <w:rPr>
                <w:b/>
                <w:bCs/>
                <w:sz w:val="26"/>
                <w:szCs w:val="26"/>
              </w:rPr>
              <w:t>Suite à donner par le Conseil</w:t>
            </w:r>
          </w:p>
          <w:p w14:paraId="6F9A6B88" w14:textId="7519564A" w:rsidR="00D72F49" w:rsidRPr="00F023FC" w:rsidRDefault="00C96E1B" w:rsidP="00DF06F9">
            <w:r w:rsidRPr="00F023FC">
              <w:t xml:space="preserve">Le Conseil est invité à </w:t>
            </w:r>
            <w:r w:rsidRPr="00F023FC">
              <w:rPr>
                <w:b/>
                <w:bCs/>
              </w:rPr>
              <w:t>arrêter</w:t>
            </w:r>
            <w:r w:rsidRPr="00F023FC">
              <w:t xml:space="preserve"> le lieu</w:t>
            </w:r>
            <w:r w:rsidR="00082D8E" w:rsidRPr="00F023FC">
              <w:t xml:space="preserve"> précis et les dates exactes</w:t>
            </w:r>
            <w:r w:rsidRPr="00F023FC">
              <w:t xml:space="preserve"> de la tenue de la prochaine Conférence de plénipotentiaires, étant entendu que</w:t>
            </w:r>
            <w:r w:rsidR="005E1A29" w:rsidRPr="00F023FC">
              <w:t xml:space="preserve">, suite à cette décision, </w:t>
            </w:r>
            <w:r w:rsidRPr="00F023FC">
              <w:t>tous les États</w:t>
            </w:r>
            <w:r w:rsidR="008351FE" w:rsidRPr="00F023FC">
              <w:t> </w:t>
            </w:r>
            <w:r w:rsidRPr="00F023FC">
              <w:t xml:space="preserve">Membres seront consultés </w:t>
            </w:r>
            <w:r w:rsidR="006A7970" w:rsidRPr="00F023FC">
              <w:t>à cet égard</w:t>
            </w:r>
            <w:r w:rsidR="004D16CC" w:rsidRPr="00F023FC">
              <w:t>,</w:t>
            </w:r>
            <w:r w:rsidRPr="00F023FC">
              <w:t xml:space="preserve"> </w:t>
            </w:r>
            <w:r w:rsidR="004D16CC" w:rsidRPr="00F023FC">
              <w:t>moyennant l'</w:t>
            </w:r>
            <w:r w:rsidRPr="00F023FC">
              <w:rPr>
                <w:b/>
                <w:bCs/>
              </w:rPr>
              <w:t>adopt</w:t>
            </w:r>
            <w:r w:rsidR="004D16CC" w:rsidRPr="00F023FC">
              <w:rPr>
                <w:b/>
                <w:bCs/>
              </w:rPr>
              <w:t>ion</w:t>
            </w:r>
            <w:r w:rsidRPr="00F023FC">
              <w:t xml:space="preserve"> </w:t>
            </w:r>
            <w:r w:rsidR="004D16CC" w:rsidRPr="00F023FC">
              <w:t>du</w:t>
            </w:r>
            <w:r w:rsidRPr="00F023FC">
              <w:t xml:space="preserve"> projet de décision figurant dans l'</w:t>
            </w:r>
            <w:hyperlink w:anchor="AB" w:history="1">
              <w:r w:rsidRPr="00F023FC">
                <w:rPr>
                  <w:rStyle w:val="Hyperlink"/>
                </w:rPr>
                <w:t>Annexe B</w:t>
              </w:r>
            </w:hyperlink>
            <w:r w:rsidRPr="00F023FC">
              <w:t xml:space="preserve"> du présent document.</w:t>
            </w:r>
          </w:p>
          <w:p w14:paraId="121C402A" w14:textId="4FDE1FF1" w:rsidR="00D72F49" w:rsidRPr="00F023FC" w:rsidRDefault="00D72F49" w:rsidP="00DF06F9">
            <w:pPr>
              <w:spacing w:before="160"/>
              <w:rPr>
                <w:b/>
                <w:bCs/>
                <w:sz w:val="26"/>
                <w:szCs w:val="26"/>
              </w:rPr>
            </w:pPr>
            <w:r w:rsidRPr="00F023FC">
              <w:rPr>
                <w:b/>
                <w:bCs/>
                <w:sz w:val="26"/>
                <w:szCs w:val="26"/>
              </w:rPr>
              <w:t xml:space="preserve">Lien(s) pertinent(s) avec le </w:t>
            </w:r>
            <w:r w:rsidR="00F37FE5" w:rsidRPr="00F023FC">
              <w:rPr>
                <w:b/>
                <w:bCs/>
                <w:sz w:val="26"/>
                <w:szCs w:val="26"/>
              </w:rPr>
              <w:t>p</w:t>
            </w:r>
            <w:r w:rsidRPr="00F023FC">
              <w:rPr>
                <w:b/>
                <w:bCs/>
                <w:sz w:val="26"/>
                <w:szCs w:val="26"/>
              </w:rPr>
              <w:t>lan stratégique</w:t>
            </w:r>
          </w:p>
          <w:p w14:paraId="60D63331" w14:textId="681048DF" w:rsidR="00D72F49" w:rsidRPr="00F023FC" w:rsidRDefault="00D071D4" w:rsidP="00DF06F9">
            <w:r w:rsidRPr="00F023FC">
              <w:t>Travaux reposant sur les contributions des membres, plate-forme fédératrice.</w:t>
            </w:r>
          </w:p>
          <w:p w14:paraId="11FAADC9" w14:textId="1959B873" w:rsidR="00E95647" w:rsidRPr="00F023FC" w:rsidRDefault="00D72F49" w:rsidP="00DF06F9">
            <w:pPr>
              <w:spacing w:before="160"/>
              <w:rPr>
                <w:b/>
                <w:bCs/>
                <w:sz w:val="26"/>
                <w:szCs w:val="26"/>
              </w:rPr>
            </w:pPr>
            <w:r w:rsidRPr="00F023FC">
              <w:rPr>
                <w:b/>
                <w:bCs/>
                <w:sz w:val="26"/>
                <w:szCs w:val="26"/>
              </w:rPr>
              <w:t>Incidences financières</w:t>
            </w:r>
          </w:p>
          <w:p w14:paraId="1476D7E3" w14:textId="5E5C9887" w:rsidR="00D72F49" w:rsidRPr="00F023FC" w:rsidRDefault="00D071D4" w:rsidP="00DF06F9">
            <w:pPr>
              <w:spacing w:before="160"/>
              <w:rPr>
                <w:szCs w:val="24"/>
              </w:rPr>
            </w:pPr>
            <w:r w:rsidRPr="00F023FC">
              <w:rPr>
                <w:szCs w:val="24"/>
              </w:rPr>
              <w:t>Appui du pays hôte</w:t>
            </w:r>
          </w:p>
          <w:p w14:paraId="2E44E753" w14:textId="77777777" w:rsidR="00D72F49" w:rsidRPr="00F023FC" w:rsidRDefault="00D72F49" w:rsidP="00DF06F9">
            <w:pPr>
              <w:spacing w:before="160"/>
              <w:rPr>
                <w:caps/>
                <w:sz w:val="22"/>
              </w:rPr>
            </w:pPr>
            <w:r w:rsidRPr="00F023FC">
              <w:rPr>
                <w:sz w:val="22"/>
              </w:rPr>
              <w:t>__________________</w:t>
            </w:r>
          </w:p>
          <w:p w14:paraId="246B160C" w14:textId="77777777" w:rsidR="00D72F49" w:rsidRPr="00F023FC" w:rsidRDefault="00D72F49" w:rsidP="00DF06F9">
            <w:pPr>
              <w:spacing w:before="160"/>
              <w:rPr>
                <w:b/>
                <w:bCs/>
                <w:sz w:val="26"/>
                <w:szCs w:val="26"/>
              </w:rPr>
            </w:pPr>
            <w:r w:rsidRPr="00F023FC">
              <w:rPr>
                <w:b/>
                <w:bCs/>
                <w:sz w:val="26"/>
                <w:szCs w:val="26"/>
              </w:rPr>
              <w:t>Références</w:t>
            </w:r>
          </w:p>
          <w:p w14:paraId="3B399B5C" w14:textId="1033B880" w:rsidR="00D72F49" w:rsidRPr="00F023FC" w:rsidRDefault="00C23D5A" w:rsidP="00DF06F9">
            <w:pPr>
              <w:spacing w:after="160"/>
              <w:rPr>
                <w:i/>
              </w:rPr>
            </w:pPr>
            <w:hyperlink r:id="rId7" w:history="1">
              <w:r w:rsidR="00CE55E3" w:rsidRPr="00F023FC">
                <w:rPr>
                  <w:rStyle w:val="Hyperlink"/>
                  <w:i/>
                  <w:iCs/>
                </w:rPr>
                <w:t>Numéro 2 de la Convention</w:t>
              </w:r>
            </w:hyperlink>
            <w:r w:rsidR="00C96E1B" w:rsidRPr="00F023FC">
              <w:rPr>
                <w:i/>
              </w:rPr>
              <w:t xml:space="preserve">; </w:t>
            </w:r>
            <w:hyperlink r:id="rId8" w:history="1">
              <w:r w:rsidR="0022114E" w:rsidRPr="00F023FC">
                <w:rPr>
                  <w:rStyle w:val="Hyperlink"/>
                  <w:i/>
                </w:rPr>
                <w:t>Résolution 77 (Rév. Bucarest, 2022) de la Conférence de plénipotentiaires</w:t>
              </w:r>
            </w:hyperlink>
          </w:p>
        </w:tc>
      </w:tr>
    </w:tbl>
    <w:p w14:paraId="3B7150AC" w14:textId="77777777" w:rsidR="00A51849" w:rsidRPr="00F023FC" w:rsidRDefault="00A51849" w:rsidP="00DF06F9">
      <w:pPr>
        <w:tabs>
          <w:tab w:val="clear" w:pos="567"/>
          <w:tab w:val="clear" w:pos="1134"/>
          <w:tab w:val="clear" w:pos="1701"/>
          <w:tab w:val="clear" w:pos="2268"/>
          <w:tab w:val="clear" w:pos="2835"/>
        </w:tabs>
        <w:overflowPunct/>
        <w:autoSpaceDE/>
        <w:autoSpaceDN/>
        <w:adjustRightInd/>
        <w:spacing w:before="0"/>
        <w:textAlignment w:val="auto"/>
      </w:pPr>
      <w:r w:rsidRPr="00F023FC">
        <w:br w:type="page"/>
      </w:r>
    </w:p>
    <w:p w14:paraId="05309BCC" w14:textId="1A156D7B" w:rsidR="00897553" w:rsidRPr="00F023FC" w:rsidRDefault="00C96E1B" w:rsidP="00DF06F9">
      <w:pPr>
        <w:pStyle w:val="Heading1"/>
      </w:pPr>
      <w:r w:rsidRPr="00F023FC">
        <w:lastRenderedPageBreak/>
        <w:t>1</w:t>
      </w:r>
      <w:r w:rsidRPr="00F023FC">
        <w:tab/>
        <w:t>Rappel</w:t>
      </w:r>
    </w:p>
    <w:p w14:paraId="343A69C8" w14:textId="2C2A9E2B" w:rsidR="00C96E1B" w:rsidRPr="00F023FC" w:rsidRDefault="00C96E1B" w:rsidP="00DF06F9">
      <w:r w:rsidRPr="00F023FC">
        <w:t>1.1</w:t>
      </w:r>
      <w:r w:rsidRPr="00F023FC">
        <w:tab/>
      </w:r>
      <w:r w:rsidR="00E5693F" w:rsidRPr="00F023FC">
        <w:t>Le</w:t>
      </w:r>
      <w:r w:rsidR="00A1481B" w:rsidRPr="00F023FC">
        <w:t xml:space="preserve"> point 5.5 du </w:t>
      </w:r>
      <w:r w:rsidR="00A1481B" w:rsidRPr="00F023FC">
        <w:rPr>
          <w:i/>
          <w:iCs/>
        </w:rPr>
        <w:t>décide</w:t>
      </w:r>
      <w:r w:rsidR="00A1481B" w:rsidRPr="00F023FC">
        <w:t xml:space="preserve"> de la Résolution 77 (Rév. Bucarest, 2022) de la Conférence de plénipotentiaires</w:t>
      </w:r>
      <w:r w:rsidR="00E5693F" w:rsidRPr="00F023FC">
        <w:t xml:space="preserve"> prévoit que</w:t>
      </w:r>
      <w:r w:rsidR="00A1481B" w:rsidRPr="00F023FC">
        <w:t xml:space="preserve"> la prochaine </w:t>
      </w:r>
      <w:r w:rsidR="00E5693F" w:rsidRPr="00F023FC">
        <w:t>Conférence de plénipotentiaires (PP)</w:t>
      </w:r>
      <w:r w:rsidR="00A1481B" w:rsidRPr="00F023FC">
        <w:t xml:space="preserve"> se tiendra </w:t>
      </w:r>
      <w:r w:rsidR="00E5693F" w:rsidRPr="00F023FC">
        <w:t>pendant le</w:t>
      </w:r>
      <w:r w:rsidR="00A1481B" w:rsidRPr="00F023FC">
        <w:t xml:space="preserve"> dernier </w:t>
      </w:r>
      <w:r w:rsidR="004D16CC" w:rsidRPr="00F023FC">
        <w:t>tri</w:t>
      </w:r>
      <w:r w:rsidR="00A1481B" w:rsidRPr="00F023FC">
        <w:t>mestre de 2026 à Doha (Qatar).</w:t>
      </w:r>
    </w:p>
    <w:p w14:paraId="427FABE4" w14:textId="7A02A2FF" w:rsidR="00C96E1B" w:rsidRPr="00F023FC" w:rsidRDefault="00C96E1B" w:rsidP="00DF06F9">
      <w:r w:rsidRPr="00F023FC">
        <w:t>1.2</w:t>
      </w:r>
      <w:r w:rsidRPr="00F023FC">
        <w:tab/>
      </w:r>
      <w:r w:rsidR="00A1481B" w:rsidRPr="00F023FC">
        <w:t>En vertu du numéro 2 de la Convention, dans le cas où le lieu précis et les dates exactes d'une PP n'ont pas pu être fixés par la PP précédente, ce lieu et ces dates sont déterminés par le Conseil, avec l'accord de la majorité des États Membres.</w:t>
      </w:r>
    </w:p>
    <w:p w14:paraId="513F2AE9" w14:textId="32D019A6" w:rsidR="00C96E1B" w:rsidRPr="00F023FC" w:rsidRDefault="00C96E1B" w:rsidP="00DF06F9">
      <w:r w:rsidRPr="00F023FC">
        <w:t>1.3</w:t>
      </w:r>
      <w:r w:rsidRPr="00F023FC">
        <w:tab/>
      </w:r>
      <w:r w:rsidR="00A1481B" w:rsidRPr="00F023FC">
        <w:t xml:space="preserve">Le 28 août 2023, le Ministre des communications et des technologies de l'information du Qatar a informé la Secrétaire générale </w:t>
      </w:r>
      <w:r w:rsidR="004E5DFB" w:rsidRPr="00F023FC">
        <w:t>que son</w:t>
      </w:r>
      <w:r w:rsidR="00A1481B" w:rsidRPr="00F023FC">
        <w:t xml:space="preserve"> pays </w:t>
      </w:r>
      <w:r w:rsidR="004E5DFB" w:rsidRPr="00F023FC">
        <w:t xml:space="preserve">souhaiterait accueillir </w:t>
      </w:r>
      <w:r w:rsidR="00A1481B" w:rsidRPr="00F023FC">
        <w:t>la prochaine PP au Centre d'expositions et de congrès de Doha</w:t>
      </w:r>
      <w:r w:rsidR="004E5DFB" w:rsidRPr="00F023FC">
        <w:t>,</w:t>
      </w:r>
      <w:r w:rsidR="00A1481B" w:rsidRPr="00F023FC">
        <w:t xml:space="preserve"> du </w:t>
      </w:r>
      <w:r w:rsidR="00A1481B" w:rsidRPr="00F023FC">
        <w:rPr>
          <w:b/>
          <w:bCs/>
        </w:rPr>
        <w:t>9 au 27 novembre 2026</w:t>
      </w:r>
      <w:r w:rsidR="00A1481B" w:rsidRPr="00F023FC">
        <w:t xml:space="preserve"> (voir l'</w:t>
      </w:r>
      <w:hyperlink w:anchor="AA" w:history="1">
        <w:r w:rsidR="00A1481B" w:rsidRPr="00F023FC">
          <w:rPr>
            <w:rStyle w:val="Hyperlink"/>
          </w:rPr>
          <w:t>Annexe A</w:t>
        </w:r>
      </w:hyperlink>
      <w:r w:rsidR="00A1481B" w:rsidRPr="00F023FC">
        <w:t>).</w:t>
      </w:r>
    </w:p>
    <w:p w14:paraId="2BCC7D50" w14:textId="18865BAF" w:rsidR="00C96E1B" w:rsidRPr="00F023FC" w:rsidRDefault="00C96E1B" w:rsidP="00DF06F9">
      <w:pPr>
        <w:pStyle w:val="Heading1"/>
      </w:pPr>
      <w:r w:rsidRPr="00F023FC">
        <w:t>2</w:t>
      </w:r>
      <w:r w:rsidRPr="00F023FC">
        <w:tab/>
        <w:t>Proposition</w:t>
      </w:r>
    </w:p>
    <w:p w14:paraId="33A2E69A" w14:textId="635769A7" w:rsidR="00C96E1B" w:rsidRPr="00F023FC" w:rsidRDefault="00C96E1B" w:rsidP="00DF06F9">
      <w:r w:rsidRPr="00F023FC">
        <w:t>2.1</w:t>
      </w:r>
      <w:r w:rsidRPr="00F023FC">
        <w:tab/>
      </w:r>
      <w:r w:rsidR="00493561" w:rsidRPr="00F023FC">
        <w:t xml:space="preserve">Le Conseil est invité à examiner l'invitation reçue </w:t>
      </w:r>
      <w:r w:rsidR="00E5693F" w:rsidRPr="00F023FC">
        <w:t>du Qatar</w:t>
      </w:r>
      <w:r w:rsidR="00493561" w:rsidRPr="00F023FC">
        <w:t xml:space="preserve"> pour tenir la PP-26 à </w:t>
      </w:r>
      <w:r w:rsidR="00E5693F" w:rsidRPr="00F023FC">
        <w:t xml:space="preserve">Doha, du </w:t>
      </w:r>
      <w:r w:rsidR="00E5693F" w:rsidRPr="00F023FC">
        <w:rPr>
          <w:b/>
          <w:bCs/>
        </w:rPr>
        <w:t>lundi 9 novembre au vendredi 27 novembre 2026</w:t>
      </w:r>
      <w:r w:rsidR="00E64235" w:rsidRPr="00F023FC">
        <w:t>,</w:t>
      </w:r>
      <w:r w:rsidR="00E5693F" w:rsidRPr="00F023FC">
        <w:t xml:space="preserve"> au Centre d'expositions et de congrès de Doha, et à arrêter le lieu précis et les dates exactes de la PP-26, moyennant l'adoption du projet de décision figurant dans l'</w:t>
      </w:r>
      <w:hyperlink w:anchor="AB" w:history="1">
        <w:r w:rsidR="00E5693F" w:rsidRPr="00F023FC">
          <w:rPr>
            <w:rStyle w:val="Hyperlink"/>
          </w:rPr>
          <w:t>Annexe B</w:t>
        </w:r>
      </w:hyperlink>
      <w:r w:rsidR="00E5693F" w:rsidRPr="00F023FC">
        <w:t>.</w:t>
      </w:r>
    </w:p>
    <w:p w14:paraId="6F28E19F" w14:textId="2F20ACE3" w:rsidR="00493561" w:rsidRPr="00F023FC" w:rsidRDefault="00493561" w:rsidP="00DF06F9">
      <w:r w:rsidRPr="00F023FC">
        <w:t>2.2</w:t>
      </w:r>
      <w:r w:rsidRPr="00F023FC">
        <w:tab/>
      </w:r>
      <w:r w:rsidR="004E5DFB" w:rsidRPr="00F023FC">
        <w:t>Les États Membres de l'UIT seront consultés en vue d'obtenir leur accord au sujet du lieu précis et des dates exactes, conformément au numéro 2 de la Convention de l'UIT.</w:t>
      </w:r>
    </w:p>
    <w:p w14:paraId="7637F769" w14:textId="1A702069" w:rsidR="00493561" w:rsidRPr="00F023FC" w:rsidRDefault="00493561" w:rsidP="00DF06F9">
      <w:pPr>
        <w:spacing w:before="840"/>
      </w:pPr>
      <w:r w:rsidRPr="00F023FC">
        <w:rPr>
          <w:b/>
          <w:bCs/>
        </w:rPr>
        <w:t>Annexes</w:t>
      </w:r>
      <w:r w:rsidRPr="00F023FC">
        <w:t>: 2</w:t>
      </w:r>
    </w:p>
    <w:p w14:paraId="16C7367F" w14:textId="73826812" w:rsidR="00493561" w:rsidRPr="00F023FC" w:rsidRDefault="00493561" w:rsidP="00DF06F9">
      <w:pPr>
        <w:tabs>
          <w:tab w:val="clear" w:pos="567"/>
          <w:tab w:val="clear" w:pos="1134"/>
          <w:tab w:val="clear" w:pos="1701"/>
          <w:tab w:val="clear" w:pos="2268"/>
          <w:tab w:val="clear" w:pos="2835"/>
        </w:tabs>
        <w:overflowPunct/>
        <w:autoSpaceDE/>
        <w:autoSpaceDN/>
        <w:adjustRightInd/>
        <w:spacing w:before="0"/>
        <w:textAlignment w:val="auto"/>
      </w:pPr>
      <w:r w:rsidRPr="00F023FC">
        <w:br w:type="page"/>
      </w:r>
    </w:p>
    <w:p w14:paraId="6CDF74BF" w14:textId="36B5819F" w:rsidR="00493561" w:rsidRPr="00F023FC" w:rsidRDefault="00493561" w:rsidP="00DF06F9">
      <w:pPr>
        <w:pStyle w:val="AnnexNo"/>
      </w:pPr>
      <w:bookmarkStart w:id="0" w:name="AA"/>
      <w:r w:rsidRPr="00F023FC">
        <w:lastRenderedPageBreak/>
        <w:t>ANNEXE A</w:t>
      </w:r>
      <w:bookmarkEnd w:id="0"/>
    </w:p>
    <w:p w14:paraId="19E48A26" w14:textId="346C05EB" w:rsidR="00493561" w:rsidRPr="00F023FC" w:rsidRDefault="007D75E9" w:rsidP="00DF06F9">
      <w:pPr>
        <w:pStyle w:val="Annextitle"/>
      </w:pPr>
      <w:r w:rsidRPr="00F023FC">
        <w:t>État du Qatar</w:t>
      </w:r>
      <w:r w:rsidRPr="00F023FC">
        <w:br/>
        <w:t>Ministère des communications et des technologies de l'information</w:t>
      </w:r>
      <w:r w:rsidRPr="00F023FC">
        <w:br/>
        <w:t>Bureau du Ministre</w:t>
      </w:r>
    </w:p>
    <w:p w14:paraId="1C20F222" w14:textId="4B90678C" w:rsidR="00493561" w:rsidRPr="00F023FC" w:rsidRDefault="00493561" w:rsidP="000258DF">
      <w:pPr>
        <w:spacing w:before="480"/>
        <w:rPr>
          <w:b/>
          <w:bCs/>
        </w:rPr>
      </w:pPr>
      <w:r w:rsidRPr="00F023FC">
        <w:rPr>
          <w:b/>
          <w:bCs/>
        </w:rPr>
        <w:t>Date: 28 août 2023</w:t>
      </w:r>
    </w:p>
    <w:p w14:paraId="445E52D2" w14:textId="206AD1AE" w:rsidR="00493561" w:rsidRPr="00F023FC" w:rsidRDefault="00493561" w:rsidP="00DF06F9">
      <w:pPr>
        <w:rPr>
          <w:b/>
          <w:bCs/>
        </w:rPr>
      </w:pPr>
      <w:r w:rsidRPr="00F023FC">
        <w:rPr>
          <w:b/>
          <w:bCs/>
        </w:rPr>
        <w:t>R</w:t>
      </w:r>
      <w:r w:rsidR="007D75E9" w:rsidRPr="00F023FC">
        <w:rPr>
          <w:b/>
          <w:bCs/>
        </w:rPr>
        <w:t>éf.</w:t>
      </w:r>
      <w:r w:rsidRPr="00F023FC">
        <w:rPr>
          <w:b/>
          <w:bCs/>
        </w:rPr>
        <w:t>:</w:t>
      </w:r>
      <w:r w:rsidR="00E64235" w:rsidRPr="00F023FC">
        <w:rPr>
          <w:b/>
          <w:bCs/>
        </w:rPr>
        <w:t xml:space="preserve"> </w:t>
      </w:r>
      <w:r w:rsidRPr="00F023FC">
        <w:rPr>
          <w:b/>
          <w:bCs/>
        </w:rPr>
        <w:t>MCIT/MO/390/2023</w:t>
      </w:r>
    </w:p>
    <w:p w14:paraId="338F9D2A" w14:textId="5BAB3C10" w:rsidR="00493561" w:rsidRPr="00F023FC" w:rsidRDefault="007D75E9" w:rsidP="000258DF">
      <w:pPr>
        <w:spacing w:before="240"/>
        <w:rPr>
          <w:b/>
          <w:bCs/>
        </w:rPr>
      </w:pPr>
      <w:r w:rsidRPr="00F023FC">
        <w:rPr>
          <w:b/>
          <w:bCs/>
        </w:rPr>
        <w:t>S.E.</w:t>
      </w:r>
      <w:r w:rsidR="00493561" w:rsidRPr="00F023FC">
        <w:rPr>
          <w:b/>
          <w:bCs/>
        </w:rPr>
        <w:t xml:space="preserve"> M</w:t>
      </w:r>
      <w:r w:rsidRPr="00F023FC">
        <w:rPr>
          <w:b/>
          <w:bCs/>
        </w:rPr>
        <w:t>me</w:t>
      </w:r>
      <w:r w:rsidR="00493561" w:rsidRPr="00F023FC">
        <w:rPr>
          <w:b/>
          <w:bCs/>
        </w:rPr>
        <w:t xml:space="preserve"> Doreen Bogdan-Martin</w:t>
      </w:r>
      <w:r w:rsidR="00493561" w:rsidRPr="00F023FC">
        <w:rPr>
          <w:b/>
          <w:bCs/>
        </w:rPr>
        <w:br/>
        <w:t>Secrétaire</w:t>
      </w:r>
      <w:r w:rsidR="00593FB6" w:rsidRPr="00F023FC">
        <w:rPr>
          <w:b/>
          <w:bCs/>
        </w:rPr>
        <w:t xml:space="preserve"> g</w:t>
      </w:r>
      <w:r w:rsidR="00493561" w:rsidRPr="00F023FC">
        <w:rPr>
          <w:b/>
          <w:bCs/>
        </w:rPr>
        <w:t>énérale</w:t>
      </w:r>
      <w:r w:rsidR="00493561" w:rsidRPr="00F023FC">
        <w:rPr>
          <w:b/>
          <w:bCs/>
        </w:rPr>
        <w:br/>
        <w:t xml:space="preserve">Union </w:t>
      </w:r>
      <w:r w:rsidRPr="00F023FC">
        <w:rPr>
          <w:b/>
          <w:bCs/>
        </w:rPr>
        <w:t>i</w:t>
      </w:r>
      <w:r w:rsidR="00493561" w:rsidRPr="00F023FC">
        <w:rPr>
          <w:b/>
          <w:bCs/>
        </w:rPr>
        <w:t xml:space="preserve">nternationale des </w:t>
      </w:r>
      <w:r w:rsidRPr="00F023FC">
        <w:rPr>
          <w:b/>
          <w:bCs/>
        </w:rPr>
        <w:t>t</w:t>
      </w:r>
      <w:r w:rsidR="00493561" w:rsidRPr="00F023FC">
        <w:rPr>
          <w:b/>
          <w:bCs/>
        </w:rPr>
        <w:t>élécommunications</w:t>
      </w:r>
      <w:r w:rsidR="00493561" w:rsidRPr="00F023FC">
        <w:rPr>
          <w:b/>
          <w:bCs/>
        </w:rPr>
        <w:br/>
        <w:t>Genève, Suisse</w:t>
      </w:r>
    </w:p>
    <w:p w14:paraId="1BBE46AF" w14:textId="02EF0552" w:rsidR="00493561" w:rsidRPr="00F023FC" w:rsidRDefault="007B57A1" w:rsidP="000258DF">
      <w:pPr>
        <w:pStyle w:val="Title4"/>
        <w:spacing w:before="360"/>
        <w:rPr>
          <w:u w:val="single"/>
        </w:rPr>
      </w:pPr>
      <w:r w:rsidRPr="00F023FC">
        <w:rPr>
          <w:u w:val="single"/>
        </w:rPr>
        <w:t>Objet</w:t>
      </w:r>
      <w:r w:rsidR="00493561" w:rsidRPr="00F023FC">
        <w:rPr>
          <w:u w:val="single"/>
        </w:rPr>
        <w:t>:</w:t>
      </w:r>
      <w:r w:rsidR="007D75E9" w:rsidRPr="00F023FC">
        <w:rPr>
          <w:u w:val="single"/>
        </w:rPr>
        <w:t xml:space="preserve"> Lieu et dates de la Conférence de plénipotentiaires de 2026 de l'UIT</w:t>
      </w:r>
    </w:p>
    <w:p w14:paraId="5157D74C" w14:textId="3AF907EF" w:rsidR="00696504" w:rsidRPr="00F023FC" w:rsidRDefault="00D04713" w:rsidP="000258DF">
      <w:pPr>
        <w:pStyle w:val="Normalaftertitle"/>
      </w:pPr>
      <w:r w:rsidRPr="00F023FC">
        <w:t>Je fais référence à</w:t>
      </w:r>
      <w:r w:rsidR="00696504" w:rsidRPr="00F023FC">
        <w:t xml:space="preserve"> la décision prise </w:t>
      </w:r>
      <w:r w:rsidRPr="00F023FC">
        <w:t>par</w:t>
      </w:r>
      <w:r w:rsidR="00696504" w:rsidRPr="00F023FC">
        <w:t xml:space="preserve"> la Conférence de plénipotentiaires de 2022 de l'UIT à Bucarest (Roumanie), en vertu du point 5.5 du </w:t>
      </w:r>
      <w:r w:rsidR="00696504" w:rsidRPr="00F023FC">
        <w:rPr>
          <w:i/>
          <w:iCs/>
        </w:rPr>
        <w:t xml:space="preserve">décide </w:t>
      </w:r>
      <w:r w:rsidR="00696504" w:rsidRPr="00F023FC">
        <w:t xml:space="preserve">de </w:t>
      </w:r>
      <w:r w:rsidR="004D16CC" w:rsidRPr="00F023FC">
        <w:t>s</w:t>
      </w:r>
      <w:r w:rsidR="00696504" w:rsidRPr="00F023FC">
        <w:t>a Résolution 77</w:t>
      </w:r>
      <w:r w:rsidR="004D16CC" w:rsidRPr="00F023FC">
        <w:t xml:space="preserve"> (Rév.</w:t>
      </w:r>
      <w:r w:rsidR="000258DF" w:rsidRPr="00F023FC">
        <w:t> </w:t>
      </w:r>
      <w:r w:rsidR="004D16CC" w:rsidRPr="00F023FC">
        <w:t>Bucarest,</w:t>
      </w:r>
      <w:r w:rsidR="000258DF" w:rsidRPr="00F023FC">
        <w:t> </w:t>
      </w:r>
      <w:r w:rsidR="004D16CC" w:rsidRPr="00F023FC">
        <w:t>2022)</w:t>
      </w:r>
      <w:r w:rsidR="00696504" w:rsidRPr="00F023FC">
        <w:t>, aux termes duquel "la Conférence de plénipotentiaires se tiendra pendant le dernier trimestre de 2026 à Doha (Qatar)". J'ai l'honneur d'annoncer que l'État du Qatar souhaiterait accueillir la Conférence de plénipotentiaires de 2026 de l'UIT au Centre d'expositions et de congrès de Doha, du 9 au 27 novembre 2026.</w:t>
      </w:r>
    </w:p>
    <w:p w14:paraId="79A7A867" w14:textId="11DD2BB4" w:rsidR="00493561" w:rsidRPr="00F023FC" w:rsidRDefault="00696504" w:rsidP="00DF06F9">
      <w:r w:rsidRPr="00F023FC">
        <w:t>Veuillez agréer, Madame la Secrétaire générale, l'assurance de ma très haute considération.</w:t>
      </w:r>
    </w:p>
    <w:p w14:paraId="4B633FB9" w14:textId="1229AE98" w:rsidR="00493561" w:rsidRPr="00F023FC" w:rsidRDefault="00493561" w:rsidP="00DF06F9">
      <w:pPr>
        <w:spacing w:before="480" w:after="480"/>
      </w:pPr>
      <w:r w:rsidRPr="00F023FC">
        <w:t>(</w:t>
      </w:r>
      <w:r w:rsidRPr="00F023FC">
        <w:rPr>
          <w:i/>
        </w:rPr>
        <w:t>signé</w:t>
      </w:r>
      <w:r w:rsidRPr="00F023FC">
        <w:t>)</w:t>
      </w:r>
    </w:p>
    <w:p w14:paraId="17A3B3D4" w14:textId="6404D3DA" w:rsidR="00493561" w:rsidRPr="00F023FC" w:rsidRDefault="00493561" w:rsidP="00DF06F9">
      <w:pPr>
        <w:spacing w:before="480" w:after="480"/>
        <w:rPr>
          <w:b/>
          <w:bCs/>
        </w:rPr>
      </w:pPr>
      <w:r w:rsidRPr="00F023FC">
        <w:rPr>
          <w:b/>
          <w:bCs/>
        </w:rPr>
        <w:t>Mohamed bin Ali Al Mannai</w:t>
      </w:r>
      <w:r w:rsidRPr="00F023FC">
        <w:rPr>
          <w:b/>
          <w:bCs/>
        </w:rPr>
        <w:br/>
      </w:r>
      <w:r w:rsidR="00696504" w:rsidRPr="00F023FC">
        <w:rPr>
          <w:b/>
          <w:bCs/>
        </w:rPr>
        <w:t>Ministre des communications et des technologies de l'information</w:t>
      </w:r>
    </w:p>
    <w:p w14:paraId="42BA0961" w14:textId="7606B4AA" w:rsidR="00493561" w:rsidRPr="00F023FC" w:rsidRDefault="00493561" w:rsidP="00DF06F9">
      <w:pPr>
        <w:tabs>
          <w:tab w:val="clear" w:pos="567"/>
          <w:tab w:val="clear" w:pos="1134"/>
          <w:tab w:val="clear" w:pos="1701"/>
          <w:tab w:val="clear" w:pos="2268"/>
          <w:tab w:val="clear" w:pos="2835"/>
        </w:tabs>
        <w:overflowPunct/>
        <w:autoSpaceDE/>
        <w:autoSpaceDN/>
        <w:adjustRightInd/>
        <w:spacing w:before="0"/>
        <w:textAlignment w:val="auto"/>
      </w:pPr>
      <w:r w:rsidRPr="00F023FC">
        <w:br w:type="page"/>
      </w:r>
    </w:p>
    <w:p w14:paraId="0BD4B49B" w14:textId="18DECC34" w:rsidR="00493561" w:rsidRPr="00F023FC" w:rsidRDefault="00493561" w:rsidP="00DF06F9">
      <w:pPr>
        <w:pStyle w:val="AnnexNo"/>
      </w:pPr>
      <w:bookmarkStart w:id="1" w:name="AB"/>
      <w:r w:rsidRPr="00F023FC">
        <w:lastRenderedPageBreak/>
        <w:t>ANNEXE B</w:t>
      </w:r>
      <w:bookmarkEnd w:id="1"/>
    </w:p>
    <w:p w14:paraId="6E8FD80E" w14:textId="587E3DA3" w:rsidR="00493561" w:rsidRPr="00F023FC" w:rsidRDefault="00493561" w:rsidP="000258DF">
      <w:pPr>
        <w:pStyle w:val="ResNo"/>
      </w:pPr>
      <w:r w:rsidRPr="00F023FC">
        <w:t>PROJET DE DÉCISION</w:t>
      </w:r>
      <w:r w:rsidR="0022114E" w:rsidRPr="00F023FC">
        <w:t xml:space="preserve"> [...]</w:t>
      </w:r>
    </w:p>
    <w:p w14:paraId="5525E77A" w14:textId="77777777" w:rsidR="00493561" w:rsidRPr="00F023FC" w:rsidRDefault="00493561" w:rsidP="0022114E">
      <w:pPr>
        <w:pStyle w:val="Restitle"/>
      </w:pPr>
      <w:r w:rsidRPr="00F023FC">
        <w:t>Convocation de la prochaine Conférence de plénipotentiaires ordinaire</w:t>
      </w:r>
    </w:p>
    <w:p w14:paraId="43B30FF4" w14:textId="77777777" w:rsidR="00493561" w:rsidRPr="00F023FC" w:rsidRDefault="00493561" w:rsidP="00DF06F9">
      <w:pPr>
        <w:pStyle w:val="Normalaftertitle"/>
      </w:pPr>
      <w:r w:rsidRPr="00F023FC">
        <w:t>Le Conseil,</w:t>
      </w:r>
    </w:p>
    <w:p w14:paraId="5E4194CB" w14:textId="77777777" w:rsidR="00493561" w:rsidRPr="00F023FC" w:rsidRDefault="00493561" w:rsidP="00DF06F9">
      <w:pPr>
        <w:pStyle w:val="Call"/>
      </w:pPr>
      <w:r w:rsidRPr="00F023FC">
        <w:t>notant</w:t>
      </w:r>
    </w:p>
    <w:p w14:paraId="3D53773E" w14:textId="63BDD8BD" w:rsidR="00493561" w:rsidRPr="00F023FC" w:rsidRDefault="005126EA" w:rsidP="0022114E">
      <w:r w:rsidRPr="00F023FC">
        <w:t xml:space="preserve">que la Résolution 77 (Rév. Bucarest, 2022) de la Conférence de plénipotentiaires prévoit que la prochaine Conférence de plénipotentiaires (PP) se tiendra pendant le dernier </w:t>
      </w:r>
      <w:r w:rsidR="004D16CC" w:rsidRPr="00F023FC">
        <w:t>tri</w:t>
      </w:r>
      <w:r w:rsidRPr="00F023FC">
        <w:t>mestre de</w:t>
      </w:r>
      <w:r w:rsidR="000258DF" w:rsidRPr="00F023FC">
        <w:t> </w:t>
      </w:r>
      <w:r w:rsidRPr="00F023FC">
        <w:t>2026 à Doha (Qatar),</w:t>
      </w:r>
    </w:p>
    <w:p w14:paraId="4A17E200" w14:textId="77777777" w:rsidR="00493561" w:rsidRPr="00F023FC" w:rsidRDefault="00493561" w:rsidP="00DF06F9">
      <w:pPr>
        <w:pStyle w:val="Call"/>
      </w:pPr>
      <w:r w:rsidRPr="00F023FC">
        <w:t>décide</w:t>
      </w:r>
    </w:p>
    <w:p w14:paraId="435AB445" w14:textId="1555F62C" w:rsidR="00493561" w:rsidRPr="00F023FC" w:rsidRDefault="00493561" w:rsidP="0022114E">
      <w:r w:rsidRPr="00F023FC">
        <w:rPr>
          <w:i/>
        </w:rPr>
        <w:t>a)</w:t>
      </w:r>
      <w:r w:rsidRPr="00F023FC">
        <w:tab/>
        <w:t>que, sous réserve de l'accord de la majorité des États Membres de l'Union, la prochaine Conférence de plénipotentiaires ordinaire se tiendra</w:t>
      </w:r>
      <w:r w:rsidR="00EB462D" w:rsidRPr="00F023FC">
        <w:t xml:space="preserve"> </w:t>
      </w:r>
      <w:r w:rsidR="005126EA" w:rsidRPr="00F023FC">
        <w:t xml:space="preserve">au Centre d'expositions et de congrès de Doha </w:t>
      </w:r>
      <w:r w:rsidRPr="00F023FC">
        <w:t>pendant trois semaines;</w:t>
      </w:r>
    </w:p>
    <w:p w14:paraId="08338154" w14:textId="47BBC536" w:rsidR="00493561" w:rsidRPr="00F023FC" w:rsidRDefault="00493561" w:rsidP="0022114E">
      <w:r w:rsidRPr="00F023FC">
        <w:rPr>
          <w:i/>
        </w:rPr>
        <w:t>b)</w:t>
      </w:r>
      <w:r w:rsidRPr="00F023FC">
        <w:tab/>
        <w:t>que la Conférence s'ouvrira le [lundi 9 novembre 2026] pour se terminer le [vendredi 27 novembre 2026],</w:t>
      </w:r>
    </w:p>
    <w:p w14:paraId="6A898892" w14:textId="27BF98DC" w:rsidR="00493561" w:rsidRPr="00F023FC" w:rsidRDefault="00493561" w:rsidP="00DF06F9">
      <w:pPr>
        <w:pStyle w:val="Call"/>
      </w:pPr>
      <w:r w:rsidRPr="00F023FC">
        <w:t>charge l</w:t>
      </w:r>
      <w:r w:rsidR="005126EA" w:rsidRPr="00F023FC">
        <w:t>a</w:t>
      </w:r>
      <w:r w:rsidRPr="00F023FC">
        <w:t xml:space="preserve"> Secrétaire général</w:t>
      </w:r>
      <w:r w:rsidR="005126EA" w:rsidRPr="00F023FC">
        <w:t>e</w:t>
      </w:r>
    </w:p>
    <w:p w14:paraId="7A4DC335" w14:textId="55C3AECF" w:rsidR="00493561" w:rsidRPr="00F023FC" w:rsidRDefault="00493561" w:rsidP="0022114E">
      <w:r w:rsidRPr="00F023FC">
        <w:t>d'effectuer une visite sur place et de faire rapport au Conseil à sa session de 202</w:t>
      </w:r>
      <w:r w:rsidR="005126EA" w:rsidRPr="00F023FC">
        <w:t>4</w:t>
      </w:r>
      <w:r w:rsidRPr="00F023FC">
        <w:t>.</w:t>
      </w:r>
    </w:p>
    <w:p w14:paraId="670FB175" w14:textId="77777777" w:rsidR="0022114E" w:rsidRPr="00F023FC" w:rsidRDefault="0022114E" w:rsidP="0022114E">
      <w:pPr>
        <w:pStyle w:val="Reasons"/>
      </w:pPr>
    </w:p>
    <w:p w14:paraId="7BD46EDF" w14:textId="4DFD2116" w:rsidR="00493561" w:rsidRPr="00F023FC" w:rsidRDefault="00493561" w:rsidP="00DF06F9">
      <w:pPr>
        <w:jc w:val="center"/>
      </w:pPr>
      <w:r w:rsidRPr="00F023FC">
        <w:t>______________</w:t>
      </w:r>
    </w:p>
    <w:sectPr w:rsidR="00493561" w:rsidRPr="00F023FC"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DFDC" w14:textId="77777777" w:rsidR="00155233" w:rsidRDefault="00155233">
      <w:r>
        <w:separator/>
      </w:r>
    </w:p>
  </w:endnote>
  <w:endnote w:type="continuationSeparator" w:id="0">
    <w:p w14:paraId="2E0E9B72" w14:textId="77777777" w:rsidR="00155233" w:rsidRDefault="0015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460A3810" w:rsidR="00732045" w:rsidRDefault="00C23D5A">
    <w:pPr>
      <w:pStyle w:val="Footer"/>
    </w:pPr>
    <w:r>
      <w:fldChar w:fldCharType="begin"/>
    </w:r>
    <w:r>
      <w:instrText xml:space="preserve"> FILENAME \p \* MERGEFORMAT </w:instrText>
    </w:r>
    <w:r>
      <w:fldChar w:fldCharType="separate"/>
    </w:r>
    <w:r w:rsidR="00E4428F">
      <w:t>Document4</w:t>
    </w:r>
    <w:r>
      <w:fldChar w:fldCharType="end"/>
    </w:r>
    <w:r w:rsidR="00732045">
      <w:tab/>
    </w:r>
    <w:r w:rsidR="002F1B76">
      <w:fldChar w:fldCharType="begin"/>
    </w:r>
    <w:r w:rsidR="00732045">
      <w:instrText xml:space="preserve"> savedate \@ dd.MM.yy </w:instrText>
    </w:r>
    <w:r w:rsidR="002F1B76">
      <w:fldChar w:fldCharType="separate"/>
    </w:r>
    <w:r>
      <w:t>02.10.23</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1E7E441E" w:rsidR="00A51849" w:rsidRDefault="00A51849" w:rsidP="00A51849">
          <w:pPr>
            <w:pStyle w:val="Header"/>
            <w:jc w:val="left"/>
            <w:rPr>
              <w:noProof/>
            </w:rPr>
          </w:pPr>
          <w:r>
            <w:rPr>
              <w:noProof/>
            </w:rPr>
            <w:t xml:space="preserve">DPS </w:t>
          </w:r>
          <w:r w:rsidR="00C96E1B">
            <w:rPr>
              <w:noProof/>
            </w:rPr>
            <w:t>528194</w:t>
          </w:r>
        </w:p>
      </w:tc>
      <w:tc>
        <w:tcPr>
          <w:tcW w:w="8261" w:type="dxa"/>
        </w:tcPr>
        <w:p w14:paraId="0DB0A3C6" w14:textId="39F6D5C7" w:rsidR="00A51849" w:rsidRPr="00E06FD5" w:rsidRDefault="00A51849" w:rsidP="0022114E">
          <w:pPr>
            <w:pStyle w:val="Header"/>
            <w:tabs>
              <w:tab w:val="left" w:pos="6873"/>
              <w:tab w:val="right" w:pos="8505"/>
              <w:tab w:val="right" w:pos="9639"/>
            </w:tabs>
            <w:jc w:val="left"/>
            <w:rPr>
              <w:rFonts w:ascii="Arial" w:hAnsi="Arial" w:cs="Arial"/>
              <w:b/>
              <w:bCs/>
              <w:szCs w:val="18"/>
            </w:rPr>
          </w:pPr>
          <w:r>
            <w:rPr>
              <w:bCs/>
            </w:rPr>
            <w:tab/>
          </w:r>
          <w:r w:rsidRPr="00623AE3">
            <w:rPr>
              <w:bCs/>
            </w:rPr>
            <w:t>C</w:t>
          </w:r>
          <w:r>
            <w:rPr>
              <w:bCs/>
            </w:rPr>
            <w:t>23</w:t>
          </w:r>
          <w:r w:rsidR="0022114E">
            <w:rPr>
              <w:bCs/>
            </w:rPr>
            <w:t>-ADD</w:t>
          </w:r>
          <w:r w:rsidRPr="00623AE3">
            <w:rPr>
              <w:bCs/>
            </w:rPr>
            <w:t>/</w:t>
          </w:r>
          <w:r w:rsidR="00C96E1B">
            <w:rPr>
              <w:bCs/>
            </w:rPr>
            <w:t>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78EC5B7A" w:rsidR="00732045" w:rsidRPr="006E2999" w:rsidRDefault="00C23D5A" w:rsidP="00A51849">
    <w:pPr>
      <w:pStyle w:val="Footer"/>
      <w:rPr>
        <w:lang w:val="it-IT"/>
      </w:rPr>
    </w:pPr>
    <w:r w:rsidRPr="006E2999">
      <w:rPr>
        <w:color w:val="F2F2F2" w:themeColor="background1" w:themeShade="F2"/>
      </w:rPr>
      <w:fldChar w:fldCharType="begin"/>
    </w:r>
    <w:r w:rsidRPr="006E2999">
      <w:rPr>
        <w:color w:val="F2F2F2" w:themeColor="background1" w:themeShade="F2"/>
        <w:lang w:val="it-IT"/>
      </w:rPr>
      <w:instrText xml:space="preserve"> FILENAME \p  \* MERGEFORMAT </w:instrText>
    </w:r>
    <w:r w:rsidRPr="006E2999">
      <w:rPr>
        <w:color w:val="F2F2F2" w:themeColor="background1" w:themeShade="F2"/>
      </w:rPr>
      <w:fldChar w:fldCharType="separate"/>
    </w:r>
    <w:r w:rsidR="008351FE" w:rsidRPr="006E2999">
      <w:rPr>
        <w:color w:val="F2F2F2" w:themeColor="background1" w:themeShade="F2"/>
        <w:lang w:val="it-IT"/>
      </w:rPr>
      <w:t>P:\FRA\SG\CONSEIL\C23-ADD\004F.docx</w:t>
    </w:r>
    <w:r w:rsidRPr="006E2999">
      <w:rPr>
        <w:color w:val="F2F2F2" w:themeColor="background1" w:themeShade="F2"/>
      </w:rPr>
      <w:fldChar w:fldCharType="end"/>
    </w:r>
    <w:r w:rsidR="00C96E1B" w:rsidRPr="006E2999">
      <w:rPr>
        <w:color w:val="F2F2F2" w:themeColor="background1" w:themeShade="F2"/>
        <w:lang w:val="it-IT"/>
      </w:rPr>
      <w:t xml:space="preserve"> (528194)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Default="00C23D5A" w:rsidP="00A51849">
          <w:pPr>
            <w:pStyle w:val="Header"/>
            <w:jc w:val="left"/>
            <w:rPr>
              <w:noProof/>
            </w:rPr>
          </w:pPr>
          <w:hyperlink r:id="rId1" w:history="1">
            <w:r w:rsidR="00A51849" w:rsidRPr="00A514A4">
              <w:rPr>
                <w:rStyle w:val="Hyperlink"/>
                <w:szCs w:val="14"/>
              </w:rPr>
              <w:t>www.itu.int/council</w:t>
            </w:r>
          </w:hyperlink>
        </w:p>
      </w:tc>
      <w:tc>
        <w:tcPr>
          <w:tcW w:w="8261" w:type="dxa"/>
        </w:tcPr>
        <w:p w14:paraId="4C3D0956" w14:textId="09B44500"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C96E1B">
            <w:rPr>
              <w:bCs/>
            </w:rPr>
            <w:t>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742E4418" w:rsidR="00732045" w:rsidRPr="006E2999" w:rsidRDefault="00C23D5A" w:rsidP="00C96E1B">
    <w:pPr>
      <w:pStyle w:val="Footer"/>
      <w:rPr>
        <w:lang w:val="it-IT"/>
      </w:rPr>
    </w:pPr>
    <w:r w:rsidRPr="006E2999">
      <w:rPr>
        <w:color w:val="F2F2F2" w:themeColor="background1" w:themeShade="F2"/>
      </w:rPr>
      <w:fldChar w:fldCharType="begin"/>
    </w:r>
    <w:r w:rsidRPr="006E2999">
      <w:rPr>
        <w:color w:val="F2F2F2" w:themeColor="background1" w:themeShade="F2"/>
        <w:lang w:val="it-IT"/>
      </w:rPr>
      <w:instrText xml:space="preserve"> FILENAME \p  \* MERGEFORMAT </w:instrText>
    </w:r>
    <w:r w:rsidRPr="006E2999">
      <w:rPr>
        <w:color w:val="F2F2F2" w:themeColor="background1" w:themeShade="F2"/>
      </w:rPr>
      <w:fldChar w:fldCharType="separate"/>
    </w:r>
    <w:r w:rsidR="008351FE" w:rsidRPr="006E2999">
      <w:rPr>
        <w:color w:val="F2F2F2" w:themeColor="background1" w:themeShade="F2"/>
        <w:lang w:val="it-IT"/>
      </w:rPr>
      <w:t>P:\FRA\SG\CONSEIL\C23-ADD\004F.docx</w:t>
    </w:r>
    <w:r w:rsidRPr="006E2999">
      <w:rPr>
        <w:color w:val="F2F2F2" w:themeColor="background1" w:themeShade="F2"/>
      </w:rPr>
      <w:fldChar w:fldCharType="end"/>
    </w:r>
    <w:r w:rsidR="00C96E1B" w:rsidRPr="006E2999">
      <w:rPr>
        <w:color w:val="F2F2F2" w:themeColor="background1" w:themeShade="F2"/>
        <w:lang w:val="it-IT"/>
      </w:rPr>
      <w:t xml:space="preserve"> (528194)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CED4" w14:textId="77777777" w:rsidR="00155233" w:rsidRDefault="00155233">
      <w:r>
        <w:t>____________________</w:t>
      </w:r>
    </w:p>
  </w:footnote>
  <w:footnote w:type="continuationSeparator" w:id="0">
    <w:p w14:paraId="23C5ED83" w14:textId="77777777" w:rsidR="00155233" w:rsidRDefault="0015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250AFEBE" w:rsidR="00A51849" w:rsidRPr="009621F8" w:rsidRDefault="00C96E1B" w:rsidP="00A51849">
          <w:pPr>
            <w:pStyle w:val="Header"/>
            <w:jc w:val="left"/>
            <w:rPr>
              <w:rFonts w:ascii="Arial" w:hAnsi="Arial" w:cs="Arial"/>
              <w:b/>
              <w:bCs/>
              <w:color w:val="009CD6"/>
              <w:sz w:val="36"/>
              <w:szCs w:val="36"/>
            </w:rPr>
          </w:pPr>
          <w:r>
            <w:rPr>
              <w:noProof/>
            </w:rPr>
            <w:drawing>
              <wp:inline distT="0" distB="0" distL="0" distR="0" wp14:anchorId="31DB732D" wp14:editId="4ADE4902">
                <wp:extent cx="1912753" cy="53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753" cy="53693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258DF"/>
    <w:rsid w:val="00076A2C"/>
    <w:rsid w:val="00082D8E"/>
    <w:rsid w:val="000D0D0A"/>
    <w:rsid w:val="00103163"/>
    <w:rsid w:val="00106B19"/>
    <w:rsid w:val="00115D93"/>
    <w:rsid w:val="001247A8"/>
    <w:rsid w:val="001378C0"/>
    <w:rsid w:val="00155233"/>
    <w:rsid w:val="0018694A"/>
    <w:rsid w:val="001A3287"/>
    <w:rsid w:val="001A6508"/>
    <w:rsid w:val="001D4C31"/>
    <w:rsid w:val="001E4D21"/>
    <w:rsid w:val="00207CD1"/>
    <w:rsid w:val="0022114E"/>
    <w:rsid w:val="00226657"/>
    <w:rsid w:val="002477A2"/>
    <w:rsid w:val="00263A51"/>
    <w:rsid w:val="00267E02"/>
    <w:rsid w:val="002A5D44"/>
    <w:rsid w:val="002E0BC4"/>
    <w:rsid w:val="002F1B76"/>
    <w:rsid w:val="0033568E"/>
    <w:rsid w:val="00355FF5"/>
    <w:rsid w:val="00361350"/>
    <w:rsid w:val="003C3FAE"/>
    <w:rsid w:val="004038CB"/>
    <w:rsid w:val="0040546F"/>
    <w:rsid w:val="0042404A"/>
    <w:rsid w:val="0044618F"/>
    <w:rsid w:val="0046769A"/>
    <w:rsid w:val="00475FB3"/>
    <w:rsid w:val="00493561"/>
    <w:rsid w:val="004C37A9"/>
    <w:rsid w:val="004D16CC"/>
    <w:rsid w:val="004D1D50"/>
    <w:rsid w:val="004E5DFB"/>
    <w:rsid w:val="004F259E"/>
    <w:rsid w:val="00511F1D"/>
    <w:rsid w:val="005126EA"/>
    <w:rsid w:val="00520F36"/>
    <w:rsid w:val="00534E13"/>
    <w:rsid w:val="00535E66"/>
    <w:rsid w:val="00540615"/>
    <w:rsid w:val="00540A6D"/>
    <w:rsid w:val="00566679"/>
    <w:rsid w:val="00571EEA"/>
    <w:rsid w:val="00575417"/>
    <w:rsid w:val="005768E1"/>
    <w:rsid w:val="00593FB6"/>
    <w:rsid w:val="005B1938"/>
    <w:rsid w:val="005B5A9F"/>
    <w:rsid w:val="005C3890"/>
    <w:rsid w:val="005E1A29"/>
    <w:rsid w:val="005F7BFE"/>
    <w:rsid w:val="00600017"/>
    <w:rsid w:val="006235CA"/>
    <w:rsid w:val="006643AB"/>
    <w:rsid w:val="00696504"/>
    <w:rsid w:val="006A7970"/>
    <w:rsid w:val="006E2999"/>
    <w:rsid w:val="006F0A53"/>
    <w:rsid w:val="007210CD"/>
    <w:rsid w:val="00732045"/>
    <w:rsid w:val="007369DB"/>
    <w:rsid w:val="00753977"/>
    <w:rsid w:val="00754DA9"/>
    <w:rsid w:val="007956C2"/>
    <w:rsid w:val="007A187E"/>
    <w:rsid w:val="007B57A1"/>
    <w:rsid w:val="007C72C2"/>
    <w:rsid w:val="007D4436"/>
    <w:rsid w:val="007D75E9"/>
    <w:rsid w:val="007F257A"/>
    <w:rsid w:val="007F3665"/>
    <w:rsid w:val="00800037"/>
    <w:rsid w:val="00807ACA"/>
    <w:rsid w:val="0081630C"/>
    <w:rsid w:val="0083391C"/>
    <w:rsid w:val="008351FE"/>
    <w:rsid w:val="0085042E"/>
    <w:rsid w:val="00861D73"/>
    <w:rsid w:val="00890824"/>
    <w:rsid w:val="00897553"/>
    <w:rsid w:val="008A4E87"/>
    <w:rsid w:val="008D76E6"/>
    <w:rsid w:val="0092392D"/>
    <w:rsid w:val="0093234A"/>
    <w:rsid w:val="00956A78"/>
    <w:rsid w:val="0097363B"/>
    <w:rsid w:val="00973F53"/>
    <w:rsid w:val="009C307F"/>
    <w:rsid w:val="009C353C"/>
    <w:rsid w:val="009E0BC4"/>
    <w:rsid w:val="00A1481B"/>
    <w:rsid w:val="00A2113E"/>
    <w:rsid w:val="00A23A51"/>
    <w:rsid w:val="00A24607"/>
    <w:rsid w:val="00A25CD3"/>
    <w:rsid w:val="00A51849"/>
    <w:rsid w:val="00A709FE"/>
    <w:rsid w:val="00A73C60"/>
    <w:rsid w:val="00A82767"/>
    <w:rsid w:val="00AA332F"/>
    <w:rsid w:val="00AA7BBB"/>
    <w:rsid w:val="00AB64A8"/>
    <w:rsid w:val="00AC0266"/>
    <w:rsid w:val="00AD24EC"/>
    <w:rsid w:val="00B0718C"/>
    <w:rsid w:val="00B309F9"/>
    <w:rsid w:val="00B32B60"/>
    <w:rsid w:val="00B61619"/>
    <w:rsid w:val="00BB4545"/>
    <w:rsid w:val="00BD5873"/>
    <w:rsid w:val="00BD7B5E"/>
    <w:rsid w:val="00C04BE3"/>
    <w:rsid w:val="00C23D5A"/>
    <w:rsid w:val="00C25D29"/>
    <w:rsid w:val="00C27A7C"/>
    <w:rsid w:val="00C42437"/>
    <w:rsid w:val="00C86E73"/>
    <w:rsid w:val="00C96E1B"/>
    <w:rsid w:val="00CA08ED"/>
    <w:rsid w:val="00CE55E3"/>
    <w:rsid w:val="00CF183B"/>
    <w:rsid w:val="00D04713"/>
    <w:rsid w:val="00D071D4"/>
    <w:rsid w:val="00D375CD"/>
    <w:rsid w:val="00D553A2"/>
    <w:rsid w:val="00D72F49"/>
    <w:rsid w:val="00D774D3"/>
    <w:rsid w:val="00D904E8"/>
    <w:rsid w:val="00DA08C3"/>
    <w:rsid w:val="00DB5A3E"/>
    <w:rsid w:val="00DC22AA"/>
    <w:rsid w:val="00DF06F9"/>
    <w:rsid w:val="00DF74DD"/>
    <w:rsid w:val="00E25AD0"/>
    <w:rsid w:val="00E4428F"/>
    <w:rsid w:val="00E5693F"/>
    <w:rsid w:val="00E64235"/>
    <w:rsid w:val="00E93668"/>
    <w:rsid w:val="00E95647"/>
    <w:rsid w:val="00EB462D"/>
    <w:rsid w:val="00EB6350"/>
    <w:rsid w:val="00F023FC"/>
    <w:rsid w:val="00F15B57"/>
    <w:rsid w:val="00F35EF4"/>
    <w:rsid w:val="00F37FE5"/>
    <w:rsid w:val="00F427DB"/>
    <w:rsid w:val="00F50861"/>
    <w:rsid w:val="00F839F7"/>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C96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7-F.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Documents/basic-texts-2023/Convention-F.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9A10-E1EC-487F-968C-26DE480B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4636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Lieu précis et dates exactes de la Conférence de plénipotentiaires de 2026</dc:title>
  <dc:subject>Conseil 2023</dc:subject>
  <dc:creator>Xue, Kun</dc:creator>
  <cp:keywords>C2023, C23, Council-23</cp:keywords>
  <dc:description/>
  <cp:lastModifiedBy>Xue, Kun</cp:lastModifiedBy>
  <cp:revision>4</cp:revision>
  <cp:lastPrinted>2000-07-18T08:55:00Z</cp:lastPrinted>
  <dcterms:created xsi:type="dcterms:W3CDTF">2023-10-02T09:29:00Z</dcterms:created>
  <dcterms:modified xsi:type="dcterms:W3CDTF">2023-10-02T09:32:00Z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