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104901" w:rsidRPr="00104901" w14:paraId="76F6D1C7" w14:textId="77777777" w:rsidTr="0039618B">
        <w:trPr>
          <w:cantSplit/>
        </w:trPr>
        <w:tc>
          <w:tcPr>
            <w:tcW w:w="6096" w:type="dxa"/>
            <w:vAlign w:val="center"/>
          </w:tcPr>
          <w:p w14:paraId="59BAD25C" w14:textId="77777777" w:rsidR="00104901" w:rsidRPr="00104901" w:rsidRDefault="00104901" w:rsidP="00104901">
            <w:pPr>
              <w:rPr>
                <w:b/>
                <w:position w:val="6"/>
                <w:sz w:val="26"/>
                <w:szCs w:val="26"/>
              </w:rPr>
            </w:pPr>
            <w:bookmarkStart w:id="0" w:name="dc06"/>
            <w:bookmarkStart w:id="1" w:name="_Hlk92442537"/>
            <w:bookmarkEnd w:id="0"/>
            <w:r w:rsidRPr="00104901">
              <w:rPr>
                <w:b/>
                <w:position w:val="6"/>
                <w:sz w:val="30"/>
                <w:szCs w:val="30"/>
              </w:rPr>
              <w:t>Council Working Group on International Internet-related Public Policy Issues</w:t>
            </w:r>
            <w:r w:rsidRPr="00104901">
              <w:rPr>
                <w:b/>
                <w:position w:val="6"/>
                <w:sz w:val="30"/>
                <w:szCs w:val="30"/>
              </w:rPr>
              <w:br/>
            </w:r>
            <w:r w:rsidRPr="00104901">
              <w:rPr>
                <w:rFonts w:cstheme="minorHAnsi"/>
                <w:b/>
                <w:spacing w:val="-2"/>
                <w:sz w:val="24"/>
                <w:szCs w:val="24"/>
              </w:rPr>
              <w:t xml:space="preserve">Seventeenth meeting – </w:t>
            </w:r>
            <w:r w:rsidRPr="00104901">
              <w:rPr>
                <w:rFonts w:cstheme="minorHAnsi" w:hint="eastAsia"/>
                <w:b/>
                <w:spacing w:val="-2"/>
                <w:sz w:val="24"/>
                <w:szCs w:val="24"/>
              </w:rPr>
              <w:t>19-20</w:t>
            </w:r>
            <w:r w:rsidRPr="00104901">
              <w:rPr>
                <w:rFonts w:cstheme="minorHAnsi"/>
                <w:b/>
                <w:spacing w:val="-2"/>
                <w:sz w:val="24"/>
                <w:szCs w:val="24"/>
              </w:rPr>
              <w:t xml:space="preserve"> January 2022</w:t>
            </w:r>
          </w:p>
        </w:tc>
        <w:tc>
          <w:tcPr>
            <w:tcW w:w="4218" w:type="dxa"/>
          </w:tcPr>
          <w:p w14:paraId="6F24EF22" w14:textId="77777777" w:rsidR="00104901" w:rsidRPr="00104901" w:rsidRDefault="00104901" w:rsidP="00104901">
            <w:pPr>
              <w:spacing w:before="120" w:line="240" w:lineRule="atLeast"/>
            </w:pPr>
            <w:bookmarkStart w:id="2" w:name="ditulogo"/>
            <w:bookmarkEnd w:id="2"/>
            <w:r w:rsidRPr="00104901">
              <w:rPr>
                <w:noProof/>
              </w:rPr>
              <w:drawing>
                <wp:inline distT="0" distB="0" distL="0" distR="0" wp14:anchorId="3589976C" wp14:editId="7A82E21F">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104901" w:rsidRPr="00104901" w14:paraId="5ECE4975" w14:textId="77777777" w:rsidTr="0039618B">
        <w:trPr>
          <w:cantSplit/>
        </w:trPr>
        <w:tc>
          <w:tcPr>
            <w:tcW w:w="6096" w:type="dxa"/>
            <w:tcBorders>
              <w:top w:val="single" w:sz="12" w:space="0" w:color="auto"/>
            </w:tcBorders>
          </w:tcPr>
          <w:p w14:paraId="75DAA4D1" w14:textId="77777777" w:rsidR="00104901" w:rsidRPr="00104901" w:rsidRDefault="00104901" w:rsidP="00104901">
            <w:pPr>
              <w:snapToGrid w:val="0"/>
              <w:spacing w:after="0" w:line="240" w:lineRule="auto"/>
              <w:rPr>
                <w:b/>
                <w:smallCaps/>
              </w:rPr>
            </w:pPr>
          </w:p>
        </w:tc>
        <w:tc>
          <w:tcPr>
            <w:tcW w:w="4218" w:type="dxa"/>
            <w:tcBorders>
              <w:top w:val="single" w:sz="12" w:space="0" w:color="auto"/>
            </w:tcBorders>
          </w:tcPr>
          <w:p w14:paraId="5FF1EAEC" w14:textId="77777777" w:rsidR="00104901" w:rsidRPr="00104901" w:rsidRDefault="00104901" w:rsidP="00104901">
            <w:pPr>
              <w:snapToGrid w:val="0"/>
              <w:spacing w:after="0" w:line="240" w:lineRule="auto"/>
              <w:ind w:left="209"/>
              <w:rPr>
                <w:rFonts w:ascii="Verdana" w:hAnsi="Verdana"/>
              </w:rPr>
            </w:pPr>
          </w:p>
        </w:tc>
      </w:tr>
      <w:tr w:rsidR="00104901" w:rsidRPr="00104901" w14:paraId="608A9E75" w14:textId="77777777" w:rsidTr="0039618B">
        <w:trPr>
          <w:cantSplit/>
          <w:trHeight w:val="23"/>
        </w:trPr>
        <w:tc>
          <w:tcPr>
            <w:tcW w:w="6096" w:type="dxa"/>
            <w:vMerge w:val="restart"/>
          </w:tcPr>
          <w:p w14:paraId="2AE4F2A9" w14:textId="77777777" w:rsidR="00104901" w:rsidRPr="00104901" w:rsidRDefault="00104901" w:rsidP="00104901">
            <w:pPr>
              <w:snapToGrid w:val="0"/>
              <w:spacing w:after="0" w:line="240" w:lineRule="auto"/>
              <w:rPr>
                <w:b/>
              </w:rPr>
            </w:pPr>
            <w:bookmarkStart w:id="3" w:name="dmeeting" w:colFirst="0" w:colLast="0"/>
            <w:bookmarkStart w:id="4" w:name="dnum" w:colFirst="1" w:colLast="1"/>
          </w:p>
        </w:tc>
        <w:tc>
          <w:tcPr>
            <w:tcW w:w="4218" w:type="dxa"/>
          </w:tcPr>
          <w:p w14:paraId="2C3DF91D" w14:textId="602D5F7C" w:rsidR="00104901" w:rsidRPr="00104901" w:rsidRDefault="00104901" w:rsidP="00104901">
            <w:pPr>
              <w:snapToGrid w:val="0"/>
              <w:spacing w:after="0" w:line="240" w:lineRule="auto"/>
              <w:ind w:left="57"/>
              <w:rPr>
                <w:rFonts w:cstheme="minorHAnsi"/>
                <w:b/>
                <w:spacing w:val="-4"/>
                <w:sz w:val="24"/>
                <w:szCs w:val="24"/>
                <w:lang w:val="de-CH"/>
              </w:rPr>
            </w:pPr>
            <w:r w:rsidRPr="00104901">
              <w:rPr>
                <w:rFonts w:cstheme="minorHAnsi"/>
                <w:b/>
                <w:spacing w:val="-4"/>
                <w:sz w:val="24"/>
                <w:szCs w:val="24"/>
                <w:lang w:val="de-CH"/>
              </w:rPr>
              <w:t>Document CWG-Internet-17/</w:t>
            </w:r>
            <w:r>
              <w:rPr>
                <w:rFonts w:cstheme="minorHAnsi"/>
                <w:b/>
                <w:spacing w:val="-4"/>
                <w:sz w:val="24"/>
                <w:szCs w:val="24"/>
                <w:lang w:val="de-CH"/>
              </w:rPr>
              <w:t>4</w:t>
            </w:r>
            <w:r w:rsidRPr="00104901">
              <w:rPr>
                <w:rFonts w:cstheme="minorHAnsi"/>
                <w:b/>
                <w:spacing w:val="-4"/>
                <w:sz w:val="24"/>
                <w:szCs w:val="24"/>
                <w:lang w:val="de-CH"/>
              </w:rPr>
              <w:t>-E</w:t>
            </w:r>
          </w:p>
        </w:tc>
      </w:tr>
      <w:tr w:rsidR="00104901" w:rsidRPr="00104901" w14:paraId="774C3858" w14:textId="77777777" w:rsidTr="0039618B">
        <w:trPr>
          <w:cantSplit/>
          <w:trHeight w:val="23"/>
        </w:trPr>
        <w:tc>
          <w:tcPr>
            <w:tcW w:w="6096" w:type="dxa"/>
            <w:vMerge/>
          </w:tcPr>
          <w:p w14:paraId="40EDCEF0" w14:textId="77777777" w:rsidR="00104901" w:rsidRPr="00104901" w:rsidRDefault="00104901" w:rsidP="00104901">
            <w:pPr>
              <w:snapToGrid w:val="0"/>
              <w:spacing w:after="0" w:line="240" w:lineRule="auto"/>
              <w:rPr>
                <w:b/>
                <w:lang w:val="de-CH"/>
              </w:rPr>
            </w:pPr>
            <w:bookmarkStart w:id="5" w:name="ddate" w:colFirst="1" w:colLast="1"/>
            <w:bookmarkEnd w:id="3"/>
            <w:bookmarkEnd w:id="4"/>
          </w:p>
        </w:tc>
        <w:tc>
          <w:tcPr>
            <w:tcW w:w="4218" w:type="dxa"/>
          </w:tcPr>
          <w:p w14:paraId="7E289E42" w14:textId="1462971A" w:rsidR="00104901" w:rsidRPr="00104901" w:rsidRDefault="00104901" w:rsidP="00104901">
            <w:pPr>
              <w:snapToGrid w:val="0"/>
              <w:spacing w:after="0" w:line="240" w:lineRule="auto"/>
              <w:ind w:left="57"/>
              <w:rPr>
                <w:rFonts w:cstheme="minorHAnsi"/>
                <w:b/>
                <w:sz w:val="24"/>
                <w:szCs w:val="24"/>
              </w:rPr>
            </w:pPr>
            <w:r>
              <w:rPr>
                <w:rFonts w:cstheme="minorHAnsi"/>
                <w:b/>
                <w:sz w:val="24"/>
                <w:szCs w:val="24"/>
              </w:rPr>
              <w:t>7 January 2022</w:t>
            </w:r>
          </w:p>
        </w:tc>
      </w:tr>
      <w:tr w:rsidR="00104901" w:rsidRPr="00104901" w14:paraId="6DDF5800" w14:textId="77777777" w:rsidTr="0039618B">
        <w:trPr>
          <w:cantSplit/>
          <w:trHeight w:val="80"/>
        </w:trPr>
        <w:tc>
          <w:tcPr>
            <w:tcW w:w="6096" w:type="dxa"/>
            <w:vMerge/>
          </w:tcPr>
          <w:p w14:paraId="421A773D" w14:textId="77777777" w:rsidR="00104901" w:rsidRPr="00104901" w:rsidRDefault="00104901" w:rsidP="00104901">
            <w:pPr>
              <w:snapToGrid w:val="0"/>
              <w:spacing w:after="0" w:line="240" w:lineRule="auto"/>
              <w:rPr>
                <w:b/>
              </w:rPr>
            </w:pPr>
            <w:bookmarkStart w:id="6" w:name="dorlang" w:colFirst="1" w:colLast="1"/>
            <w:bookmarkEnd w:id="5"/>
          </w:p>
        </w:tc>
        <w:tc>
          <w:tcPr>
            <w:tcW w:w="4218" w:type="dxa"/>
          </w:tcPr>
          <w:p w14:paraId="0C5D2EF6" w14:textId="77777777" w:rsidR="00104901" w:rsidRPr="00104901" w:rsidRDefault="00104901" w:rsidP="00104901">
            <w:pPr>
              <w:snapToGrid w:val="0"/>
              <w:spacing w:after="0" w:line="240" w:lineRule="auto"/>
              <w:ind w:left="57"/>
              <w:rPr>
                <w:rFonts w:cstheme="minorHAnsi"/>
                <w:b/>
                <w:sz w:val="24"/>
                <w:szCs w:val="24"/>
              </w:rPr>
            </w:pPr>
            <w:r w:rsidRPr="00104901">
              <w:rPr>
                <w:rFonts w:cstheme="minorHAnsi"/>
                <w:b/>
                <w:sz w:val="24"/>
                <w:szCs w:val="24"/>
              </w:rPr>
              <w:t>English only</w:t>
            </w:r>
          </w:p>
        </w:tc>
      </w:tr>
      <w:bookmarkEnd w:id="6"/>
      <w:tr w:rsidR="00104901" w:rsidRPr="00104901" w14:paraId="29955D82" w14:textId="77777777" w:rsidTr="0039618B">
        <w:trPr>
          <w:cantSplit/>
          <w:trHeight w:val="80"/>
        </w:trPr>
        <w:tc>
          <w:tcPr>
            <w:tcW w:w="10314" w:type="dxa"/>
            <w:gridSpan w:val="2"/>
          </w:tcPr>
          <w:p w14:paraId="2C3FE087" w14:textId="69E19694" w:rsidR="00104901" w:rsidRPr="00104901" w:rsidRDefault="00104901" w:rsidP="00104901">
            <w:pPr>
              <w:spacing w:before="720" w:after="120" w:line="240" w:lineRule="auto"/>
              <w:jc w:val="center"/>
              <w:rPr>
                <w:b/>
                <w:sz w:val="28"/>
                <w:szCs w:val="28"/>
              </w:rPr>
            </w:pPr>
            <w:r w:rsidRPr="00104901">
              <w:rPr>
                <w:b/>
                <w:sz w:val="28"/>
                <w:szCs w:val="28"/>
              </w:rPr>
              <w:t>Contribution by the Russian Federation</w:t>
            </w:r>
          </w:p>
        </w:tc>
      </w:tr>
      <w:tr w:rsidR="00104901" w:rsidRPr="00104901" w14:paraId="0C451E70" w14:textId="77777777" w:rsidTr="0039618B">
        <w:trPr>
          <w:cantSplit/>
          <w:trHeight w:val="80"/>
        </w:trPr>
        <w:tc>
          <w:tcPr>
            <w:tcW w:w="10314" w:type="dxa"/>
            <w:gridSpan w:val="2"/>
          </w:tcPr>
          <w:p w14:paraId="6230FC1F" w14:textId="3C14790F" w:rsidR="00104901" w:rsidRPr="00104901" w:rsidRDefault="00104901" w:rsidP="00104901">
            <w:pPr>
              <w:spacing w:before="240" w:after="120" w:line="240" w:lineRule="auto"/>
              <w:jc w:val="center"/>
              <w:rPr>
                <w:caps/>
                <w:sz w:val="28"/>
                <w:szCs w:val="28"/>
              </w:rPr>
            </w:pPr>
            <w:r w:rsidRPr="00104901">
              <w:rPr>
                <w:caps/>
                <w:sz w:val="28"/>
                <w:szCs w:val="28"/>
              </w:rPr>
              <w:t>PROPOSALS ON THE TOPIC FOR NEXT OPEN CONSULTATIONS</w:t>
            </w:r>
          </w:p>
        </w:tc>
      </w:tr>
      <w:tr w:rsidR="00104901" w:rsidRPr="00104901" w14:paraId="5E992E14" w14:textId="77777777" w:rsidTr="0039618B">
        <w:trPr>
          <w:cantSplit/>
          <w:trHeight w:val="80"/>
        </w:trPr>
        <w:tc>
          <w:tcPr>
            <w:tcW w:w="10314" w:type="dxa"/>
            <w:gridSpan w:val="2"/>
          </w:tcPr>
          <w:p w14:paraId="52AD54C0" w14:textId="77777777" w:rsidR="00104901" w:rsidRPr="00104901" w:rsidRDefault="00104901" w:rsidP="00104901">
            <w:pPr>
              <w:spacing w:before="240" w:after="120" w:line="240" w:lineRule="auto"/>
              <w:jc w:val="center"/>
              <w:rPr>
                <w:b/>
                <w:bCs/>
                <w:caps/>
                <w:sz w:val="28"/>
                <w:szCs w:val="28"/>
              </w:rPr>
            </w:pPr>
          </w:p>
        </w:tc>
      </w:tr>
    </w:tbl>
    <w:bookmarkEnd w:id="1"/>
    <w:p w14:paraId="1700E370" w14:textId="5CE1BBA0" w:rsidR="001D5F13" w:rsidRPr="001D5F13" w:rsidRDefault="001D5F13" w:rsidP="001D5F13">
      <w:pPr>
        <w:tabs>
          <w:tab w:val="left" w:pos="720"/>
          <w:tab w:val="left" w:pos="794"/>
          <w:tab w:val="left" w:pos="1191"/>
          <w:tab w:val="left" w:pos="1588"/>
          <w:tab w:val="left" w:pos="1985"/>
        </w:tabs>
        <w:autoSpaceDN w:val="0"/>
        <w:spacing w:before="120" w:after="120" w:line="240" w:lineRule="auto"/>
        <w:ind w:firstLine="709"/>
        <w:jc w:val="both"/>
        <w:rPr>
          <w:rFonts w:ascii="Calibri" w:eastAsia="Calibri" w:hAnsi="Calibri" w:cs="Calibri"/>
          <w:color w:val="333333"/>
          <w:sz w:val="24"/>
          <w:szCs w:val="24"/>
          <w:shd w:val="clear" w:color="auto" w:fill="FFFFFF"/>
          <w:lang w:val="en-US" w:eastAsia="en-US"/>
        </w:rPr>
      </w:pPr>
      <w:r w:rsidRPr="001D5F13">
        <w:rPr>
          <w:rFonts w:ascii="Calibri" w:eastAsia="Calibri" w:hAnsi="Calibri" w:cs="Calibri"/>
          <w:color w:val="333333"/>
          <w:sz w:val="24"/>
          <w:szCs w:val="24"/>
          <w:shd w:val="clear" w:color="auto" w:fill="FFFFFF"/>
          <w:lang w:val="en-US" w:eastAsia="en-US"/>
        </w:rPr>
        <w:t xml:space="preserve">The Russian Federation has been consistently proposing for discussion during CWG-Internet meetings critical issues related to challenges in the system of international Internet governance. These proposals </w:t>
      </w:r>
      <w:r>
        <w:rPr>
          <w:rFonts w:ascii="Calibri" w:eastAsia="Calibri" w:hAnsi="Calibri" w:cs="Calibri"/>
          <w:color w:val="333333"/>
          <w:sz w:val="24"/>
          <w:szCs w:val="24"/>
          <w:shd w:val="clear" w:color="auto" w:fill="FFFFFF"/>
          <w:lang w:val="en-US" w:eastAsia="en-US"/>
        </w:rPr>
        <w:t xml:space="preserve">are </w:t>
      </w:r>
      <w:r w:rsidRPr="001D5F13">
        <w:rPr>
          <w:rFonts w:ascii="Calibri" w:eastAsia="Calibri" w:hAnsi="Calibri" w:cs="Calibri"/>
          <w:color w:val="333333"/>
          <w:sz w:val="24"/>
          <w:szCs w:val="24"/>
          <w:shd w:val="clear" w:color="auto" w:fill="FFFFFF"/>
          <w:lang w:val="en-US" w:eastAsia="en-US"/>
        </w:rPr>
        <w:t xml:space="preserve">especially significant in the context of the growing fragmentation of the network. </w:t>
      </w:r>
      <w:proofErr w:type="gramStart"/>
      <w:r w:rsidRPr="001D5F13">
        <w:rPr>
          <w:rFonts w:ascii="Calibri" w:eastAsia="Calibri" w:hAnsi="Calibri" w:cs="Calibri"/>
          <w:color w:val="333333"/>
          <w:sz w:val="24"/>
          <w:szCs w:val="24"/>
          <w:shd w:val="clear" w:color="auto" w:fill="FFFFFF"/>
          <w:lang w:val="en-US" w:eastAsia="en-US"/>
        </w:rPr>
        <w:t>Taking into account</w:t>
      </w:r>
      <w:proofErr w:type="gramEnd"/>
      <w:r w:rsidRPr="001D5F13">
        <w:rPr>
          <w:rFonts w:ascii="Calibri" w:eastAsia="Calibri" w:hAnsi="Calibri" w:cs="Calibri"/>
          <w:color w:val="333333"/>
          <w:sz w:val="24"/>
          <w:szCs w:val="24"/>
          <w:shd w:val="clear" w:color="auto" w:fill="FFFFFF"/>
          <w:lang w:val="en-US" w:eastAsia="en-US"/>
        </w:rPr>
        <w:t xml:space="preserve"> the importance of inputs from representatives of all interested parties and open inclusive dialog, the Russian Federation proposes to hold each open consultations related to the main discussion between Members States at the CWG-Internet session.</w:t>
      </w:r>
    </w:p>
    <w:p w14:paraId="1822012D" w14:textId="40BBCAD6" w:rsidR="001D5F13" w:rsidRPr="001D5F13" w:rsidRDefault="001D5F13" w:rsidP="001D5F13">
      <w:pPr>
        <w:tabs>
          <w:tab w:val="left" w:pos="720"/>
          <w:tab w:val="left" w:pos="794"/>
          <w:tab w:val="left" w:pos="1191"/>
          <w:tab w:val="left" w:pos="1588"/>
          <w:tab w:val="left" w:pos="1985"/>
        </w:tabs>
        <w:autoSpaceDN w:val="0"/>
        <w:spacing w:before="120" w:after="120" w:line="240" w:lineRule="auto"/>
        <w:ind w:firstLine="709"/>
        <w:jc w:val="both"/>
        <w:rPr>
          <w:rFonts w:ascii="Calibri" w:eastAsia="Calibri" w:hAnsi="Calibri" w:cs="Calibri"/>
          <w:color w:val="333333"/>
          <w:sz w:val="24"/>
          <w:szCs w:val="24"/>
          <w:shd w:val="clear" w:color="auto" w:fill="FFFFFF"/>
          <w:lang w:val="en-US" w:eastAsia="en-US"/>
        </w:rPr>
      </w:pPr>
      <w:r w:rsidRPr="001D5F13">
        <w:rPr>
          <w:rFonts w:ascii="Calibri" w:eastAsia="Calibri" w:hAnsi="Calibri" w:cs="Calibri"/>
          <w:color w:val="333333"/>
          <w:sz w:val="24"/>
          <w:szCs w:val="24"/>
          <w:shd w:val="clear" w:color="auto" w:fill="FFFFFF"/>
          <w:lang w:val="en-US" w:eastAsia="en-US"/>
        </w:rPr>
        <w:t xml:space="preserve">In advance to </w:t>
      </w:r>
      <w:r>
        <w:rPr>
          <w:rFonts w:ascii="Calibri" w:eastAsia="Calibri" w:hAnsi="Calibri" w:cs="Calibri"/>
          <w:color w:val="333333"/>
          <w:sz w:val="24"/>
          <w:szCs w:val="24"/>
          <w:shd w:val="clear" w:color="auto" w:fill="FFFFFF"/>
          <w:lang w:val="en-US" w:eastAsia="en-US"/>
        </w:rPr>
        <w:t xml:space="preserve">the </w:t>
      </w:r>
      <w:r w:rsidRPr="001D5F13">
        <w:rPr>
          <w:rFonts w:ascii="Calibri" w:eastAsia="Calibri" w:hAnsi="Calibri" w:cs="Calibri"/>
          <w:color w:val="333333"/>
          <w:sz w:val="24"/>
          <w:szCs w:val="24"/>
          <w:shd w:val="clear" w:color="auto" w:fill="FFFFFF"/>
          <w:lang w:val="en-US" w:eastAsia="en-US"/>
        </w:rPr>
        <w:t>18</w:t>
      </w:r>
      <w:r w:rsidRPr="001D5F13">
        <w:rPr>
          <w:rFonts w:ascii="Calibri" w:eastAsia="Calibri" w:hAnsi="Calibri" w:cs="Calibri"/>
          <w:color w:val="333333"/>
          <w:sz w:val="24"/>
          <w:szCs w:val="24"/>
          <w:shd w:val="clear" w:color="auto" w:fill="FFFFFF"/>
          <w:vertAlign w:val="superscript"/>
          <w:lang w:val="en-US" w:eastAsia="en-US"/>
        </w:rPr>
        <w:t>th</w:t>
      </w:r>
      <w:r w:rsidRPr="001D5F13">
        <w:rPr>
          <w:rFonts w:ascii="Calibri" w:eastAsia="Calibri" w:hAnsi="Calibri" w:cs="Calibri"/>
          <w:color w:val="333333"/>
          <w:sz w:val="24"/>
          <w:szCs w:val="24"/>
          <w:shd w:val="clear" w:color="auto" w:fill="FFFFFF"/>
          <w:lang w:val="en-US" w:eastAsia="en-US"/>
        </w:rPr>
        <w:t xml:space="preserve"> </w:t>
      </w:r>
      <w:r w:rsidRPr="001D5F13">
        <w:rPr>
          <w:rFonts w:ascii="Calibri" w:eastAsia="Times New Roman" w:hAnsi="Calibri" w:cs="Times New Roman Bold"/>
          <w:bCs/>
          <w:sz w:val="24"/>
          <w:szCs w:val="24"/>
          <w:lang w:eastAsia="en-US"/>
        </w:rPr>
        <w:t>meeting of</w:t>
      </w:r>
      <w:r w:rsidRPr="001D5F13">
        <w:rPr>
          <w:rFonts w:ascii="Calibri" w:eastAsia="Calibri" w:hAnsi="Calibri" w:cs="Calibri"/>
          <w:color w:val="333333"/>
          <w:sz w:val="24"/>
          <w:szCs w:val="24"/>
          <w:shd w:val="clear" w:color="auto" w:fill="FFFFFF"/>
          <w:lang w:val="en-US" w:eastAsia="en-US"/>
        </w:rPr>
        <w:t xml:space="preserve"> CWG-Internet</w:t>
      </w:r>
      <w:r>
        <w:rPr>
          <w:rFonts w:ascii="Calibri" w:eastAsia="Calibri" w:hAnsi="Calibri" w:cs="Calibri"/>
          <w:color w:val="333333"/>
          <w:sz w:val="24"/>
          <w:szCs w:val="24"/>
          <w:shd w:val="clear" w:color="auto" w:fill="FFFFFF"/>
          <w:lang w:val="en-US" w:eastAsia="en-US"/>
        </w:rPr>
        <w:t>,</w:t>
      </w:r>
      <w:r w:rsidRPr="001D5F13">
        <w:rPr>
          <w:rFonts w:ascii="Calibri" w:eastAsia="Calibri" w:hAnsi="Calibri" w:cs="Calibri"/>
          <w:color w:val="333333"/>
          <w:sz w:val="24"/>
          <w:szCs w:val="24"/>
          <w:shd w:val="clear" w:color="auto" w:fill="FFFFFF"/>
          <w:lang w:val="en-US" w:eastAsia="en-US"/>
        </w:rPr>
        <w:t xml:space="preserve"> the Russian Federation proposes to hold next open consultations on the topic:</w:t>
      </w:r>
    </w:p>
    <w:p w14:paraId="6B93EBBE" w14:textId="77777777" w:rsidR="001D5F13" w:rsidRPr="001D5F13" w:rsidRDefault="001D5F13" w:rsidP="001D5F13">
      <w:pPr>
        <w:tabs>
          <w:tab w:val="left" w:pos="720"/>
          <w:tab w:val="left" w:pos="794"/>
          <w:tab w:val="left" w:pos="1191"/>
          <w:tab w:val="left" w:pos="1588"/>
          <w:tab w:val="left" w:pos="1985"/>
        </w:tabs>
        <w:autoSpaceDN w:val="0"/>
        <w:spacing w:before="120" w:after="120" w:line="240" w:lineRule="auto"/>
        <w:ind w:firstLine="709"/>
        <w:jc w:val="both"/>
        <w:rPr>
          <w:rFonts w:ascii="Calibri" w:eastAsia="Calibri" w:hAnsi="Calibri" w:cs="Calibri"/>
          <w:color w:val="333333"/>
          <w:sz w:val="24"/>
          <w:szCs w:val="24"/>
          <w:shd w:val="clear" w:color="auto" w:fill="FFFFFF"/>
          <w:lang w:val="en-US" w:eastAsia="en-US"/>
        </w:rPr>
      </w:pPr>
      <w:r w:rsidRPr="001D5F13">
        <w:rPr>
          <w:rFonts w:ascii="Calibri" w:eastAsia="Calibri" w:hAnsi="Calibri" w:cs="Calibri"/>
          <w:color w:val="333333"/>
          <w:sz w:val="24"/>
          <w:szCs w:val="24"/>
          <w:shd w:val="clear" w:color="auto" w:fill="FFFFFF"/>
          <w:lang w:val="en-US" w:eastAsia="en-US"/>
        </w:rPr>
        <w:t>"Reliability and stability of the operational activity organizations/operators of critical Internet infrastructure: key and challenges of their operating activities, in particular the risks of being in national jurisdictions."</w:t>
      </w:r>
    </w:p>
    <w:p w14:paraId="24C7D468" w14:textId="77777777" w:rsidR="001D5F13" w:rsidRPr="001D5F13" w:rsidRDefault="001D5F13" w:rsidP="001D5F13">
      <w:pPr>
        <w:tabs>
          <w:tab w:val="left" w:pos="720"/>
          <w:tab w:val="left" w:pos="794"/>
          <w:tab w:val="left" w:pos="1191"/>
          <w:tab w:val="left" w:pos="1588"/>
          <w:tab w:val="left" w:pos="1985"/>
        </w:tabs>
        <w:autoSpaceDN w:val="0"/>
        <w:spacing w:before="120" w:after="120" w:line="240" w:lineRule="auto"/>
        <w:ind w:firstLine="709"/>
        <w:jc w:val="both"/>
        <w:rPr>
          <w:rFonts w:ascii="Calibri" w:eastAsia="Calibri" w:hAnsi="Calibri" w:cs="Calibri"/>
          <w:color w:val="333333"/>
          <w:sz w:val="24"/>
          <w:szCs w:val="24"/>
          <w:shd w:val="clear" w:color="auto" w:fill="FFFFFF"/>
          <w:lang w:val="en-US" w:eastAsia="en-US"/>
        </w:rPr>
      </w:pPr>
      <w:r w:rsidRPr="001D5F13">
        <w:rPr>
          <w:rFonts w:ascii="Calibri" w:eastAsia="Calibri" w:hAnsi="Calibri" w:cs="Calibri"/>
          <w:color w:val="333333"/>
          <w:sz w:val="24"/>
          <w:szCs w:val="24"/>
          <w:shd w:val="clear" w:color="auto" w:fill="FFFFFF"/>
          <w:lang w:val="en-US" w:eastAsia="en-US"/>
        </w:rPr>
        <w:t>To discuss the following issues:</w:t>
      </w:r>
    </w:p>
    <w:p w14:paraId="212C6157" w14:textId="77777777" w:rsidR="001D5F13" w:rsidRPr="001D5F13" w:rsidRDefault="001D5F13" w:rsidP="001D5F13">
      <w:pPr>
        <w:tabs>
          <w:tab w:val="left" w:pos="720"/>
          <w:tab w:val="left" w:pos="794"/>
          <w:tab w:val="left" w:pos="1191"/>
          <w:tab w:val="left" w:pos="1588"/>
          <w:tab w:val="left" w:pos="1985"/>
        </w:tabs>
        <w:autoSpaceDN w:val="0"/>
        <w:spacing w:before="120" w:after="120" w:line="240" w:lineRule="auto"/>
        <w:ind w:firstLine="709"/>
        <w:jc w:val="both"/>
        <w:rPr>
          <w:rFonts w:ascii="Calibri" w:eastAsia="Calibri" w:hAnsi="Calibri" w:cs="Calibri"/>
          <w:color w:val="333333"/>
          <w:sz w:val="24"/>
          <w:szCs w:val="24"/>
          <w:shd w:val="clear" w:color="auto" w:fill="FFFFFF"/>
          <w:lang w:val="en-US" w:eastAsia="en-US"/>
        </w:rPr>
      </w:pPr>
      <w:r w:rsidRPr="001D5F13">
        <w:rPr>
          <w:rFonts w:ascii="Calibri" w:eastAsia="Calibri" w:hAnsi="Calibri" w:cs="Calibri"/>
          <w:color w:val="333333"/>
          <w:sz w:val="24"/>
          <w:szCs w:val="24"/>
          <w:shd w:val="clear" w:color="auto" w:fill="FFFFFF"/>
          <w:lang w:val="en-US" w:eastAsia="en-US"/>
        </w:rPr>
        <w:t>• What risks for the reliability and stability of operational activity organizations/operators of critical infrastructure according with existing model do you see?</w:t>
      </w:r>
    </w:p>
    <w:p w14:paraId="3E9F0BFD" w14:textId="77777777" w:rsidR="001D5F13" w:rsidRPr="001D5F13" w:rsidRDefault="001D5F13" w:rsidP="001D5F13">
      <w:pPr>
        <w:tabs>
          <w:tab w:val="left" w:pos="720"/>
          <w:tab w:val="left" w:pos="794"/>
          <w:tab w:val="left" w:pos="1191"/>
          <w:tab w:val="left" w:pos="1588"/>
          <w:tab w:val="left" w:pos="1985"/>
        </w:tabs>
        <w:autoSpaceDN w:val="0"/>
        <w:spacing w:before="120" w:after="120" w:line="240" w:lineRule="auto"/>
        <w:ind w:firstLine="709"/>
        <w:jc w:val="both"/>
        <w:rPr>
          <w:rFonts w:ascii="Calibri" w:eastAsia="Calibri" w:hAnsi="Calibri" w:cs="Calibri"/>
          <w:color w:val="333333"/>
          <w:sz w:val="24"/>
          <w:szCs w:val="24"/>
          <w:shd w:val="clear" w:color="auto" w:fill="FFFFFF"/>
          <w:lang w:val="en-US" w:eastAsia="en-US"/>
        </w:rPr>
      </w:pPr>
      <w:r w:rsidRPr="001D5F13">
        <w:rPr>
          <w:rFonts w:ascii="Calibri" w:eastAsia="Calibri" w:hAnsi="Calibri" w:cs="Calibri"/>
          <w:color w:val="333333"/>
          <w:sz w:val="24"/>
          <w:szCs w:val="24"/>
          <w:shd w:val="clear" w:color="auto" w:fill="FFFFFF"/>
          <w:lang w:val="en-US" w:eastAsia="en-US"/>
        </w:rPr>
        <w:t>• What ways and tools can be used to mitigate these risks and neutralize threats for the operational activity organizations/operators of critical infrastructure?</w:t>
      </w:r>
    </w:p>
    <w:p w14:paraId="769BCA64" w14:textId="77777777" w:rsidR="001D5F13" w:rsidRPr="001D5F13" w:rsidRDefault="001D5F13" w:rsidP="001D5F13">
      <w:pPr>
        <w:tabs>
          <w:tab w:val="left" w:pos="720"/>
          <w:tab w:val="left" w:pos="794"/>
          <w:tab w:val="left" w:pos="1191"/>
          <w:tab w:val="left" w:pos="1588"/>
          <w:tab w:val="left" w:pos="1985"/>
        </w:tabs>
        <w:autoSpaceDN w:val="0"/>
        <w:spacing w:before="120" w:after="120" w:line="240" w:lineRule="auto"/>
        <w:ind w:firstLine="709"/>
        <w:jc w:val="both"/>
        <w:rPr>
          <w:rFonts w:ascii="Calibri" w:eastAsia="Calibri" w:hAnsi="Calibri" w:cs="Calibri"/>
          <w:color w:val="333333"/>
          <w:sz w:val="24"/>
          <w:szCs w:val="24"/>
          <w:shd w:val="clear" w:color="auto" w:fill="FFFFFF"/>
          <w:lang w:val="en-US" w:eastAsia="en-US"/>
        </w:rPr>
      </w:pPr>
      <w:r w:rsidRPr="001D5F13">
        <w:rPr>
          <w:rFonts w:ascii="Calibri" w:eastAsia="Calibri" w:hAnsi="Calibri" w:cs="Calibri"/>
          <w:color w:val="333333"/>
          <w:sz w:val="24"/>
          <w:szCs w:val="24"/>
          <w:shd w:val="clear" w:color="auto" w:fill="FFFFFF"/>
          <w:lang w:val="en-US" w:eastAsia="en-US"/>
        </w:rPr>
        <w:t>• Within what international frameworks can practical solutions be developed to overcome the existing challenges and risks for the operational activity organizations/operators of critical infrastructure?</w:t>
      </w:r>
    </w:p>
    <w:p w14:paraId="6B70614B" w14:textId="6B61F8BC" w:rsidR="00857FF1" w:rsidRDefault="001D5F13" w:rsidP="00104901">
      <w:pPr>
        <w:spacing w:before="120" w:after="120" w:line="240" w:lineRule="auto"/>
        <w:ind w:firstLine="709"/>
        <w:rPr>
          <w:rFonts w:ascii="Calibri" w:eastAsia="Calibri" w:hAnsi="Calibri" w:cs="Calibri"/>
          <w:color w:val="333333"/>
          <w:sz w:val="24"/>
          <w:szCs w:val="24"/>
          <w:shd w:val="clear" w:color="auto" w:fill="FFFFFF"/>
          <w:lang w:val="en-US" w:eastAsia="en-US"/>
        </w:rPr>
      </w:pPr>
      <w:r w:rsidRPr="001D5F13">
        <w:rPr>
          <w:rFonts w:ascii="Calibri" w:eastAsia="Calibri" w:hAnsi="Calibri" w:cs="Calibri"/>
          <w:color w:val="333333"/>
          <w:sz w:val="24"/>
          <w:szCs w:val="24"/>
          <w:shd w:val="clear" w:color="auto" w:fill="FFFFFF"/>
          <w:lang w:val="en-US" w:eastAsia="en-US"/>
        </w:rPr>
        <w:t>• What tools and procedures should be developed/used to overcome the existing challenges and risks for the operational activity organizations/operators of critical infrastructure?</w:t>
      </w:r>
    </w:p>
    <w:p w14:paraId="28902E9F" w14:textId="28EE5EE0" w:rsidR="00104901" w:rsidRPr="00FF54E3" w:rsidRDefault="00104901" w:rsidP="00104901">
      <w:pPr>
        <w:spacing w:before="840" w:after="0" w:line="240" w:lineRule="auto"/>
        <w:ind w:firstLine="709"/>
        <w:jc w:val="center"/>
        <w:rPr>
          <w:rFonts w:cstheme="majorBidi"/>
          <w:sz w:val="24"/>
          <w:szCs w:val="24"/>
        </w:rPr>
      </w:pPr>
      <w:r>
        <w:rPr>
          <w:rFonts w:ascii="Calibri" w:eastAsia="Calibri" w:hAnsi="Calibri" w:cs="Calibri"/>
          <w:color w:val="333333"/>
          <w:sz w:val="24"/>
          <w:szCs w:val="24"/>
          <w:shd w:val="clear" w:color="auto" w:fill="FFFFFF"/>
          <w:lang w:val="en-US" w:eastAsia="en-US"/>
        </w:rPr>
        <w:t>_________________</w:t>
      </w:r>
    </w:p>
    <w:sectPr w:rsidR="00104901" w:rsidRPr="00FF54E3" w:rsidSect="00857FF1">
      <w:headerReference w:type="default" r:id="rId13"/>
      <w:footerReference w:type="first" r:id="rId14"/>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2DC4D0E0"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F637E9">
      <w:rPr>
        <w:noProof/>
      </w:rPr>
      <w:t>LANG-12</w:t>
    </w:r>
    <w:r w:rsidR="00857FF1">
      <w:rPr>
        <w:noProof/>
      </w:rPr>
      <w:t>/x-E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4901"/>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87557"/>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5F13"/>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46F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404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4AF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067EA"/>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053"/>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1174"/>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1D34"/>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7E9"/>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AFB"/>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844A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4AFB"/>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104901"/>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831062519">
      <w:bodyDiv w:val="1"/>
      <w:marLeft w:val="0"/>
      <w:marRight w:val="0"/>
      <w:marTop w:val="0"/>
      <w:marBottom w:val="0"/>
      <w:divBdr>
        <w:top w:val="none" w:sz="0" w:space="0" w:color="auto"/>
        <w:left w:val="none" w:sz="0" w:space="0" w:color="auto"/>
        <w:bottom w:val="none" w:sz="0" w:space="0" w:color="auto"/>
        <w:right w:val="none" w:sz="0" w:space="0" w:color="auto"/>
      </w:divBdr>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BB7ADF-EB5F-4537-943F-279F722AEB45}">
  <ds:schemaRefs>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5.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1699</Characters>
  <Application>Microsoft Office Word</Application>
  <DocSecurity>0</DocSecurity>
  <Lines>14</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ITU Normal.dot</vt:lpstr>
    </vt:vector>
  </TitlesOfParts>
  <Company>International Telecommunication Union (ITU)</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Proposals on the topic for next open consultations</dc:title>
  <dc:subject>Council Working Group on International Internet-related Public Policy Issues</dc:subject>
  <dc:creator>Brouard, Ricarda</dc:creator>
  <cp:keywords>CWG-Internet</cp:keywords>
  <cp:lastModifiedBy>Xue, Kun</cp:lastModifiedBy>
  <cp:revision>3</cp:revision>
  <cp:lastPrinted>2021-08-23T14:13:00Z</cp:lastPrinted>
  <dcterms:created xsi:type="dcterms:W3CDTF">2022-01-07T14:20:00Z</dcterms:created>
  <dcterms:modified xsi:type="dcterms:W3CDTF">2022-01-07T14:20:00Z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