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255FA1" w:rsidRPr="0002785D" w14:paraId="53E2F3C9" w14:textId="77777777" w:rsidTr="00B64373">
        <w:trPr>
          <w:cantSplit/>
          <w:jc w:val="center"/>
        </w:trPr>
        <w:tc>
          <w:tcPr>
            <w:tcW w:w="6911" w:type="dxa"/>
          </w:tcPr>
          <w:p w14:paraId="1A0FEE8F" w14:textId="27F7A80E" w:rsidR="00255FA1" w:rsidRPr="0032644F" w:rsidRDefault="00255FA1" w:rsidP="00B64373">
            <w:pPr>
              <w:rPr>
                <w:b/>
                <w:bCs/>
                <w:szCs w:val="22"/>
              </w:rPr>
            </w:pPr>
            <w:bookmarkStart w:id="0" w:name="dbreak"/>
            <w:bookmarkStart w:id="1" w:name="dpp"/>
            <w:bookmarkEnd w:id="0"/>
            <w:bookmarkEnd w:id="1"/>
            <w:r w:rsidRPr="007F6EBC">
              <w:rPr>
                <w:rStyle w:val="PageNumber"/>
                <w:rFonts w:cs="Times"/>
                <w:b/>
                <w:sz w:val="30"/>
                <w:szCs w:val="30"/>
              </w:rPr>
              <w:t>Conferencia de Plenipotenciarios (PP-</w:t>
            </w:r>
            <w:r w:rsidR="009D1BE0">
              <w:rPr>
                <w:rStyle w:val="PageNumber"/>
                <w:rFonts w:cs="Times"/>
                <w:b/>
                <w:sz w:val="30"/>
                <w:szCs w:val="30"/>
              </w:rPr>
              <w:t>22</w:t>
            </w:r>
            <w:r w:rsidRPr="007F6EBC">
              <w:rPr>
                <w:rStyle w:val="PageNumber"/>
                <w:rFonts w:cs="Times"/>
                <w:b/>
                <w:sz w:val="30"/>
                <w:szCs w:val="30"/>
              </w:rPr>
              <w:t>)</w:t>
            </w:r>
            <w:r w:rsidRPr="007F6EBC">
              <w:rPr>
                <w:rStyle w:val="PageNumber"/>
                <w:rFonts w:cs="Times"/>
                <w:sz w:val="26"/>
                <w:szCs w:val="26"/>
              </w:rPr>
              <w:br/>
            </w:r>
            <w:r w:rsidR="009D1BE0" w:rsidRPr="00B012B7">
              <w:rPr>
                <w:b/>
                <w:bCs/>
                <w:szCs w:val="24"/>
              </w:rPr>
              <w:t>Bucarest</w:t>
            </w:r>
            <w:r w:rsidRPr="00B012B7">
              <w:rPr>
                <w:rStyle w:val="PageNumber"/>
                <w:b/>
                <w:bCs/>
                <w:szCs w:val="24"/>
              </w:rPr>
              <w:t>,</w:t>
            </w:r>
            <w:r w:rsidRPr="007F6EBC">
              <w:rPr>
                <w:rStyle w:val="PageNumber"/>
                <w:b/>
                <w:bCs/>
                <w:szCs w:val="24"/>
              </w:rPr>
              <w:t xml:space="preserve"> </w:t>
            </w:r>
            <w:r w:rsidRPr="004B07DB">
              <w:rPr>
                <w:rStyle w:val="PageNumber"/>
                <w:b/>
                <w:szCs w:val="24"/>
              </w:rPr>
              <w:t>2</w:t>
            </w:r>
            <w:r w:rsidR="009D1BE0">
              <w:rPr>
                <w:rStyle w:val="PageNumber"/>
                <w:b/>
                <w:szCs w:val="24"/>
              </w:rPr>
              <w:t>6</w:t>
            </w:r>
            <w:r w:rsidRPr="004B07DB">
              <w:rPr>
                <w:rStyle w:val="PageNumber"/>
                <w:b/>
                <w:szCs w:val="24"/>
              </w:rPr>
              <w:t xml:space="preserve"> de </w:t>
            </w:r>
            <w:r w:rsidR="009D1BE0">
              <w:rPr>
                <w:rStyle w:val="PageNumber"/>
                <w:b/>
                <w:szCs w:val="24"/>
              </w:rPr>
              <w:t>septiembre</w:t>
            </w:r>
            <w:r w:rsidRPr="004B07DB">
              <w:rPr>
                <w:rStyle w:val="PageNumber"/>
                <w:b/>
                <w:szCs w:val="24"/>
              </w:rPr>
              <w:t xml:space="preserve"> </w:t>
            </w:r>
            <w:r w:rsidR="00491A25">
              <w:rPr>
                <w:rStyle w:val="PageNumber"/>
                <w:b/>
                <w:szCs w:val="24"/>
              </w:rPr>
              <w:t>–</w:t>
            </w:r>
            <w:r w:rsidRPr="004B07DB">
              <w:rPr>
                <w:rStyle w:val="PageNumber"/>
                <w:b/>
                <w:szCs w:val="24"/>
              </w:rPr>
              <w:t xml:space="preserve"> </w:t>
            </w:r>
            <w:r w:rsidR="00C43474">
              <w:rPr>
                <w:rStyle w:val="PageNumber"/>
                <w:b/>
                <w:szCs w:val="24"/>
              </w:rPr>
              <w:t>1</w:t>
            </w:r>
            <w:r w:rsidR="009D1BE0">
              <w:rPr>
                <w:rStyle w:val="PageNumber"/>
                <w:b/>
                <w:szCs w:val="24"/>
              </w:rPr>
              <w:t>4</w:t>
            </w:r>
            <w:r w:rsidRPr="004B07DB">
              <w:rPr>
                <w:rStyle w:val="PageNumber"/>
                <w:b/>
                <w:szCs w:val="24"/>
              </w:rPr>
              <w:t xml:space="preserve"> de </w:t>
            </w:r>
            <w:r w:rsidR="009D1BE0">
              <w:rPr>
                <w:rStyle w:val="PageNumber"/>
                <w:b/>
                <w:szCs w:val="24"/>
              </w:rPr>
              <w:t>octubre</w:t>
            </w:r>
            <w:r w:rsidRPr="004B07DB">
              <w:rPr>
                <w:rStyle w:val="PageNumber"/>
                <w:b/>
                <w:szCs w:val="24"/>
              </w:rPr>
              <w:t xml:space="preserve"> de 2</w:t>
            </w:r>
            <w:r w:rsidR="009D1BE0">
              <w:rPr>
                <w:rStyle w:val="PageNumber"/>
                <w:b/>
                <w:szCs w:val="24"/>
              </w:rPr>
              <w:t>022</w:t>
            </w:r>
          </w:p>
        </w:tc>
        <w:tc>
          <w:tcPr>
            <w:tcW w:w="3120" w:type="dxa"/>
          </w:tcPr>
          <w:p w14:paraId="703F9FD0" w14:textId="5BFAFB55" w:rsidR="00255FA1" w:rsidRPr="004C22ED" w:rsidRDefault="009D1BE0" w:rsidP="00B64373">
            <w:pPr>
              <w:spacing w:before="0" w:line="240" w:lineRule="atLeast"/>
              <w:rPr>
                <w:rFonts w:cstheme="minorHAnsi"/>
                <w:lang w:val="en-US"/>
              </w:rPr>
            </w:pPr>
            <w:bookmarkStart w:id="2" w:name="ditulogo"/>
            <w:bookmarkEnd w:id="2"/>
            <w:r>
              <w:rPr>
                <w:noProof/>
                <w:lang w:eastAsia="zh-CN"/>
              </w:rPr>
              <w:drawing>
                <wp:inline distT="0" distB="0" distL="0" distR="0" wp14:anchorId="4688C472" wp14:editId="07E517B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930E84" w14:paraId="7936D6CB" w14:textId="77777777" w:rsidTr="00B64373">
        <w:trPr>
          <w:cantSplit/>
          <w:jc w:val="center"/>
        </w:trPr>
        <w:tc>
          <w:tcPr>
            <w:tcW w:w="6911" w:type="dxa"/>
            <w:tcBorders>
              <w:bottom w:val="single" w:sz="12" w:space="0" w:color="auto"/>
            </w:tcBorders>
          </w:tcPr>
          <w:p w14:paraId="44AF3E5C" w14:textId="77777777" w:rsidR="00255FA1" w:rsidRPr="004C22ED" w:rsidRDefault="00255FA1" w:rsidP="00B64373">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11F82F2F" w14:textId="77777777" w:rsidR="00255FA1" w:rsidRPr="00930E84" w:rsidRDefault="00255FA1" w:rsidP="00B64373">
            <w:pPr>
              <w:spacing w:before="0" w:after="48" w:line="240" w:lineRule="atLeast"/>
              <w:rPr>
                <w:rFonts w:cstheme="minorHAnsi"/>
                <w:b/>
                <w:smallCaps/>
                <w:szCs w:val="24"/>
                <w:lang w:val="en-US"/>
              </w:rPr>
            </w:pPr>
          </w:p>
        </w:tc>
      </w:tr>
      <w:tr w:rsidR="00255FA1" w:rsidRPr="0002785D" w14:paraId="420A698C" w14:textId="77777777" w:rsidTr="00B64373">
        <w:trPr>
          <w:cantSplit/>
          <w:jc w:val="center"/>
        </w:trPr>
        <w:tc>
          <w:tcPr>
            <w:tcW w:w="6911" w:type="dxa"/>
            <w:tcBorders>
              <w:top w:val="single" w:sz="12" w:space="0" w:color="auto"/>
            </w:tcBorders>
          </w:tcPr>
          <w:p w14:paraId="47DB16D7" w14:textId="77777777" w:rsidR="00255FA1" w:rsidRPr="004C22ED" w:rsidRDefault="00255FA1" w:rsidP="00B64373">
            <w:pPr>
              <w:spacing w:before="0"/>
              <w:ind w:firstLine="720"/>
              <w:rPr>
                <w:rFonts w:cstheme="minorHAnsi"/>
                <w:b/>
                <w:smallCaps/>
                <w:szCs w:val="24"/>
                <w:lang w:val="en-US"/>
              </w:rPr>
            </w:pPr>
          </w:p>
        </w:tc>
        <w:tc>
          <w:tcPr>
            <w:tcW w:w="3120" w:type="dxa"/>
            <w:tcBorders>
              <w:top w:val="single" w:sz="12" w:space="0" w:color="auto"/>
            </w:tcBorders>
          </w:tcPr>
          <w:p w14:paraId="3B0821EE" w14:textId="77777777" w:rsidR="00255FA1" w:rsidRPr="004C22ED" w:rsidRDefault="00255FA1" w:rsidP="00B64373">
            <w:pPr>
              <w:spacing w:before="0"/>
              <w:rPr>
                <w:rFonts w:cstheme="minorHAnsi"/>
                <w:szCs w:val="24"/>
                <w:lang w:val="en-US"/>
              </w:rPr>
            </w:pPr>
          </w:p>
        </w:tc>
      </w:tr>
      <w:tr w:rsidR="00255FA1" w:rsidRPr="0002785D" w14:paraId="6E5D99D3" w14:textId="77777777" w:rsidTr="00B64373">
        <w:trPr>
          <w:cantSplit/>
          <w:jc w:val="center"/>
        </w:trPr>
        <w:tc>
          <w:tcPr>
            <w:tcW w:w="6911" w:type="dxa"/>
          </w:tcPr>
          <w:p w14:paraId="248001A5" w14:textId="6D21E375" w:rsidR="00255FA1" w:rsidRPr="004C22ED" w:rsidRDefault="009A443B" w:rsidP="00B64373">
            <w:pPr>
              <w:pStyle w:val="Committee"/>
              <w:framePr w:hSpace="0" w:wrap="auto" w:hAnchor="text" w:yAlign="inline"/>
              <w:spacing w:after="0" w:line="240" w:lineRule="auto"/>
            </w:pPr>
            <w:r>
              <w:t>SESIÓN PLENARIA</w:t>
            </w:r>
          </w:p>
        </w:tc>
        <w:tc>
          <w:tcPr>
            <w:tcW w:w="3120" w:type="dxa"/>
          </w:tcPr>
          <w:p w14:paraId="5DCBCBFD" w14:textId="4C306843" w:rsidR="00255FA1" w:rsidRPr="00C45FC5" w:rsidRDefault="009A443B" w:rsidP="00B64373">
            <w:pPr>
              <w:spacing w:before="0"/>
              <w:rPr>
                <w:rFonts w:cstheme="minorHAnsi"/>
                <w:szCs w:val="24"/>
                <w:lang w:val="es-ES"/>
              </w:rPr>
            </w:pPr>
            <w:r w:rsidRPr="00C45FC5">
              <w:rPr>
                <w:rFonts w:cstheme="minorHAnsi"/>
                <w:b/>
                <w:szCs w:val="24"/>
                <w:lang w:val="es-ES"/>
              </w:rPr>
              <w:t xml:space="preserve">Documento </w:t>
            </w:r>
            <w:r w:rsidR="005556C3" w:rsidRPr="00C45FC5">
              <w:rPr>
                <w:rFonts w:cstheme="minorHAnsi"/>
                <w:b/>
                <w:szCs w:val="24"/>
                <w:lang w:val="es-ES"/>
              </w:rPr>
              <w:t>209</w:t>
            </w:r>
            <w:r w:rsidRPr="00C45FC5">
              <w:rPr>
                <w:rFonts w:cstheme="minorHAnsi"/>
                <w:b/>
                <w:szCs w:val="24"/>
                <w:lang w:val="es-ES"/>
              </w:rPr>
              <w:t>-S</w:t>
            </w:r>
          </w:p>
        </w:tc>
      </w:tr>
      <w:tr w:rsidR="00255FA1" w:rsidRPr="0002785D" w14:paraId="483D078B" w14:textId="77777777" w:rsidTr="00B64373">
        <w:trPr>
          <w:cantSplit/>
          <w:jc w:val="center"/>
        </w:trPr>
        <w:tc>
          <w:tcPr>
            <w:tcW w:w="6911" w:type="dxa"/>
          </w:tcPr>
          <w:p w14:paraId="17E32998" w14:textId="03E0A90A" w:rsidR="00255FA1" w:rsidRPr="00BF5475" w:rsidRDefault="00255FA1" w:rsidP="00B64373">
            <w:pPr>
              <w:spacing w:before="0"/>
              <w:rPr>
                <w:rFonts w:cstheme="minorHAnsi"/>
                <w:b/>
                <w:szCs w:val="24"/>
                <w:lang w:val="en-US"/>
              </w:rPr>
            </w:pPr>
          </w:p>
        </w:tc>
        <w:tc>
          <w:tcPr>
            <w:tcW w:w="3120" w:type="dxa"/>
          </w:tcPr>
          <w:p w14:paraId="00BF5C1A" w14:textId="33F416CE" w:rsidR="00255FA1" w:rsidRPr="00C45FC5" w:rsidRDefault="005556C3" w:rsidP="00B64373">
            <w:pPr>
              <w:spacing w:before="0"/>
              <w:rPr>
                <w:rFonts w:cstheme="minorHAnsi"/>
                <w:b/>
                <w:szCs w:val="24"/>
                <w:lang w:val="es-ES"/>
              </w:rPr>
            </w:pPr>
            <w:r w:rsidRPr="00C45FC5">
              <w:rPr>
                <w:rStyle w:val="PageNumber"/>
                <w:b/>
                <w:szCs w:val="24"/>
                <w:lang w:val="es-ES"/>
              </w:rPr>
              <w:t>2 de noviembre de 2022</w:t>
            </w:r>
          </w:p>
        </w:tc>
      </w:tr>
      <w:tr w:rsidR="00255FA1" w:rsidRPr="0002785D" w14:paraId="7EE17784" w14:textId="77777777" w:rsidTr="00B64373">
        <w:trPr>
          <w:cantSplit/>
          <w:jc w:val="center"/>
        </w:trPr>
        <w:tc>
          <w:tcPr>
            <w:tcW w:w="6911" w:type="dxa"/>
          </w:tcPr>
          <w:p w14:paraId="68573EE1" w14:textId="77777777" w:rsidR="00255FA1" w:rsidRPr="004C22ED" w:rsidRDefault="00255FA1" w:rsidP="00B64373">
            <w:pPr>
              <w:spacing w:before="0"/>
              <w:rPr>
                <w:rFonts w:cstheme="minorHAnsi"/>
                <w:b/>
                <w:smallCaps/>
                <w:szCs w:val="24"/>
                <w:lang w:val="en-US"/>
              </w:rPr>
            </w:pPr>
          </w:p>
        </w:tc>
        <w:tc>
          <w:tcPr>
            <w:tcW w:w="3120" w:type="dxa"/>
          </w:tcPr>
          <w:p w14:paraId="76142BCE" w14:textId="3C72C0F4" w:rsidR="00255FA1" w:rsidRPr="00C45FC5" w:rsidRDefault="009A443B" w:rsidP="00B64373">
            <w:pPr>
              <w:spacing w:before="0"/>
              <w:rPr>
                <w:rFonts w:cstheme="minorHAnsi"/>
                <w:b/>
                <w:szCs w:val="24"/>
                <w:lang w:val="es-ES"/>
              </w:rPr>
            </w:pPr>
            <w:r w:rsidRPr="00C45FC5">
              <w:rPr>
                <w:rFonts w:cstheme="minorHAnsi"/>
                <w:b/>
                <w:szCs w:val="24"/>
                <w:lang w:val="es-ES"/>
              </w:rPr>
              <w:t>Original: inglés</w:t>
            </w:r>
          </w:p>
        </w:tc>
      </w:tr>
      <w:tr w:rsidR="00255FA1" w:rsidRPr="0002785D" w14:paraId="3075E850" w14:textId="77777777" w:rsidTr="00B64373">
        <w:trPr>
          <w:cantSplit/>
          <w:jc w:val="center"/>
        </w:trPr>
        <w:tc>
          <w:tcPr>
            <w:tcW w:w="10031" w:type="dxa"/>
            <w:gridSpan w:val="2"/>
          </w:tcPr>
          <w:p w14:paraId="2AB3028F" w14:textId="77777777" w:rsidR="00255FA1" w:rsidRPr="004C22ED" w:rsidRDefault="00255FA1" w:rsidP="00B64373">
            <w:pPr>
              <w:spacing w:before="0" w:line="240" w:lineRule="atLeast"/>
              <w:rPr>
                <w:rFonts w:cstheme="minorHAnsi"/>
                <w:b/>
                <w:szCs w:val="24"/>
                <w:lang w:val="en-US"/>
              </w:rPr>
            </w:pPr>
          </w:p>
        </w:tc>
      </w:tr>
      <w:tr w:rsidR="00255FA1" w:rsidRPr="0002785D" w14:paraId="53FF73A6" w14:textId="77777777" w:rsidTr="00B64373">
        <w:trPr>
          <w:cantSplit/>
          <w:jc w:val="center"/>
        </w:trPr>
        <w:tc>
          <w:tcPr>
            <w:tcW w:w="10031" w:type="dxa"/>
            <w:gridSpan w:val="2"/>
          </w:tcPr>
          <w:p w14:paraId="594844FD" w14:textId="51FC22D7" w:rsidR="00C45FC5" w:rsidRDefault="00C45FC5" w:rsidP="00C45FC5">
            <w:pPr>
              <w:pStyle w:val="Title1"/>
              <w:rPr>
                <w:lang w:val="es-ES"/>
              </w:rPr>
            </w:pPr>
            <w:bookmarkStart w:id="4" w:name="dsource" w:colFirst="0" w:colLast="0"/>
            <w:bookmarkEnd w:id="3"/>
            <w:r w:rsidRPr="005556C3">
              <w:rPr>
                <w:lang w:val="es-ES"/>
              </w:rPr>
              <w:t>ACTA</w:t>
            </w:r>
            <w:r>
              <w:rPr>
                <w:lang w:val="es-ES"/>
              </w:rPr>
              <w:t>s</w:t>
            </w:r>
            <w:r w:rsidRPr="005556C3">
              <w:rPr>
                <w:lang w:val="es-ES"/>
              </w:rPr>
              <w:t xml:space="preserve"> </w:t>
            </w:r>
          </w:p>
          <w:p w14:paraId="38F60A76" w14:textId="77777777" w:rsidR="00C45FC5" w:rsidRDefault="00C45FC5" w:rsidP="00C45FC5">
            <w:pPr>
              <w:pStyle w:val="Title1"/>
              <w:rPr>
                <w:lang w:val="es-ES"/>
              </w:rPr>
            </w:pPr>
            <w:r w:rsidRPr="005556C3">
              <w:rPr>
                <w:lang w:val="es-ES"/>
              </w:rPr>
              <w:t xml:space="preserve">DE LA </w:t>
            </w:r>
          </w:p>
          <w:p w14:paraId="365E2007" w14:textId="448B8EE7" w:rsidR="00255FA1" w:rsidRPr="00C45FC5" w:rsidRDefault="00C45FC5" w:rsidP="00C45FC5">
            <w:pPr>
              <w:pStyle w:val="Title1"/>
              <w:rPr>
                <w:lang w:val="es-ES"/>
              </w:rPr>
            </w:pPr>
            <w:r w:rsidRPr="005556C3">
              <w:rPr>
                <w:lang w:val="es-ES"/>
              </w:rPr>
              <w:t>DECIMONOVENA Y ÚLTIMA SESIÓN PLENARIA</w:t>
            </w:r>
          </w:p>
        </w:tc>
      </w:tr>
      <w:tr w:rsidR="00255FA1" w:rsidRPr="0002785D" w14:paraId="6C060127" w14:textId="77777777" w:rsidTr="00B64373">
        <w:trPr>
          <w:cantSplit/>
          <w:jc w:val="center"/>
        </w:trPr>
        <w:tc>
          <w:tcPr>
            <w:tcW w:w="10031" w:type="dxa"/>
            <w:gridSpan w:val="2"/>
          </w:tcPr>
          <w:p w14:paraId="0A048F9C" w14:textId="364B1544" w:rsidR="00255FA1" w:rsidRPr="005556C3" w:rsidRDefault="00C45FC5" w:rsidP="00C45FC5">
            <w:pPr>
              <w:spacing w:before="240"/>
              <w:jc w:val="center"/>
              <w:rPr>
                <w:lang w:val="es-ES"/>
              </w:rPr>
            </w:pPr>
            <w:bookmarkStart w:id="5" w:name="dtitle1" w:colFirst="0" w:colLast="0"/>
            <w:bookmarkEnd w:id="4"/>
            <w:r w:rsidRPr="005556C3">
              <w:rPr>
                <w:lang w:val="es-ES"/>
              </w:rPr>
              <w:t>Viernes 14 de octubre de 2022, a las 15.05 horas</w:t>
            </w:r>
          </w:p>
        </w:tc>
      </w:tr>
      <w:tr w:rsidR="00255FA1" w:rsidRPr="0002785D" w14:paraId="3730209C" w14:textId="77777777" w:rsidTr="00B64373">
        <w:trPr>
          <w:cantSplit/>
          <w:jc w:val="center"/>
        </w:trPr>
        <w:tc>
          <w:tcPr>
            <w:tcW w:w="10031" w:type="dxa"/>
            <w:gridSpan w:val="2"/>
          </w:tcPr>
          <w:p w14:paraId="3D6718D3" w14:textId="54BD85C4" w:rsidR="00255FA1" w:rsidRPr="005556C3" w:rsidRDefault="00C45FC5" w:rsidP="00C45FC5">
            <w:pPr>
              <w:jc w:val="center"/>
              <w:rPr>
                <w:lang w:val="es-ES"/>
              </w:rPr>
            </w:pPr>
            <w:bookmarkStart w:id="6" w:name="dtitle2" w:colFirst="0" w:colLast="0"/>
            <w:bookmarkEnd w:id="5"/>
            <w:r w:rsidRPr="00C45FC5">
              <w:rPr>
                <w:b/>
                <w:bCs/>
              </w:rPr>
              <w:t>Presidente</w:t>
            </w:r>
            <w:r w:rsidRPr="005556C3">
              <w:t>: Sr. Sabin Sărmaș (Ruman</w:t>
            </w:r>
            <w:r>
              <w:t>i</w:t>
            </w:r>
            <w:r w:rsidRPr="005556C3">
              <w:t>a)</w:t>
            </w:r>
          </w:p>
        </w:tc>
      </w:tr>
      <w:bookmarkEnd w:id="6"/>
    </w:tbl>
    <w:p w14:paraId="670BBDF5" w14:textId="77777777" w:rsidR="005556C3" w:rsidRPr="005556C3" w:rsidRDefault="005556C3" w:rsidP="005556C3"/>
    <w:tbl>
      <w:tblPr>
        <w:tblW w:w="10030" w:type="dxa"/>
        <w:jc w:val="center"/>
        <w:tblLook w:val="0000" w:firstRow="0" w:lastRow="0" w:firstColumn="0" w:lastColumn="0" w:noHBand="0" w:noVBand="0"/>
      </w:tblPr>
      <w:tblGrid>
        <w:gridCol w:w="533"/>
        <w:gridCol w:w="7135"/>
        <w:gridCol w:w="2362"/>
      </w:tblGrid>
      <w:tr w:rsidR="005556C3" w:rsidRPr="005556C3" w14:paraId="41977EE7" w14:textId="77777777" w:rsidTr="005556C3">
        <w:trPr>
          <w:jc w:val="center"/>
        </w:trPr>
        <w:tc>
          <w:tcPr>
            <w:tcW w:w="534" w:type="dxa"/>
          </w:tcPr>
          <w:p w14:paraId="48834C5A" w14:textId="77777777" w:rsidR="005556C3" w:rsidRPr="005556C3" w:rsidRDefault="005556C3" w:rsidP="00C45FC5">
            <w:pPr>
              <w:rPr>
                <w:b/>
                <w:bCs/>
              </w:rPr>
            </w:pPr>
          </w:p>
        </w:tc>
        <w:tc>
          <w:tcPr>
            <w:tcW w:w="7164" w:type="dxa"/>
          </w:tcPr>
          <w:p w14:paraId="7014E532" w14:textId="77777777" w:rsidR="005556C3" w:rsidRPr="005556C3" w:rsidRDefault="005556C3" w:rsidP="00C45FC5">
            <w:pPr>
              <w:rPr>
                <w:b/>
                <w:bCs/>
              </w:rPr>
            </w:pPr>
            <w:r w:rsidRPr="005556C3">
              <w:rPr>
                <w:b/>
                <w:bCs/>
              </w:rPr>
              <w:t>Asuntos tratados</w:t>
            </w:r>
          </w:p>
        </w:tc>
        <w:tc>
          <w:tcPr>
            <w:tcW w:w="2367" w:type="dxa"/>
          </w:tcPr>
          <w:p w14:paraId="6CA99A75" w14:textId="77777777" w:rsidR="005556C3" w:rsidRPr="005556C3" w:rsidRDefault="005556C3" w:rsidP="00C45FC5">
            <w:pPr>
              <w:jc w:val="center"/>
              <w:rPr>
                <w:b/>
                <w:bCs/>
              </w:rPr>
            </w:pPr>
            <w:r w:rsidRPr="005556C3">
              <w:rPr>
                <w:b/>
                <w:bCs/>
              </w:rPr>
              <w:t>Documentos</w:t>
            </w:r>
          </w:p>
        </w:tc>
      </w:tr>
      <w:tr w:rsidR="005556C3" w:rsidRPr="005556C3" w14:paraId="3EFF7C13" w14:textId="77777777" w:rsidTr="005556C3">
        <w:trPr>
          <w:jc w:val="center"/>
        </w:trPr>
        <w:tc>
          <w:tcPr>
            <w:tcW w:w="534" w:type="dxa"/>
          </w:tcPr>
          <w:p w14:paraId="6BEC3C42" w14:textId="77777777" w:rsidR="005556C3" w:rsidRPr="005556C3" w:rsidRDefault="005556C3" w:rsidP="005556C3">
            <w:r w:rsidRPr="005556C3">
              <w:t>1</w:t>
            </w:r>
          </w:p>
        </w:tc>
        <w:tc>
          <w:tcPr>
            <w:tcW w:w="7164" w:type="dxa"/>
          </w:tcPr>
          <w:p w14:paraId="60D08FBC" w14:textId="77777777" w:rsidR="005556C3" w:rsidRPr="005556C3" w:rsidRDefault="005556C3" w:rsidP="005556C3">
            <w:r w:rsidRPr="005556C3">
              <w:t>Declaraciones adicionales</w:t>
            </w:r>
          </w:p>
        </w:tc>
        <w:tc>
          <w:tcPr>
            <w:tcW w:w="2367" w:type="dxa"/>
          </w:tcPr>
          <w:p w14:paraId="3C26FE88" w14:textId="143830C8" w:rsidR="005556C3" w:rsidRPr="005556C3" w:rsidRDefault="00F82A68" w:rsidP="00C45FC5">
            <w:pPr>
              <w:jc w:val="center"/>
            </w:pPr>
            <w:hyperlink r:id="rId9" w:history="1">
              <w:r w:rsidR="005556C3" w:rsidRPr="005556C3">
                <w:rPr>
                  <w:rStyle w:val="Hyperlink"/>
                </w:rPr>
                <w:t>200</w:t>
              </w:r>
            </w:hyperlink>
          </w:p>
        </w:tc>
      </w:tr>
      <w:tr w:rsidR="005556C3" w:rsidRPr="005556C3" w14:paraId="41F31FAC" w14:textId="77777777" w:rsidTr="005556C3">
        <w:trPr>
          <w:jc w:val="center"/>
        </w:trPr>
        <w:tc>
          <w:tcPr>
            <w:tcW w:w="534" w:type="dxa"/>
          </w:tcPr>
          <w:p w14:paraId="6A47C87B" w14:textId="77777777" w:rsidR="005556C3" w:rsidRPr="005556C3" w:rsidRDefault="005556C3" w:rsidP="005556C3">
            <w:r w:rsidRPr="005556C3">
              <w:t>2</w:t>
            </w:r>
          </w:p>
        </w:tc>
        <w:tc>
          <w:tcPr>
            <w:tcW w:w="7164" w:type="dxa"/>
          </w:tcPr>
          <w:p w14:paraId="5EE2FFE2" w14:textId="77777777" w:rsidR="005556C3" w:rsidRPr="005556C3" w:rsidRDefault="005556C3" w:rsidP="005556C3">
            <w:r w:rsidRPr="005556C3">
              <w:t>Ceremonia de firma de las Actas Finales</w:t>
            </w:r>
          </w:p>
        </w:tc>
        <w:tc>
          <w:tcPr>
            <w:tcW w:w="2367" w:type="dxa"/>
          </w:tcPr>
          <w:p w14:paraId="457F5BD7" w14:textId="77777777" w:rsidR="005556C3" w:rsidRPr="005556C3" w:rsidRDefault="005556C3" w:rsidP="00C45FC5">
            <w:pPr>
              <w:jc w:val="center"/>
            </w:pPr>
            <w:r w:rsidRPr="005556C3">
              <w:t>–</w:t>
            </w:r>
          </w:p>
        </w:tc>
      </w:tr>
      <w:tr w:rsidR="005556C3" w:rsidRPr="005556C3" w14:paraId="20A544FF" w14:textId="77777777" w:rsidTr="005556C3">
        <w:trPr>
          <w:jc w:val="center"/>
        </w:trPr>
        <w:tc>
          <w:tcPr>
            <w:tcW w:w="534" w:type="dxa"/>
          </w:tcPr>
          <w:p w14:paraId="2712D7C9" w14:textId="77777777" w:rsidR="005556C3" w:rsidRPr="005556C3" w:rsidRDefault="005556C3" w:rsidP="005556C3">
            <w:r w:rsidRPr="005556C3">
              <w:t>3</w:t>
            </w:r>
          </w:p>
        </w:tc>
        <w:tc>
          <w:tcPr>
            <w:tcW w:w="7164" w:type="dxa"/>
          </w:tcPr>
          <w:p w14:paraId="18ED0CBE" w14:textId="77777777" w:rsidR="005556C3" w:rsidRPr="005556C3" w:rsidRDefault="005556C3" w:rsidP="005556C3">
            <w:r w:rsidRPr="005556C3">
              <w:t>Clausura de la Conferencia</w:t>
            </w:r>
          </w:p>
        </w:tc>
        <w:tc>
          <w:tcPr>
            <w:tcW w:w="2367" w:type="dxa"/>
          </w:tcPr>
          <w:p w14:paraId="590E9CE1" w14:textId="77777777" w:rsidR="005556C3" w:rsidRPr="005556C3" w:rsidRDefault="005556C3" w:rsidP="00C45FC5">
            <w:pPr>
              <w:jc w:val="center"/>
            </w:pPr>
            <w:r w:rsidRPr="005556C3">
              <w:t>–</w:t>
            </w:r>
          </w:p>
        </w:tc>
      </w:tr>
    </w:tbl>
    <w:p w14:paraId="33BC3D57" w14:textId="7AA835B7" w:rsidR="00255FA1" w:rsidRDefault="00255FA1" w:rsidP="005556C3">
      <w:pPr>
        <w:rPr>
          <w:lang w:val="es-ES"/>
        </w:rPr>
      </w:pPr>
      <w:r w:rsidRPr="005556C3">
        <w:rPr>
          <w:lang w:val="es-ES"/>
        </w:rPr>
        <w:br w:type="page"/>
      </w:r>
    </w:p>
    <w:p w14:paraId="1E23F257" w14:textId="73C91FA8" w:rsidR="005556C3" w:rsidRPr="005556C3" w:rsidRDefault="005556C3" w:rsidP="00770EA5">
      <w:pPr>
        <w:pStyle w:val="Heading1"/>
      </w:pPr>
      <w:r w:rsidRPr="005556C3">
        <w:lastRenderedPageBreak/>
        <w:t>1</w:t>
      </w:r>
      <w:r w:rsidRPr="005556C3">
        <w:tab/>
        <w:t xml:space="preserve">Declaraciones adicionales (Documento </w:t>
      </w:r>
      <w:hyperlink r:id="rId10" w:history="1">
        <w:r w:rsidRPr="005556C3">
          <w:rPr>
            <w:rStyle w:val="Hyperlink"/>
          </w:rPr>
          <w:t>200</w:t>
        </w:r>
      </w:hyperlink>
      <w:r w:rsidRPr="005556C3">
        <w:t>)</w:t>
      </w:r>
    </w:p>
    <w:p w14:paraId="6414C0C8" w14:textId="77777777" w:rsidR="005556C3" w:rsidRPr="005556C3" w:rsidRDefault="005556C3" w:rsidP="005556C3">
      <w:r w:rsidRPr="005556C3">
        <w:t>1.1</w:t>
      </w:r>
      <w:r w:rsidRPr="005556C3">
        <w:tab/>
        <w:t xml:space="preserve">Se </w:t>
      </w:r>
      <w:r w:rsidRPr="005556C3">
        <w:rPr>
          <w:b/>
          <w:bCs/>
        </w:rPr>
        <w:t>toma nota</w:t>
      </w:r>
      <w:r w:rsidRPr="005556C3">
        <w:t xml:space="preserve"> de las declaraciones adicionales contenidas en el Documento 200.</w:t>
      </w:r>
    </w:p>
    <w:p w14:paraId="0B3495F2" w14:textId="77777777" w:rsidR="005556C3" w:rsidRPr="005556C3" w:rsidRDefault="005556C3" w:rsidP="00770EA5">
      <w:pPr>
        <w:pStyle w:val="Heading1"/>
      </w:pPr>
      <w:r w:rsidRPr="005556C3">
        <w:t>2</w:t>
      </w:r>
      <w:r w:rsidRPr="005556C3">
        <w:tab/>
        <w:t>Ceremonia de firma de las Actas Finales</w:t>
      </w:r>
    </w:p>
    <w:p w14:paraId="7B691DDB" w14:textId="77777777" w:rsidR="005556C3" w:rsidRPr="005556C3" w:rsidRDefault="005556C3" w:rsidP="005556C3">
      <w:r w:rsidRPr="005556C3">
        <w:t>2.1</w:t>
      </w:r>
      <w:r w:rsidRPr="005556C3">
        <w:tab/>
        <w:t xml:space="preserve">La </w:t>
      </w:r>
      <w:r w:rsidRPr="005556C3">
        <w:rPr>
          <w:b/>
          <w:bCs/>
        </w:rPr>
        <w:t xml:space="preserve">Secretaria de la Plenaria </w:t>
      </w:r>
      <w:r w:rsidRPr="005556C3">
        <w:t>pasa lista, en orden alfabético francés, a las delegaciones cuyas credenciales están en regla.</w:t>
      </w:r>
    </w:p>
    <w:p w14:paraId="0AAB5C90" w14:textId="77777777" w:rsidR="005556C3" w:rsidRPr="005556C3" w:rsidRDefault="005556C3" w:rsidP="005556C3">
      <w:r w:rsidRPr="005556C3">
        <w:t>2.2</w:t>
      </w:r>
      <w:r w:rsidRPr="005556C3">
        <w:tab/>
        <w:t>Las 159 delegaciones siguientes firman las Actas Finales:</w:t>
      </w:r>
    </w:p>
    <w:p w14:paraId="6B0AB97B" w14:textId="6BC0724F" w:rsidR="005556C3" w:rsidRPr="005556C3" w:rsidRDefault="005556C3" w:rsidP="005556C3">
      <w:r w:rsidRPr="005556C3">
        <w:t>Albania (República de), Argelia (República Argelina Democrática y Popular), Alemania (República Federal de), Andorra (Principado de), Arabia Saudita (Reino de), Argentina (República), Armenia (República de), Australia, Austria, Azerbaiyán (República de), Bahamas (Commonwealth de las), Bahrein (Reino de), Bangladesh (República Popular de), Barbados, Bélgica, Belice, Ben</w:t>
      </w:r>
      <w:r w:rsidR="00704874">
        <w:t>i</w:t>
      </w:r>
      <w:r w:rsidRPr="005556C3">
        <w:t xml:space="preserve">n, Bhután (Reino de), Bielorrusia, Bosnia y Herzegovina, Botswana (República de), Brasil (República Federativa del), Brunei Darussalam, Bulgaria (República de), Burkina Faso, Burundi (República de), Cabo Verde (República de), Camboya (Reino de), Camerún (República de), Canadá, Chile, China (República Popular de), Chipre (República de), Ciudad del Vaticano (Estado de la), Colombia (República de), Corea (República de), Costa Rica, Côte d'Ivoire (República de), Croacia (República de), Cuba, Dinamarca, Djibouti (República de), Dominicana (República), </w:t>
      </w:r>
      <w:r w:rsidRPr="005556C3">
        <w:rPr>
          <w:lang w:val="es-ES"/>
        </w:rPr>
        <w:t xml:space="preserve">Dominica (Commonwealth </w:t>
      </w:r>
      <w:r w:rsidR="00704874">
        <w:rPr>
          <w:lang w:val="es-ES"/>
        </w:rPr>
        <w:t>de</w:t>
      </w:r>
      <w:r w:rsidRPr="005556C3">
        <w:rPr>
          <w:lang w:val="es-ES"/>
        </w:rPr>
        <w:t xml:space="preserve">), </w:t>
      </w:r>
      <w:r w:rsidRPr="005556C3">
        <w:t xml:space="preserve">Egipto (República Árabe de), El Salvador (República de), Emiratos Árabes Unidos, España, Estonia (República de), Eswatini (Reino de), Estados Unidos de América, Federación de Rusia, Fiji (República de), Finlandia, Francia, Gabonesa (República), Gambia (República de), Ghana, Grecia, Granada, Guatemala (República de), </w:t>
      </w:r>
      <w:r w:rsidRPr="005556C3">
        <w:rPr>
          <w:lang w:val="es-ES"/>
        </w:rPr>
        <w:t xml:space="preserve">Guinea (República de) </w:t>
      </w:r>
      <w:r w:rsidRPr="005556C3">
        <w:t xml:space="preserve">Guinea Ecuatorial (República de), Guyana, Honduras (República de), Hungría, India (República de la), Indonesia (República de), Irán (República Islámica del), Iraq (República del), Irlanda, Islandia, Israel (Estado de), Italia, Jamaica, Japón, Jordania (Reino Hachemita de), Kazajstán (República de), Kenya (República de), Kuwait (Estado de), Lesotho (Reino de), Letonia (República de), Líbano, Liberia (República de), Liechtenstein (Principado de), Lituania (República de), Luxemburgo, Macedonia del Norte (República de), Madagascar (Republica de), Malasia, Malawi, Malí (República de), Malta, Marruecos (Reino de), Marshall (República de las Islas), Mauricio (República de), México, </w:t>
      </w:r>
      <w:r w:rsidRPr="005556C3">
        <w:rPr>
          <w:lang w:val="es-ES"/>
        </w:rPr>
        <w:t xml:space="preserve">Micronesia (Estados </w:t>
      </w:r>
      <w:r w:rsidR="005772E1" w:rsidRPr="005556C3">
        <w:rPr>
          <w:lang w:val="es-ES"/>
        </w:rPr>
        <w:t xml:space="preserve">Federados </w:t>
      </w:r>
      <w:r w:rsidRPr="005556C3">
        <w:rPr>
          <w:lang w:val="es-ES"/>
        </w:rPr>
        <w:t xml:space="preserve">de), </w:t>
      </w:r>
      <w:r w:rsidRPr="005556C3">
        <w:t xml:space="preserve">Moldova (República de), Mónaco (Principado de), Montenegro, Mozambique (República de), Namibia (República de), Nepal (República Democrática Federal de), Nicaragua, Níger (República del), Noruega, Nueva Zelandia, Omán (Sultanía de), Uganda (República de), Uzbekistán (República de), Papua Nueva Guinea, Paraguay (República del), Países Bajos (Reino de los), Perú, Filipinas (República de), Polonia (República de), Portugal, </w:t>
      </w:r>
      <w:r w:rsidR="005772E1" w:rsidRPr="005556C3">
        <w:t xml:space="preserve">Qatar (Estado de), República Árabe Siria, República </w:t>
      </w:r>
      <w:r w:rsidR="005772E1">
        <w:t>de</w:t>
      </w:r>
      <w:r w:rsidR="005772E1" w:rsidRPr="005556C3">
        <w:t xml:space="preserve"> Türkïye, </w:t>
      </w:r>
      <w:r w:rsidRPr="005556C3">
        <w:t xml:space="preserve">República Democrática del Congo, República Kirguisa, </w:t>
      </w:r>
      <w:r w:rsidRPr="005556C3">
        <w:rPr>
          <w:lang w:val="es-ES"/>
        </w:rPr>
        <w:t>República Popular Democrática de Corea</w:t>
      </w:r>
      <w:r w:rsidRPr="005556C3">
        <w:t>, República Eslovaca</w:t>
      </w:r>
      <w:r w:rsidRPr="005556C3">
        <w:rPr>
          <w:lang w:val="es-ES"/>
        </w:rPr>
        <w:t xml:space="preserve">, </w:t>
      </w:r>
      <w:r w:rsidRPr="005556C3">
        <w:t xml:space="preserve">República Checa, Rumania, Reino Unido de Gran Bretaña e Irlanda del Norte, Rwanda (República de), </w:t>
      </w:r>
      <w:r w:rsidRPr="005556C3">
        <w:rPr>
          <w:lang w:val="es-ES"/>
        </w:rPr>
        <w:t>Santa Lucía, Saint Kitts y Nevis (Federación de)</w:t>
      </w:r>
      <w:r w:rsidRPr="005556C3">
        <w:t>, San Marino (República de), San Vicente y las Granadinas, Islas Solomon, Samoa (Estado Independiente de), Santo Tomé y Príncipe (República Democrática de),</w:t>
      </w:r>
      <w:r w:rsidR="005772E1">
        <w:t xml:space="preserve"> </w:t>
      </w:r>
      <w:r w:rsidRPr="005556C3">
        <w:t>Senegal (República del), Serbia (República de), Singapur (República de), Eslovenia (República de), Sudán (República del), Sudán del Sur (República de), Sudafricana (República), Suecia, Suiza (Confederación), Suriname (República de), Tanzanía (República Unida de), Tailandia, Timor-Leste (República Democrática de), Togolesa (República), Trinidad y T</w:t>
      </w:r>
      <w:r w:rsidR="00B722CF">
        <w:t>a</w:t>
      </w:r>
      <w:r w:rsidRPr="005556C3">
        <w:t xml:space="preserve">bago, Túnez, </w:t>
      </w:r>
      <w:r w:rsidR="00B722CF" w:rsidRPr="005556C3">
        <w:t>Tuvalu</w:t>
      </w:r>
      <w:r w:rsidRPr="005556C3">
        <w:t xml:space="preserve">, Ucrania, Uruguay (República Oriental del), </w:t>
      </w:r>
      <w:r w:rsidR="00B722CF" w:rsidRPr="005556C3">
        <w:t>Vanuatu</w:t>
      </w:r>
      <w:r w:rsidRPr="005556C3">
        <w:t xml:space="preserve"> (República de), Viet Nam (República Socialista de), Zambia (República de) y Zimbabwe (República de).</w:t>
      </w:r>
    </w:p>
    <w:p w14:paraId="157A943B" w14:textId="77777777" w:rsidR="005556C3" w:rsidRPr="005556C3" w:rsidRDefault="005556C3" w:rsidP="00770EA5">
      <w:pPr>
        <w:pStyle w:val="Heading1"/>
      </w:pPr>
      <w:r w:rsidRPr="005556C3">
        <w:lastRenderedPageBreak/>
        <w:t>3</w:t>
      </w:r>
      <w:r w:rsidRPr="005556C3">
        <w:tab/>
        <w:t>Clausura de la Conferencia</w:t>
      </w:r>
    </w:p>
    <w:p w14:paraId="1A954851" w14:textId="5A8E05AB" w:rsidR="005556C3" w:rsidRPr="005556C3" w:rsidRDefault="005556C3" w:rsidP="005556C3">
      <w:r w:rsidRPr="005556C3">
        <w:t>3.1</w:t>
      </w:r>
      <w:r w:rsidRPr="005556C3">
        <w:tab/>
        <w:t xml:space="preserve">El </w:t>
      </w:r>
      <w:r w:rsidRPr="005556C3">
        <w:rPr>
          <w:b/>
          <w:bCs/>
        </w:rPr>
        <w:t>Coro de Cámara Nacional de Ruman</w:t>
      </w:r>
      <w:r w:rsidR="00B722CF">
        <w:rPr>
          <w:b/>
          <w:bCs/>
        </w:rPr>
        <w:t>i</w:t>
      </w:r>
      <w:r w:rsidRPr="005556C3">
        <w:rPr>
          <w:b/>
          <w:bCs/>
        </w:rPr>
        <w:t>a, Madrigal – Marin Constantin, ofrece una actuación especial.</w:t>
      </w:r>
    </w:p>
    <w:p w14:paraId="6C041DB2" w14:textId="4E32FE26" w:rsidR="005556C3" w:rsidRPr="005556C3" w:rsidRDefault="005556C3" w:rsidP="005556C3">
      <w:pPr>
        <w:rPr>
          <w:u w:val="single"/>
          <w:lang w:val="es-ES"/>
        </w:rPr>
      </w:pPr>
      <w:r w:rsidRPr="005556C3">
        <w:t>3.2</w:t>
      </w:r>
      <w:r w:rsidRPr="005556C3">
        <w:tab/>
        <w:t>El Sr.</w:t>
      </w:r>
      <w:r w:rsidR="00B722CF">
        <w:t> </w:t>
      </w:r>
      <w:r w:rsidRPr="005556C3">
        <w:t>Nicolae Ionel-Ciucă, Primer Ministro de Ruman</w:t>
      </w:r>
      <w:r w:rsidR="00B722CF">
        <w:t>i</w:t>
      </w:r>
      <w:r w:rsidRPr="005556C3">
        <w:t xml:space="preserve">a, pronuncia el discurso que puede consultarse en la dirección: </w:t>
      </w:r>
      <w:hyperlink r:id="rId11" w:history="1">
        <w:r w:rsidRPr="005556C3">
          <w:rPr>
            <w:rStyle w:val="Hyperlink"/>
          </w:rPr>
          <w:t>https://pp22.itu.int/en/itu_policy_statements/nicolae-ciuca-prime-minister-romania-speech/</w:t>
        </w:r>
      </w:hyperlink>
      <w:r w:rsidR="00B722CF">
        <w:rPr>
          <w:lang w:val="es-ES"/>
        </w:rPr>
        <w:t>.</w:t>
      </w:r>
    </w:p>
    <w:p w14:paraId="74F4206F" w14:textId="77777777" w:rsidR="005556C3" w:rsidRPr="005556C3" w:rsidRDefault="005556C3" w:rsidP="005556C3">
      <w:r w:rsidRPr="005556C3">
        <w:t>3.3</w:t>
      </w:r>
      <w:r w:rsidRPr="005556C3">
        <w:tab/>
      </w:r>
      <w:r w:rsidRPr="005556C3">
        <w:rPr>
          <w:b/>
          <w:bCs/>
        </w:rPr>
        <w:t>Se proyecta un vídeo con lo más destacado de la carrera del Director saliente de la TSB en la UIT.</w:t>
      </w:r>
    </w:p>
    <w:p w14:paraId="548D3C62" w14:textId="2C4ED48D" w:rsidR="005556C3" w:rsidRPr="005556C3" w:rsidRDefault="005556C3" w:rsidP="005556C3">
      <w:r w:rsidRPr="005556C3">
        <w:t>3.4</w:t>
      </w:r>
      <w:r w:rsidRPr="005556C3">
        <w:tab/>
        <w:t xml:space="preserve">El </w:t>
      </w:r>
      <w:r w:rsidRPr="005556C3">
        <w:rPr>
          <w:b/>
          <w:bCs/>
        </w:rPr>
        <w:t>Director saliente de la TSB</w:t>
      </w:r>
      <w:r w:rsidRPr="005556C3">
        <w:t xml:space="preserve"> pronuncia el discurso que puede consultarse en la dirección: </w:t>
      </w:r>
      <w:hyperlink r:id="rId12" w:history="1">
        <w:r w:rsidR="00121510" w:rsidRPr="005556C3">
          <w:rPr>
            <w:rStyle w:val="Hyperlink"/>
          </w:rPr>
          <w:t>https://pp22.itu.int/en/itu_policy_statements/chaesub-lee-itu-closing-speech/</w:t>
        </w:r>
      </w:hyperlink>
      <w:r w:rsidRPr="005556C3">
        <w:rPr>
          <w:rFonts w:hint="eastAsia"/>
        </w:rPr>
        <w:t>.</w:t>
      </w:r>
    </w:p>
    <w:p w14:paraId="49525165" w14:textId="77777777" w:rsidR="005556C3" w:rsidRPr="005556C3" w:rsidRDefault="005556C3" w:rsidP="005556C3">
      <w:r w:rsidRPr="005556C3">
        <w:t>3.5</w:t>
      </w:r>
      <w:r w:rsidRPr="005556C3">
        <w:tab/>
        <w:t xml:space="preserve">El delegado de la </w:t>
      </w:r>
      <w:r w:rsidRPr="005556C3">
        <w:rPr>
          <w:b/>
          <w:bCs/>
        </w:rPr>
        <w:t>República de Corea</w:t>
      </w:r>
      <w:r w:rsidRPr="005556C3">
        <w:t xml:space="preserve"> felicita al Director saliente de la TSB por su destacado trabajo y su excelente liderazgo, señalando que es un gran orgullo para su país.</w:t>
      </w:r>
    </w:p>
    <w:p w14:paraId="760968B4" w14:textId="77777777" w:rsidR="005556C3" w:rsidRPr="005556C3" w:rsidRDefault="005556C3" w:rsidP="005556C3">
      <w:r w:rsidRPr="005556C3">
        <w:t>3.6</w:t>
      </w:r>
      <w:r w:rsidRPr="005556C3">
        <w:tab/>
      </w:r>
      <w:r w:rsidRPr="005556C3">
        <w:rPr>
          <w:b/>
          <w:bCs/>
        </w:rPr>
        <w:t>Se proyecta un vídeo con lo más destacado de la carrera del Vicesecretario General saliente en la UIT.</w:t>
      </w:r>
    </w:p>
    <w:p w14:paraId="6202B980" w14:textId="708470B8" w:rsidR="005556C3" w:rsidRPr="005556C3" w:rsidRDefault="005556C3" w:rsidP="005556C3">
      <w:r w:rsidRPr="005556C3">
        <w:t>3.7</w:t>
      </w:r>
      <w:r w:rsidRPr="005556C3">
        <w:tab/>
        <w:t xml:space="preserve">El </w:t>
      </w:r>
      <w:r w:rsidRPr="005556C3">
        <w:rPr>
          <w:b/>
          <w:bCs/>
        </w:rPr>
        <w:t>Vicesecretario General</w:t>
      </w:r>
      <w:r w:rsidRPr="005556C3">
        <w:t xml:space="preserve"> saliente pronuncia el discurso que puede consultarse en la dirección: </w:t>
      </w:r>
      <w:hyperlink r:id="rId13" w:history="1">
        <w:r w:rsidR="00121510" w:rsidRPr="005556C3">
          <w:rPr>
            <w:rStyle w:val="Hyperlink"/>
          </w:rPr>
          <w:t>https://pp22.itu.int/en/itu_policy_statements/malcolm-johnson-itu-dsg-closing-speech/</w:t>
        </w:r>
      </w:hyperlink>
      <w:r w:rsidRPr="005556C3">
        <w:t>.</w:t>
      </w:r>
    </w:p>
    <w:p w14:paraId="1D9343EF" w14:textId="23E5376F" w:rsidR="005556C3" w:rsidRPr="005556C3" w:rsidRDefault="005556C3" w:rsidP="005556C3">
      <w:r w:rsidRPr="005556C3">
        <w:t>3.8</w:t>
      </w:r>
      <w:r w:rsidRPr="005556C3">
        <w:tab/>
        <w:t xml:space="preserve">El delegado del </w:t>
      </w:r>
      <w:r w:rsidRPr="005556C3">
        <w:rPr>
          <w:b/>
          <w:bCs/>
        </w:rPr>
        <w:t>Reino Unido</w:t>
      </w:r>
      <w:r w:rsidRPr="005556C3">
        <w:t xml:space="preserve"> agradece al Vicesecretario General saliente sus décadas de servicio y elogia su enorme contribución a la labor de la UIT, en particular sus esfuerzos por modernizar los métodos de trabajo de la Unión, incluidas las medidas para promover la igualdad de género</w:t>
      </w:r>
      <w:r w:rsidR="00121510">
        <w:t>.</w:t>
      </w:r>
    </w:p>
    <w:p w14:paraId="35A1F8E6" w14:textId="18E73FF9" w:rsidR="005556C3" w:rsidRPr="005556C3" w:rsidRDefault="005556C3" w:rsidP="005556C3">
      <w:r w:rsidRPr="005556C3">
        <w:t>3.9</w:t>
      </w:r>
      <w:r w:rsidRPr="005556C3">
        <w:tab/>
        <w:t xml:space="preserve">El </w:t>
      </w:r>
      <w:r w:rsidRPr="005556C3">
        <w:rPr>
          <w:b/>
          <w:bCs/>
        </w:rPr>
        <w:t>Secretario General</w:t>
      </w:r>
      <w:r w:rsidRPr="005556C3">
        <w:t xml:space="preserve"> entrega a la Directora saliente de la BDT la Medalla de Plata de la</w:t>
      </w:r>
      <w:r w:rsidR="00C45FC5">
        <w:t> </w:t>
      </w:r>
      <w:r w:rsidRPr="005556C3">
        <w:t>UIT, al Director saliente de la TSB la Medalla de Oro de la UIT, al Director de la BR la Medalla de Plata de la UIT y al Vicesecretario General saliente la Medalla de Oro de la UIT, en reconocimiento por sus sobresalientes contribuciones a las labores de la Unión.</w:t>
      </w:r>
    </w:p>
    <w:p w14:paraId="21D65790" w14:textId="5722C843" w:rsidR="005556C3" w:rsidRPr="005556C3" w:rsidRDefault="005556C3" w:rsidP="005556C3">
      <w:r w:rsidRPr="005556C3">
        <w:t>3.10</w:t>
      </w:r>
      <w:r w:rsidRPr="005556C3">
        <w:tab/>
        <w:t xml:space="preserve">La </w:t>
      </w:r>
      <w:r w:rsidRPr="005556C3">
        <w:rPr>
          <w:b/>
          <w:bCs/>
        </w:rPr>
        <w:t>Sra.</w:t>
      </w:r>
      <w:r w:rsidR="007B281C">
        <w:rPr>
          <w:b/>
          <w:bCs/>
        </w:rPr>
        <w:t> </w:t>
      </w:r>
      <w:r w:rsidRPr="005556C3">
        <w:rPr>
          <w:b/>
          <w:bCs/>
        </w:rPr>
        <w:t>Morag Sale</w:t>
      </w:r>
      <w:r w:rsidRPr="005556C3">
        <w:t>, Asistente del Secretario General, entrega al Secretario General saliente la Medalla de Oro de la UIT en reconocimiento a su sobresaliente contribución a la labor de la Unión.</w:t>
      </w:r>
    </w:p>
    <w:p w14:paraId="36E9F825" w14:textId="7B781E17" w:rsidR="005556C3" w:rsidRPr="005556C3" w:rsidRDefault="005556C3" w:rsidP="00C45FC5">
      <w:pPr>
        <w:rPr>
          <w:lang w:val="es-ES"/>
        </w:rPr>
      </w:pPr>
      <w:r w:rsidRPr="005556C3">
        <w:rPr>
          <w:lang w:val="es-ES"/>
        </w:rPr>
        <w:t>3.11</w:t>
      </w:r>
      <w:r w:rsidRPr="005556C3">
        <w:rPr>
          <w:lang w:val="es-ES"/>
        </w:rPr>
        <w:tab/>
      </w:r>
      <w:r w:rsidRPr="00C45FC5">
        <w:rPr>
          <w:b/>
          <w:bCs/>
          <w:lang w:val="es-ES"/>
        </w:rPr>
        <w:t>Se proyecta un vídeo con lo más destacado de la carrera del Secretario General saliente en la UIT</w:t>
      </w:r>
      <w:r w:rsidR="00C45FC5" w:rsidRPr="00C45FC5">
        <w:rPr>
          <w:b/>
          <w:bCs/>
          <w:lang w:val="es-ES"/>
        </w:rPr>
        <w:t>.</w:t>
      </w:r>
    </w:p>
    <w:p w14:paraId="48E16C32" w14:textId="09CEF0A1" w:rsidR="005556C3" w:rsidRPr="00121510" w:rsidRDefault="005556C3" w:rsidP="00121510">
      <w:r w:rsidRPr="005556C3">
        <w:t>3.12</w:t>
      </w:r>
      <w:r w:rsidRPr="005556C3">
        <w:tab/>
        <w:t xml:space="preserve">El </w:t>
      </w:r>
      <w:r w:rsidRPr="00121510">
        <w:rPr>
          <w:b/>
          <w:bCs/>
        </w:rPr>
        <w:t>Secretario General</w:t>
      </w:r>
      <w:r w:rsidRPr="00121510">
        <w:t xml:space="preserve"> </w:t>
      </w:r>
      <w:r w:rsidRPr="005556C3">
        <w:t>saliente</w:t>
      </w:r>
      <w:r w:rsidRPr="00121510">
        <w:t xml:space="preserve"> </w:t>
      </w:r>
      <w:r w:rsidRPr="005556C3">
        <w:t xml:space="preserve">pronuncia el discurso que puede consultarse en la dirección: </w:t>
      </w:r>
      <w:hyperlink r:id="rId14" w:history="1">
        <w:r w:rsidR="00121510" w:rsidRPr="00B4132E">
          <w:rPr>
            <w:rStyle w:val="Hyperlink"/>
          </w:rPr>
          <w:t>https://pp22.itu.int/en/itu_policy_statements/houlin-zhao-itu-sg-closing-speech/</w:t>
        </w:r>
      </w:hyperlink>
      <w:r w:rsidRPr="00121510">
        <w:t>.</w:t>
      </w:r>
    </w:p>
    <w:p w14:paraId="0B00A251" w14:textId="609993E5" w:rsidR="005556C3" w:rsidRPr="005556C3" w:rsidRDefault="005556C3" w:rsidP="005556C3">
      <w:r w:rsidRPr="005556C3">
        <w:t>3.11</w:t>
      </w:r>
      <w:r w:rsidRPr="005556C3">
        <w:tab/>
      </w:r>
      <w:r w:rsidR="00B722CF">
        <w:t>La</w:t>
      </w:r>
      <w:r w:rsidRPr="005556C3">
        <w:t xml:space="preserve"> delegad</w:t>
      </w:r>
      <w:r w:rsidR="00B722CF" w:rsidRPr="007B281C">
        <w:t>a</w:t>
      </w:r>
      <w:r w:rsidRPr="005556C3">
        <w:t xml:space="preserve"> de </w:t>
      </w:r>
      <w:r w:rsidRPr="005556C3">
        <w:rPr>
          <w:b/>
          <w:bCs/>
        </w:rPr>
        <w:t>China</w:t>
      </w:r>
      <w:r w:rsidRPr="005556C3">
        <w:t xml:space="preserve"> rinde homenaje al Secretario General saliente, destacando su notable contribución a la labor de la UIT. Da las gracias a los Estados Miembros por haber depositado su confianza en el Sr.</w:t>
      </w:r>
      <w:r w:rsidR="00B722CF">
        <w:t> </w:t>
      </w:r>
      <w:r w:rsidRPr="005556C3">
        <w:t>Zhao, que ha ocupado varios puestos ejecutivos durante su carrera en la UIT y es ampliamente admirado y respetado. Durante sus treinta años en la UIT, la Unión ha ampliado y mejorado su perfil. El Secretario General saliente es un gran orgullo para su país y su excelente liderazgo será un acto difícil de continuar. También rinde homenaje al Director saliente de la TSB y al Vicesecretario General saliente, y agradece al Gobierno de Ruman</w:t>
      </w:r>
      <w:r w:rsidR="00B722CF">
        <w:t>i</w:t>
      </w:r>
      <w:r w:rsidRPr="005556C3">
        <w:t>a su hospitalidad.</w:t>
      </w:r>
    </w:p>
    <w:p w14:paraId="325FC356" w14:textId="77777777" w:rsidR="005556C3" w:rsidRPr="005556C3" w:rsidRDefault="005556C3" w:rsidP="00121510">
      <w:pPr>
        <w:rPr>
          <w:lang w:val="es-ES"/>
        </w:rPr>
      </w:pPr>
      <w:r w:rsidRPr="00B53762">
        <w:rPr>
          <w:lang w:val="es-ES"/>
        </w:rPr>
        <w:lastRenderedPageBreak/>
        <w:t>3.14</w:t>
      </w:r>
      <w:r w:rsidRPr="005556C3">
        <w:rPr>
          <w:lang w:val="es-ES"/>
        </w:rPr>
        <w:tab/>
        <w:t xml:space="preserve">El </w:t>
      </w:r>
      <w:r w:rsidRPr="005556C3">
        <w:rPr>
          <w:b/>
          <w:bCs/>
          <w:lang w:val="es-ES"/>
        </w:rPr>
        <w:t>Secretario General</w:t>
      </w:r>
      <w:r w:rsidRPr="005556C3">
        <w:rPr>
          <w:lang w:val="es-ES"/>
        </w:rPr>
        <w:t xml:space="preserve"> entrega al Presidente la Medalla de Plata de la UIT en reconocimiento a su excelente manera de dirigir los trabajos de la conferencia.</w:t>
      </w:r>
    </w:p>
    <w:p w14:paraId="1ED57FC7" w14:textId="625AB93F" w:rsidR="005556C3" w:rsidRPr="005556C3" w:rsidRDefault="005556C3" w:rsidP="00121510">
      <w:pPr>
        <w:rPr>
          <w:lang w:val="es-ES"/>
        </w:rPr>
      </w:pPr>
      <w:r w:rsidRPr="005556C3">
        <w:rPr>
          <w:lang w:val="es-ES"/>
        </w:rPr>
        <w:t>3.15</w:t>
      </w:r>
      <w:r w:rsidRPr="005556C3">
        <w:rPr>
          <w:lang w:val="es-ES"/>
        </w:rPr>
        <w:tab/>
        <w:t xml:space="preserve">El </w:t>
      </w:r>
      <w:r w:rsidRPr="005556C3">
        <w:rPr>
          <w:b/>
          <w:bCs/>
          <w:lang w:val="es-ES"/>
        </w:rPr>
        <w:t>Presidente</w:t>
      </w:r>
      <w:r w:rsidRPr="005556C3">
        <w:rPr>
          <w:lang w:val="es-ES"/>
        </w:rPr>
        <w:t xml:space="preserve"> pronuncia el discurso que puede consultarse en </w:t>
      </w:r>
      <w:hyperlink r:id="rId15" w:history="1">
        <w:r w:rsidRPr="005556C3">
          <w:rPr>
            <w:rStyle w:val="Hyperlink"/>
            <w:lang w:val="es-ES"/>
          </w:rPr>
          <w:t>https://pp22.itu.int/en/itu_policy_statements/chairman-sabin-sarmas-itu-closing-speech/</w:t>
        </w:r>
      </w:hyperlink>
      <w:r w:rsidRPr="005556C3">
        <w:rPr>
          <w:lang w:val="es-ES"/>
        </w:rPr>
        <w:t>.</w:t>
      </w:r>
    </w:p>
    <w:p w14:paraId="7F93BE58" w14:textId="1BEDE3B3" w:rsidR="005556C3" w:rsidRPr="005556C3" w:rsidRDefault="005556C3" w:rsidP="00121510">
      <w:pPr>
        <w:rPr>
          <w:lang w:val="es-ES"/>
        </w:rPr>
      </w:pPr>
      <w:r w:rsidRPr="005556C3">
        <w:rPr>
          <w:lang w:val="es-ES"/>
        </w:rPr>
        <w:t>3.16</w:t>
      </w:r>
      <w:r w:rsidRPr="005556C3">
        <w:rPr>
          <w:lang w:val="es-ES"/>
        </w:rPr>
        <w:tab/>
        <w:t xml:space="preserve">La delegada de </w:t>
      </w:r>
      <w:r w:rsidRPr="00121510">
        <w:rPr>
          <w:b/>
          <w:bCs/>
          <w:lang w:val="es-ES"/>
        </w:rPr>
        <w:t>Ruman</w:t>
      </w:r>
      <w:r w:rsidR="00121510">
        <w:rPr>
          <w:b/>
          <w:bCs/>
          <w:lang w:val="es-ES"/>
        </w:rPr>
        <w:t>i</w:t>
      </w:r>
      <w:r w:rsidRPr="00121510">
        <w:rPr>
          <w:b/>
          <w:bCs/>
          <w:lang w:val="es-ES"/>
        </w:rPr>
        <w:t>a</w:t>
      </w:r>
      <w:r w:rsidRPr="005556C3">
        <w:rPr>
          <w:lang w:val="es-ES"/>
        </w:rPr>
        <w:t xml:space="preserve"> da las gracias al Presidente y a su equipo, a la Secretaría de la conferencia, al personal local y técnico y a los voluntarios, cuyos incansables esfuerzos han garantizado el éxito de la conferencia. Dice que ha sido un placer acoger a los participantes en su país. Felicita a los cargos electos salientes; ha sido un honor y un privilegio trabajar con ellos. Desea al nuevo equipo directivo la mejor de las suertes. Su delegación espera trabajar con ellos para cumplir el mandato de la Unión.</w:t>
      </w:r>
    </w:p>
    <w:p w14:paraId="61FA39FE" w14:textId="1A22CAC0" w:rsidR="005556C3" w:rsidRPr="005556C3" w:rsidRDefault="005556C3" w:rsidP="00121510">
      <w:pPr>
        <w:rPr>
          <w:lang w:val="es-ES"/>
        </w:rPr>
      </w:pPr>
      <w:r w:rsidRPr="005556C3">
        <w:rPr>
          <w:lang w:val="es-ES"/>
        </w:rPr>
        <w:t>3.17</w:t>
      </w:r>
      <w:r w:rsidRPr="005556C3">
        <w:rPr>
          <w:lang w:val="es-ES"/>
        </w:rPr>
        <w:tab/>
        <w:t xml:space="preserve">Los delegados de </w:t>
      </w:r>
      <w:r w:rsidRPr="005556C3">
        <w:rPr>
          <w:b/>
          <w:bCs/>
          <w:lang w:val="es-ES"/>
        </w:rPr>
        <w:t>Pap</w:t>
      </w:r>
      <w:r w:rsidR="00121510">
        <w:rPr>
          <w:b/>
          <w:bCs/>
          <w:lang w:val="es-ES"/>
        </w:rPr>
        <w:t>u</w:t>
      </w:r>
      <w:r w:rsidRPr="005556C3">
        <w:rPr>
          <w:b/>
          <w:bCs/>
          <w:lang w:val="es-ES"/>
        </w:rPr>
        <w:t>a Nueva Guinea</w:t>
      </w:r>
      <w:r w:rsidRPr="005556C3">
        <w:rPr>
          <w:lang w:val="es-ES"/>
        </w:rPr>
        <w:t xml:space="preserve">, hablando en nombre de la APT, </w:t>
      </w:r>
      <w:r w:rsidRPr="005556C3">
        <w:rPr>
          <w:b/>
          <w:lang w:val="es-ES"/>
        </w:rPr>
        <w:t>Arabia</w:t>
      </w:r>
      <w:r w:rsidRPr="005556C3">
        <w:rPr>
          <w:lang w:val="es-ES"/>
        </w:rPr>
        <w:t xml:space="preserve"> </w:t>
      </w:r>
      <w:r w:rsidRPr="005556C3">
        <w:rPr>
          <w:b/>
          <w:bCs/>
          <w:lang w:val="es-ES"/>
        </w:rPr>
        <w:t>Saud</w:t>
      </w:r>
      <w:r w:rsidR="00121510">
        <w:rPr>
          <w:b/>
          <w:bCs/>
          <w:lang w:val="es-ES"/>
        </w:rPr>
        <w:t>ita</w:t>
      </w:r>
      <w:r w:rsidRPr="005556C3">
        <w:rPr>
          <w:lang w:val="es-ES"/>
        </w:rPr>
        <w:t xml:space="preserve">, los </w:t>
      </w:r>
      <w:r w:rsidRPr="005556C3">
        <w:rPr>
          <w:b/>
          <w:bCs/>
          <w:lang w:val="es-ES"/>
        </w:rPr>
        <w:t>Emiratos Árabes Unidos</w:t>
      </w:r>
      <w:r w:rsidRPr="005556C3">
        <w:rPr>
          <w:lang w:val="es-ES"/>
        </w:rPr>
        <w:t xml:space="preserve">, hablando también en nombre del </w:t>
      </w:r>
      <w:r w:rsidR="007B281C" w:rsidRPr="005556C3">
        <w:rPr>
          <w:lang w:val="es-ES"/>
        </w:rPr>
        <w:t xml:space="preserve">Grupo </w:t>
      </w:r>
      <w:r w:rsidRPr="005556C3">
        <w:rPr>
          <w:lang w:val="es-ES"/>
        </w:rPr>
        <w:t xml:space="preserve">Árabe, los </w:t>
      </w:r>
      <w:r w:rsidRPr="005556C3">
        <w:rPr>
          <w:b/>
          <w:bCs/>
          <w:lang w:val="es-ES"/>
        </w:rPr>
        <w:t>Estados Unidos de América</w:t>
      </w:r>
      <w:r w:rsidRPr="005556C3">
        <w:rPr>
          <w:lang w:val="es-ES"/>
        </w:rPr>
        <w:t xml:space="preserve">, hablando en nombre de la CITEL, la </w:t>
      </w:r>
      <w:r w:rsidRPr="005556C3">
        <w:rPr>
          <w:b/>
          <w:bCs/>
          <w:lang w:val="es-ES"/>
        </w:rPr>
        <w:t>República de Corea</w:t>
      </w:r>
      <w:r w:rsidRPr="005556C3">
        <w:rPr>
          <w:lang w:val="es-ES"/>
        </w:rPr>
        <w:t xml:space="preserve">, el </w:t>
      </w:r>
      <w:r w:rsidRPr="005556C3">
        <w:rPr>
          <w:b/>
          <w:lang w:val="es-ES"/>
        </w:rPr>
        <w:t>Reino Unido</w:t>
      </w:r>
      <w:r w:rsidRPr="005556C3">
        <w:rPr>
          <w:lang w:val="es-ES"/>
        </w:rPr>
        <w:t xml:space="preserve">, hablando en nombre de la CEPT, el </w:t>
      </w:r>
      <w:r w:rsidRPr="005556C3">
        <w:rPr>
          <w:b/>
          <w:bCs/>
          <w:lang w:val="es-ES"/>
        </w:rPr>
        <w:t>Brasil</w:t>
      </w:r>
      <w:r w:rsidRPr="005556C3">
        <w:rPr>
          <w:lang w:val="es-ES"/>
        </w:rPr>
        <w:t xml:space="preserve">, la </w:t>
      </w:r>
      <w:r w:rsidRPr="005556C3">
        <w:rPr>
          <w:b/>
          <w:bCs/>
          <w:lang w:val="es-ES"/>
        </w:rPr>
        <w:t>Federación de Rusia</w:t>
      </w:r>
      <w:r w:rsidRPr="005556C3">
        <w:rPr>
          <w:lang w:val="es-ES"/>
        </w:rPr>
        <w:t xml:space="preserve">, hablando en nombre de la CRC, </w:t>
      </w:r>
      <w:r w:rsidRPr="005556C3">
        <w:rPr>
          <w:b/>
          <w:bCs/>
          <w:lang w:val="es-ES"/>
        </w:rPr>
        <w:t>Nigeria</w:t>
      </w:r>
      <w:r w:rsidRPr="005556C3">
        <w:rPr>
          <w:lang w:val="es-ES"/>
        </w:rPr>
        <w:t xml:space="preserve">, </w:t>
      </w:r>
      <w:r w:rsidRPr="005556C3">
        <w:rPr>
          <w:b/>
          <w:bCs/>
          <w:lang w:val="es-ES"/>
        </w:rPr>
        <w:t>Argelia</w:t>
      </w:r>
      <w:r w:rsidRPr="005556C3">
        <w:rPr>
          <w:lang w:val="es-ES"/>
        </w:rPr>
        <w:t xml:space="preserve">, </w:t>
      </w:r>
      <w:r w:rsidRPr="005556C3">
        <w:rPr>
          <w:b/>
          <w:bCs/>
          <w:lang w:val="es-ES"/>
        </w:rPr>
        <w:t>Malasia</w:t>
      </w:r>
      <w:r w:rsidRPr="005556C3">
        <w:rPr>
          <w:lang w:val="es-ES"/>
        </w:rPr>
        <w:t xml:space="preserve">, la </w:t>
      </w:r>
      <w:r w:rsidRPr="005556C3">
        <w:rPr>
          <w:b/>
          <w:bCs/>
          <w:lang w:val="es-ES"/>
        </w:rPr>
        <w:t>India</w:t>
      </w:r>
      <w:r w:rsidRPr="005556C3">
        <w:rPr>
          <w:lang w:val="es-ES"/>
        </w:rPr>
        <w:t xml:space="preserve">, los </w:t>
      </w:r>
      <w:r w:rsidRPr="005556C3">
        <w:rPr>
          <w:b/>
          <w:lang w:val="es-ES"/>
        </w:rPr>
        <w:t>Pa</w:t>
      </w:r>
      <w:r w:rsidR="00C45FC5">
        <w:rPr>
          <w:b/>
          <w:lang w:val="es-ES"/>
        </w:rPr>
        <w:t>í</w:t>
      </w:r>
      <w:r w:rsidRPr="005556C3">
        <w:rPr>
          <w:b/>
          <w:lang w:val="es-ES"/>
        </w:rPr>
        <w:t>ses Bajos</w:t>
      </w:r>
      <w:r w:rsidRPr="005556C3">
        <w:rPr>
          <w:lang w:val="es-ES"/>
        </w:rPr>
        <w:t xml:space="preserve">, </w:t>
      </w:r>
      <w:r w:rsidRPr="005556C3">
        <w:rPr>
          <w:b/>
          <w:bCs/>
          <w:lang w:val="es-ES"/>
        </w:rPr>
        <w:t>Rwanda</w:t>
      </w:r>
      <w:r w:rsidRPr="005556C3">
        <w:rPr>
          <w:lang w:val="es-ES"/>
        </w:rPr>
        <w:t xml:space="preserve">, </w:t>
      </w:r>
      <w:r w:rsidRPr="005556C3">
        <w:rPr>
          <w:bCs/>
          <w:lang w:val="es-ES"/>
        </w:rPr>
        <w:t>la</w:t>
      </w:r>
      <w:r w:rsidRPr="005556C3">
        <w:rPr>
          <w:b/>
          <w:bCs/>
          <w:lang w:val="es-ES"/>
        </w:rPr>
        <w:t xml:space="preserve"> República Checa</w:t>
      </w:r>
      <w:r w:rsidRPr="005556C3">
        <w:rPr>
          <w:lang w:val="es-ES"/>
        </w:rPr>
        <w:t xml:space="preserve">, </w:t>
      </w:r>
      <w:r w:rsidRPr="005556C3">
        <w:rPr>
          <w:b/>
          <w:bCs/>
          <w:lang w:val="es-ES"/>
        </w:rPr>
        <w:t>Tailandia</w:t>
      </w:r>
      <w:r w:rsidRPr="00C45FC5">
        <w:rPr>
          <w:lang w:val="es-ES"/>
        </w:rPr>
        <w:t xml:space="preserve"> y </w:t>
      </w:r>
      <w:r w:rsidRPr="005556C3">
        <w:rPr>
          <w:b/>
          <w:bCs/>
          <w:lang w:val="es-ES"/>
        </w:rPr>
        <w:t>Egipto</w:t>
      </w:r>
      <w:r w:rsidRPr="005556C3">
        <w:rPr>
          <w:lang w:val="es-ES"/>
        </w:rPr>
        <w:t xml:space="preserve"> expresan su sincero agradecimiento al pueblo y el Gobierno de Ruman</w:t>
      </w:r>
      <w:r w:rsidR="00C45FC5">
        <w:rPr>
          <w:lang w:val="es-ES"/>
        </w:rPr>
        <w:t>i</w:t>
      </w:r>
      <w:r w:rsidRPr="005556C3">
        <w:rPr>
          <w:lang w:val="es-ES"/>
        </w:rPr>
        <w:t xml:space="preserve">a por las extraordinarias disposiciones adoptadas para la Conferencia y la cálida acogida brindada. Además, el </w:t>
      </w:r>
      <w:r w:rsidRPr="005556C3">
        <w:rPr>
          <w:b/>
          <w:bCs/>
          <w:lang w:val="es-ES"/>
        </w:rPr>
        <w:t xml:space="preserve">Presidente </w:t>
      </w:r>
      <w:r w:rsidRPr="005556C3">
        <w:rPr>
          <w:bCs/>
          <w:lang w:val="es-ES"/>
        </w:rPr>
        <w:t>toma nota de que las delegaciones de</w:t>
      </w:r>
      <w:r w:rsidRPr="005556C3">
        <w:rPr>
          <w:b/>
          <w:bCs/>
          <w:lang w:val="es-ES"/>
        </w:rPr>
        <w:t xml:space="preserve"> Japón</w:t>
      </w:r>
      <w:r w:rsidRPr="005556C3">
        <w:rPr>
          <w:lang w:val="es-ES"/>
        </w:rPr>
        <w:t xml:space="preserve">, </w:t>
      </w:r>
      <w:r w:rsidRPr="005556C3">
        <w:rPr>
          <w:b/>
          <w:bCs/>
          <w:lang w:val="es-ES"/>
        </w:rPr>
        <w:t>México</w:t>
      </w:r>
      <w:r w:rsidRPr="005556C3">
        <w:rPr>
          <w:lang w:val="es-ES"/>
        </w:rPr>
        <w:t xml:space="preserve">, </w:t>
      </w:r>
      <w:r w:rsidRPr="005556C3">
        <w:rPr>
          <w:b/>
          <w:bCs/>
          <w:lang w:val="es-ES"/>
        </w:rPr>
        <w:t>Qatar</w:t>
      </w:r>
      <w:r w:rsidRPr="005556C3">
        <w:rPr>
          <w:lang w:val="es-ES"/>
        </w:rPr>
        <w:t xml:space="preserve">, la </w:t>
      </w:r>
      <w:r w:rsidRPr="005556C3">
        <w:rPr>
          <w:b/>
          <w:bCs/>
          <w:lang w:val="es-ES"/>
        </w:rPr>
        <w:t>República Islámica de</w:t>
      </w:r>
      <w:r w:rsidR="00C45FC5">
        <w:rPr>
          <w:b/>
          <w:bCs/>
          <w:lang w:val="es-ES"/>
        </w:rPr>
        <w:t>l</w:t>
      </w:r>
      <w:r w:rsidRPr="005556C3">
        <w:rPr>
          <w:b/>
          <w:bCs/>
          <w:lang w:val="es-ES"/>
        </w:rPr>
        <w:t xml:space="preserve"> Irán</w:t>
      </w:r>
      <w:r w:rsidRPr="005556C3">
        <w:rPr>
          <w:lang w:val="es-ES"/>
        </w:rPr>
        <w:t xml:space="preserve">, </w:t>
      </w:r>
      <w:r w:rsidRPr="005556C3">
        <w:rPr>
          <w:b/>
          <w:bCs/>
          <w:lang w:val="es-ES"/>
        </w:rPr>
        <w:t>Iraq</w:t>
      </w:r>
      <w:r w:rsidRPr="005556C3">
        <w:rPr>
          <w:lang w:val="es-ES"/>
        </w:rPr>
        <w:t xml:space="preserve">, </w:t>
      </w:r>
      <w:r w:rsidRPr="005556C3">
        <w:rPr>
          <w:b/>
          <w:bCs/>
          <w:lang w:val="es-ES"/>
        </w:rPr>
        <w:t>Türkïye</w:t>
      </w:r>
      <w:r w:rsidRPr="005556C3">
        <w:rPr>
          <w:lang w:val="es-ES"/>
        </w:rPr>
        <w:t xml:space="preserve">, </w:t>
      </w:r>
      <w:r w:rsidRPr="005556C3">
        <w:rPr>
          <w:b/>
          <w:bCs/>
          <w:lang w:val="es-ES"/>
        </w:rPr>
        <w:t>Azerbaiyán</w:t>
      </w:r>
      <w:r w:rsidRPr="005556C3">
        <w:rPr>
          <w:lang w:val="es-ES"/>
        </w:rPr>
        <w:t xml:space="preserve">, </w:t>
      </w:r>
      <w:r w:rsidR="00B53762" w:rsidRPr="005556C3">
        <w:rPr>
          <w:b/>
          <w:bCs/>
          <w:lang w:val="es-ES"/>
        </w:rPr>
        <w:t>Bahrein</w:t>
      </w:r>
      <w:r w:rsidRPr="005556C3">
        <w:rPr>
          <w:lang w:val="es-ES"/>
        </w:rPr>
        <w:t xml:space="preserve">, </w:t>
      </w:r>
      <w:r w:rsidRPr="005556C3">
        <w:rPr>
          <w:b/>
          <w:bCs/>
          <w:lang w:val="es-ES"/>
        </w:rPr>
        <w:t>Vanuatu</w:t>
      </w:r>
      <w:r w:rsidRPr="005556C3">
        <w:rPr>
          <w:lang w:val="es-ES"/>
        </w:rPr>
        <w:t xml:space="preserve">, </w:t>
      </w:r>
      <w:r w:rsidRPr="005556C3">
        <w:rPr>
          <w:b/>
          <w:bCs/>
          <w:lang w:val="es-ES"/>
        </w:rPr>
        <w:t>Ghana</w:t>
      </w:r>
      <w:r w:rsidRPr="005556C3">
        <w:rPr>
          <w:lang w:val="es-ES"/>
        </w:rPr>
        <w:t xml:space="preserve">, </w:t>
      </w:r>
      <w:r w:rsidRPr="005556C3">
        <w:rPr>
          <w:b/>
          <w:bCs/>
          <w:lang w:val="es-ES"/>
        </w:rPr>
        <w:t>Sudán del Sur</w:t>
      </w:r>
      <w:r w:rsidRPr="005556C3">
        <w:rPr>
          <w:lang w:val="es-ES"/>
        </w:rPr>
        <w:t xml:space="preserve">, </w:t>
      </w:r>
      <w:r w:rsidRPr="005556C3">
        <w:rPr>
          <w:b/>
          <w:bCs/>
          <w:lang w:val="es-ES"/>
        </w:rPr>
        <w:t>Mauricio</w:t>
      </w:r>
      <w:r w:rsidRPr="005556C3">
        <w:rPr>
          <w:lang w:val="es-ES"/>
        </w:rPr>
        <w:t xml:space="preserve">, </w:t>
      </w:r>
      <w:r w:rsidRPr="005556C3">
        <w:rPr>
          <w:b/>
          <w:bCs/>
          <w:lang w:val="es-ES"/>
        </w:rPr>
        <w:t>Túnez</w:t>
      </w:r>
      <w:r w:rsidRPr="005556C3">
        <w:rPr>
          <w:lang w:val="es-ES"/>
        </w:rPr>
        <w:t xml:space="preserve">, </w:t>
      </w:r>
      <w:r w:rsidRPr="005556C3">
        <w:rPr>
          <w:b/>
          <w:bCs/>
          <w:lang w:val="es-ES"/>
        </w:rPr>
        <w:t>Uzbekistán</w:t>
      </w:r>
      <w:r w:rsidRPr="005556C3">
        <w:rPr>
          <w:lang w:val="es-ES"/>
        </w:rPr>
        <w:t xml:space="preserve">, </w:t>
      </w:r>
      <w:r w:rsidRPr="005556C3">
        <w:rPr>
          <w:b/>
          <w:bCs/>
          <w:lang w:val="es-ES"/>
        </w:rPr>
        <w:t>Sudáfrica</w:t>
      </w:r>
      <w:r w:rsidRPr="005556C3">
        <w:rPr>
          <w:lang w:val="es-ES"/>
        </w:rPr>
        <w:t xml:space="preserve">, las </w:t>
      </w:r>
      <w:r w:rsidRPr="005556C3">
        <w:rPr>
          <w:b/>
          <w:bCs/>
          <w:lang w:val="es-ES"/>
        </w:rPr>
        <w:t>Bahamas</w:t>
      </w:r>
      <w:r w:rsidRPr="005556C3">
        <w:rPr>
          <w:lang w:val="es-ES"/>
        </w:rPr>
        <w:t xml:space="preserve">, </w:t>
      </w:r>
      <w:r w:rsidRPr="005556C3">
        <w:rPr>
          <w:b/>
          <w:bCs/>
          <w:lang w:val="es-ES"/>
        </w:rPr>
        <w:t>Francia</w:t>
      </w:r>
      <w:r w:rsidRPr="005556C3">
        <w:rPr>
          <w:lang w:val="es-ES"/>
        </w:rPr>
        <w:t xml:space="preserve">, </w:t>
      </w:r>
      <w:r w:rsidRPr="005556C3">
        <w:rPr>
          <w:b/>
          <w:bCs/>
          <w:lang w:val="es-ES"/>
        </w:rPr>
        <w:t>Tanzan</w:t>
      </w:r>
      <w:r w:rsidR="00C45FC5">
        <w:rPr>
          <w:b/>
          <w:bCs/>
          <w:lang w:val="es-ES"/>
        </w:rPr>
        <w:t>í</w:t>
      </w:r>
      <w:r w:rsidRPr="005556C3">
        <w:rPr>
          <w:b/>
          <w:bCs/>
          <w:lang w:val="es-ES"/>
        </w:rPr>
        <w:t>a</w:t>
      </w:r>
      <w:r w:rsidRPr="005556C3">
        <w:rPr>
          <w:lang w:val="es-ES"/>
        </w:rPr>
        <w:t xml:space="preserve"> y </w:t>
      </w:r>
      <w:r w:rsidRPr="005556C3">
        <w:rPr>
          <w:b/>
          <w:bCs/>
          <w:lang w:val="es-ES"/>
        </w:rPr>
        <w:t>Namibia</w:t>
      </w:r>
      <w:r w:rsidRPr="005556C3">
        <w:rPr>
          <w:lang w:val="es-ES"/>
        </w:rPr>
        <w:t xml:space="preserve"> también solicitan la palabra para expresar mensajes de felicitación.</w:t>
      </w:r>
    </w:p>
    <w:p w14:paraId="578FA136" w14:textId="4D2EC51F" w:rsidR="005556C3" w:rsidRPr="005556C3" w:rsidRDefault="005556C3" w:rsidP="00121510">
      <w:pPr>
        <w:rPr>
          <w:lang w:val="es-ES"/>
        </w:rPr>
      </w:pPr>
      <w:r w:rsidRPr="005556C3">
        <w:rPr>
          <w:lang w:val="es-ES"/>
        </w:rPr>
        <w:t>3.18</w:t>
      </w:r>
      <w:r w:rsidRPr="005556C3">
        <w:rPr>
          <w:lang w:val="es-ES"/>
        </w:rPr>
        <w:tab/>
        <w:t xml:space="preserve">En las distintas intervenciones se expresa un especial agradecimiento al Presidente y a su equipo, al personal de la UIT, al personal local y técnico y a los voluntarios. También se pronuncian palabras de agradecimiento a los presidentes y vicepresidentes de las comisiones y grupos </w:t>
      </w:r>
      <w:r w:rsidRPr="007B281C">
        <w:rPr>
          <w:i/>
          <w:iCs/>
          <w:lang w:val="es-ES"/>
        </w:rPr>
        <w:t>ad hoc</w:t>
      </w:r>
      <w:r w:rsidRPr="005556C3">
        <w:rPr>
          <w:lang w:val="es-ES"/>
        </w:rPr>
        <w:t>, así como a los coordinadores regionales. Varios delegados elogian el espíritu de consenso y cooperación que ha permitido adoptar una serie de nuevas e importantes resoluciones. Expresan su gratitud por la sabia gestión del tiempo y los métodos de trabajo aplicados durante la conferencia, que ha completado sus trabajos en el plazo previsto y sin necesidad de sesiones nocturnas adicionales, y por la atención prestada a la igualdad, la inclusión, incluyendo la promoción de la participación de las mujeres y los jóvenes, y la sostenibilidad. Se rinde homenaje a los cargos electos salientes y se transmiten palabras de bienvenida y agradecimiento al equipo directivo recién elegido, en particular a la Secretaria General electa, la primera mujer que ocupa ese cargo en la historia de la Unión. Una vez concluidos con éxito los trabajos de la Conferencia de Plenipotenciarios, el siguiente reto para la UIT es traducir los resultados de dicha conferencia en acciones, aplicando las nuevas resoluciones y decisiones, con el fin de cumplir el compromiso de la Unión de conectar a los que no están conectados.</w:t>
      </w:r>
    </w:p>
    <w:p w14:paraId="3C286996" w14:textId="77777777" w:rsidR="005556C3" w:rsidRPr="005556C3" w:rsidRDefault="005556C3" w:rsidP="00121510">
      <w:pPr>
        <w:rPr>
          <w:lang w:val="es-ES"/>
        </w:rPr>
      </w:pPr>
      <w:r w:rsidRPr="005556C3">
        <w:rPr>
          <w:lang w:val="es-ES"/>
        </w:rPr>
        <w:t>3.19</w:t>
      </w:r>
      <w:r w:rsidRPr="005556C3">
        <w:rPr>
          <w:lang w:val="es-ES"/>
        </w:rPr>
        <w:tab/>
      </w:r>
      <w:r w:rsidRPr="00C45FC5">
        <w:rPr>
          <w:b/>
          <w:bCs/>
        </w:rPr>
        <w:t>Se proyecta un vídeo con los momentos destacados de las tres semanas de la Conferencia</w:t>
      </w:r>
      <w:r w:rsidRPr="00C45FC5">
        <w:rPr>
          <w:b/>
          <w:bCs/>
          <w:lang w:val="es-ES"/>
        </w:rPr>
        <w:t>.</w:t>
      </w:r>
    </w:p>
    <w:p w14:paraId="75677894" w14:textId="5528A48C" w:rsidR="005556C3" w:rsidRPr="005556C3" w:rsidRDefault="005556C3" w:rsidP="00C45FC5">
      <w:pPr>
        <w:keepNext/>
        <w:keepLines/>
        <w:rPr>
          <w:lang w:val="es-ES"/>
        </w:rPr>
      </w:pPr>
      <w:r w:rsidRPr="005556C3">
        <w:rPr>
          <w:lang w:val="es-ES"/>
        </w:rPr>
        <w:lastRenderedPageBreak/>
        <w:t>3.20</w:t>
      </w:r>
      <w:r w:rsidRPr="005556C3">
        <w:rPr>
          <w:lang w:val="es-ES"/>
        </w:rPr>
        <w:tab/>
      </w:r>
      <w:r w:rsidRPr="005556C3">
        <w:t xml:space="preserve">El </w:t>
      </w:r>
      <w:r w:rsidRPr="005556C3">
        <w:rPr>
          <w:b/>
          <w:bCs/>
        </w:rPr>
        <w:t>Presidente</w:t>
      </w:r>
      <w:r w:rsidRPr="005556C3">
        <w:t>, tras dar las gracias a todos los participantes, declara clausurada la Conferencia de Plenipotenciarios de 2022 de la Unión Internacional de Telecomunicaciones</w:t>
      </w:r>
      <w:r w:rsidRPr="005556C3">
        <w:rPr>
          <w:lang w:val="es-ES"/>
        </w:rPr>
        <w:t xml:space="preserve"> (Bucarest, 2022).</w:t>
      </w:r>
    </w:p>
    <w:p w14:paraId="1D89C4D9" w14:textId="1C01FA96" w:rsidR="005556C3" w:rsidRPr="005556C3" w:rsidRDefault="005556C3" w:rsidP="00C45FC5">
      <w:pPr>
        <w:keepNext/>
        <w:keepLines/>
        <w:rPr>
          <w:b/>
          <w:bCs/>
          <w:lang w:val="es-ES"/>
        </w:rPr>
      </w:pPr>
      <w:r w:rsidRPr="005556C3">
        <w:rPr>
          <w:b/>
          <w:bCs/>
          <w:lang w:val="es-ES"/>
        </w:rPr>
        <w:t>Se levanta la reunión a las 18:35</w:t>
      </w:r>
      <w:r w:rsidR="00B53762">
        <w:rPr>
          <w:b/>
          <w:bCs/>
          <w:lang w:val="es-ES"/>
        </w:rPr>
        <w:t> </w:t>
      </w:r>
      <w:r w:rsidRPr="005556C3">
        <w:rPr>
          <w:b/>
          <w:bCs/>
          <w:lang w:val="es-ES"/>
        </w:rPr>
        <w:t>horas</w:t>
      </w:r>
      <w:r w:rsidR="00C45FC5" w:rsidRPr="00C45FC5">
        <w:rPr>
          <w:b/>
          <w:bCs/>
          <w:lang w:val="es-ES"/>
        </w:rPr>
        <w:t>.</w:t>
      </w:r>
    </w:p>
    <w:p w14:paraId="2221B34E" w14:textId="4CEDA86C" w:rsidR="005556C3" w:rsidRDefault="005556C3" w:rsidP="00121510">
      <w:pPr>
        <w:tabs>
          <w:tab w:val="clear" w:pos="851"/>
          <w:tab w:val="clear" w:pos="1134"/>
          <w:tab w:val="clear" w:pos="1701"/>
          <w:tab w:val="clear" w:pos="2268"/>
          <w:tab w:val="clear" w:pos="2835"/>
          <w:tab w:val="left" w:pos="7230"/>
        </w:tabs>
        <w:spacing w:before="1080"/>
        <w:rPr>
          <w:lang w:val="es-ES"/>
        </w:rPr>
      </w:pPr>
      <w:r w:rsidRPr="005556C3">
        <w:rPr>
          <w:lang w:val="es-ES"/>
        </w:rPr>
        <w:t xml:space="preserve">El </w:t>
      </w:r>
      <w:proofErr w:type="gramStart"/>
      <w:r w:rsidRPr="005556C3">
        <w:rPr>
          <w:lang w:val="es-ES"/>
        </w:rPr>
        <w:t>Secretario General</w:t>
      </w:r>
      <w:proofErr w:type="gramEnd"/>
      <w:r w:rsidRPr="005556C3">
        <w:rPr>
          <w:lang w:val="es-ES"/>
        </w:rPr>
        <w:t>:</w:t>
      </w:r>
      <w:r w:rsidRPr="005556C3">
        <w:rPr>
          <w:lang w:val="es-ES"/>
        </w:rPr>
        <w:tab/>
        <w:t>El Presidente:</w:t>
      </w:r>
      <w:r w:rsidR="00121510">
        <w:rPr>
          <w:lang w:val="es-ES"/>
        </w:rPr>
        <w:br/>
      </w:r>
      <w:r w:rsidRPr="005556C3">
        <w:rPr>
          <w:lang w:val="es-ES"/>
        </w:rPr>
        <w:t>H. ZHAO</w:t>
      </w:r>
      <w:r w:rsidRPr="005556C3">
        <w:rPr>
          <w:lang w:val="es-ES"/>
        </w:rPr>
        <w:tab/>
      </w:r>
      <w:r w:rsidR="00C45FC5" w:rsidRPr="00C45FC5">
        <w:rPr>
          <w:lang w:val="es-ES"/>
        </w:rPr>
        <w:t>S. SĂRMAȘ</w:t>
      </w:r>
    </w:p>
    <w:p w14:paraId="54630B27" w14:textId="255ADDD4" w:rsidR="00046193" w:rsidRPr="005556C3" w:rsidRDefault="00046193" w:rsidP="00046193">
      <w:pPr>
        <w:tabs>
          <w:tab w:val="clear" w:pos="851"/>
          <w:tab w:val="clear" w:pos="1134"/>
          <w:tab w:val="clear" w:pos="1701"/>
          <w:tab w:val="clear" w:pos="2268"/>
          <w:tab w:val="clear" w:pos="2835"/>
          <w:tab w:val="left" w:pos="7230"/>
        </w:tabs>
        <w:spacing w:before="1080"/>
        <w:jc w:val="center"/>
        <w:rPr>
          <w:lang w:val="es-ES"/>
        </w:rPr>
      </w:pPr>
      <w:r>
        <w:rPr>
          <w:rFonts w:asciiTheme="minorEastAsia" w:eastAsiaTheme="minorEastAsia" w:hAnsiTheme="minorEastAsia" w:hint="eastAsia"/>
          <w:lang w:val="es-ES" w:eastAsia="zh-CN"/>
        </w:rPr>
        <w:t>_</w:t>
      </w:r>
      <w:r>
        <w:rPr>
          <w:rFonts w:asciiTheme="minorEastAsia" w:eastAsiaTheme="minorEastAsia" w:hAnsiTheme="minorEastAsia"/>
          <w:lang w:val="es-ES" w:eastAsia="zh-CN"/>
        </w:rPr>
        <w:t>_________________</w:t>
      </w:r>
    </w:p>
    <w:sectPr w:rsidR="00046193" w:rsidRPr="005556C3" w:rsidSect="00A70E95">
      <w:headerReference w:type="default" r:id="rId16"/>
      <w:footerReference w:type="default" r:id="rId17"/>
      <w:footerReference w:type="first" r:id="rId18"/>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70F57" w14:textId="77777777" w:rsidR="00C84A65" w:rsidRDefault="00C84A65">
      <w:r>
        <w:separator/>
      </w:r>
    </w:p>
  </w:endnote>
  <w:endnote w:type="continuationSeparator" w:id="0">
    <w:p w14:paraId="7115444A" w14:textId="77777777" w:rsidR="00C84A65" w:rsidRDefault="00C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C4C9" w14:textId="0EBFE45C" w:rsidR="00770EA5" w:rsidRDefault="00F82A68" w:rsidP="00770EA5">
    <w:pPr>
      <w:pStyle w:val="Footer"/>
    </w:pPr>
    <w:r>
      <w:fldChar w:fldCharType="begin"/>
    </w:r>
    <w:r>
      <w:instrText xml:space="preserve"> FILENAME \p  \* MERGEFORMAT </w:instrText>
    </w:r>
    <w:r>
      <w:fldChar w:fldCharType="separate"/>
    </w:r>
    <w:r w:rsidR="00770EA5">
      <w:t>P:\ESP\SG\CONF-SG\PP22\200\209S.docx</w:t>
    </w:r>
    <w:r>
      <w:fldChar w:fldCharType="end"/>
    </w:r>
    <w:r w:rsidR="00770EA5">
      <w:t xml:space="preserve"> (515643)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EDA9" w14:textId="180256C0" w:rsidR="004B07DB" w:rsidRPr="00770EA5" w:rsidRDefault="004B07DB" w:rsidP="00770EA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B64373" w:rsidRPr="00D75620">
        <w:rPr>
          <w:rStyle w:val="Hyperlink"/>
          <w:sz w:val="22"/>
          <w:szCs w:val="22"/>
          <w:lang w:val="en-GB"/>
        </w:rPr>
        <w:t>www.itu.int/plenipotentiary/</w:t>
      </w:r>
    </w:hyperlink>
    <w:r w:rsidR="00B64373">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2352C" w14:textId="77777777" w:rsidR="00C84A65" w:rsidRDefault="00C84A65">
      <w:r>
        <w:t>____________________</w:t>
      </w:r>
    </w:p>
  </w:footnote>
  <w:footnote w:type="continuationSeparator" w:id="0">
    <w:p w14:paraId="43F5DD3A" w14:textId="77777777" w:rsidR="00C84A65" w:rsidRDefault="00C84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64C7"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6D6C2C56" w14:textId="12112037" w:rsidR="00255FA1" w:rsidRDefault="00255FA1" w:rsidP="00C43474">
    <w:pPr>
      <w:pStyle w:val="Header"/>
    </w:pPr>
    <w:r>
      <w:rPr>
        <w:lang w:val="en-US"/>
      </w:rPr>
      <w:t>PP</w:t>
    </w:r>
    <w:r w:rsidR="009D1BE0">
      <w:rPr>
        <w:lang w:val="en-US"/>
      </w:rPr>
      <w:t>22</w:t>
    </w:r>
    <w:r>
      <w:t>/</w:t>
    </w:r>
    <w:r w:rsidR="00121510">
      <w:t>209</w:t>
    </w:r>
    <w:r w:rsidR="009A443B">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46193"/>
    <w:rsid w:val="000507CA"/>
    <w:rsid w:val="000863AB"/>
    <w:rsid w:val="000A1523"/>
    <w:rsid w:val="000B1752"/>
    <w:rsid w:val="0010546D"/>
    <w:rsid w:val="00121510"/>
    <w:rsid w:val="00135F93"/>
    <w:rsid w:val="001632E3"/>
    <w:rsid w:val="001D4983"/>
    <w:rsid w:val="001D6EC3"/>
    <w:rsid w:val="001D787B"/>
    <w:rsid w:val="001E3D06"/>
    <w:rsid w:val="00225F6B"/>
    <w:rsid w:val="00237C17"/>
    <w:rsid w:val="00242376"/>
    <w:rsid w:val="00255FA1"/>
    <w:rsid w:val="00262FF4"/>
    <w:rsid w:val="002C6527"/>
    <w:rsid w:val="002E44FC"/>
    <w:rsid w:val="003707E5"/>
    <w:rsid w:val="00375610"/>
    <w:rsid w:val="00391611"/>
    <w:rsid w:val="003D0027"/>
    <w:rsid w:val="003E6E73"/>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56C3"/>
    <w:rsid w:val="00556958"/>
    <w:rsid w:val="005654A2"/>
    <w:rsid w:val="00567ED5"/>
    <w:rsid w:val="005772E1"/>
    <w:rsid w:val="005D1164"/>
    <w:rsid w:val="005D6488"/>
    <w:rsid w:val="005F6278"/>
    <w:rsid w:val="00601280"/>
    <w:rsid w:val="00641DBD"/>
    <w:rsid w:val="006426C0"/>
    <w:rsid w:val="006455D2"/>
    <w:rsid w:val="006537F3"/>
    <w:rsid w:val="006B5512"/>
    <w:rsid w:val="006C190D"/>
    <w:rsid w:val="00704874"/>
    <w:rsid w:val="00720686"/>
    <w:rsid w:val="00737EFF"/>
    <w:rsid w:val="00750806"/>
    <w:rsid w:val="00770EA5"/>
    <w:rsid w:val="007875D2"/>
    <w:rsid w:val="007B281C"/>
    <w:rsid w:val="007D61E2"/>
    <w:rsid w:val="007F6EBC"/>
    <w:rsid w:val="00882773"/>
    <w:rsid w:val="008B4706"/>
    <w:rsid w:val="008B6676"/>
    <w:rsid w:val="008C3FA8"/>
    <w:rsid w:val="008E51C5"/>
    <w:rsid w:val="008F7109"/>
    <w:rsid w:val="009107B0"/>
    <w:rsid w:val="009220DE"/>
    <w:rsid w:val="00930E84"/>
    <w:rsid w:val="0099270D"/>
    <w:rsid w:val="0099551E"/>
    <w:rsid w:val="009A1A86"/>
    <w:rsid w:val="009A443B"/>
    <w:rsid w:val="009D1BE0"/>
    <w:rsid w:val="009E0C42"/>
    <w:rsid w:val="009F0EA7"/>
    <w:rsid w:val="00A70E95"/>
    <w:rsid w:val="00AA1F73"/>
    <w:rsid w:val="00AB34CA"/>
    <w:rsid w:val="00AD400E"/>
    <w:rsid w:val="00AF0DC5"/>
    <w:rsid w:val="00B012B7"/>
    <w:rsid w:val="00B30C52"/>
    <w:rsid w:val="00B501AB"/>
    <w:rsid w:val="00B53762"/>
    <w:rsid w:val="00B64373"/>
    <w:rsid w:val="00B722CF"/>
    <w:rsid w:val="00B73978"/>
    <w:rsid w:val="00B77C4D"/>
    <w:rsid w:val="00BB13FE"/>
    <w:rsid w:val="00BC7EE2"/>
    <w:rsid w:val="00BF5475"/>
    <w:rsid w:val="00C20ED7"/>
    <w:rsid w:val="00C42D2D"/>
    <w:rsid w:val="00C43474"/>
    <w:rsid w:val="00C45FC5"/>
    <w:rsid w:val="00C61A48"/>
    <w:rsid w:val="00C80F8F"/>
    <w:rsid w:val="00C84355"/>
    <w:rsid w:val="00C84A65"/>
    <w:rsid w:val="00CA3051"/>
    <w:rsid w:val="00CD20D9"/>
    <w:rsid w:val="00CD701A"/>
    <w:rsid w:val="00CF4156"/>
    <w:rsid w:val="00D05AAE"/>
    <w:rsid w:val="00D05E6B"/>
    <w:rsid w:val="00D254A6"/>
    <w:rsid w:val="00D42B55"/>
    <w:rsid w:val="00D57D70"/>
    <w:rsid w:val="00E05D81"/>
    <w:rsid w:val="00E53DFC"/>
    <w:rsid w:val="00E66FC3"/>
    <w:rsid w:val="00E677DD"/>
    <w:rsid w:val="00E77F17"/>
    <w:rsid w:val="00E809D8"/>
    <w:rsid w:val="00E921EC"/>
    <w:rsid w:val="00EB23D0"/>
    <w:rsid w:val="00EC395A"/>
    <w:rsid w:val="00F01632"/>
    <w:rsid w:val="00F04858"/>
    <w:rsid w:val="00F13AA4"/>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7239E2"/>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510"/>
    <w:pPr>
      <w:tabs>
        <w:tab w:val="left" w:pos="851"/>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121510"/>
    <w:pPr>
      <w:keepNext/>
      <w:keepLines/>
      <w:spacing w:before="480"/>
      <w:ind w:left="851" w:hanging="851"/>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1134"/>
        <w:tab w:val="clear" w:pos="1701"/>
        <w:tab w:val="clear" w:pos="2268"/>
        <w:tab w:val="clear" w:pos="2835"/>
      </w:tabs>
      <w:jc w:val="left"/>
    </w:pPr>
    <w:rPr>
      <w:b/>
      <w:sz w:val="24"/>
    </w:rPr>
  </w:style>
  <w:style w:type="paragraph" w:customStyle="1" w:styleId="AnnexrefS2">
    <w:name w:val="Annex_ref_S2"/>
    <w:basedOn w:val="Annexref"/>
    <w:next w:val="AnnextitleS2"/>
    <w:rsid w:val="00BB13FE"/>
    <w:pPr>
      <w:tabs>
        <w:tab w:val="clear" w:pos="1134"/>
        <w:tab w:val="clear" w:pos="1701"/>
        <w:tab w:val="clear" w:pos="2268"/>
        <w:tab w:val="clear" w:pos="2835"/>
      </w:tabs>
      <w:jc w:val="left"/>
    </w:pPr>
    <w:rPr>
      <w:b/>
      <w:sz w:val="24"/>
    </w:rPr>
  </w:style>
  <w:style w:type="paragraph" w:customStyle="1" w:styleId="AnnextitleS2">
    <w:name w:val="Annex_title_S2"/>
    <w:basedOn w:val="Annextitle"/>
    <w:next w:val="NormalS2"/>
    <w:rsid w:val="00BB13FE"/>
    <w:pPr>
      <w:tabs>
        <w:tab w:val="clear" w:pos="1134"/>
        <w:tab w:val="clear" w:pos="1701"/>
        <w:tab w:val="clear" w:pos="2268"/>
        <w:tab w:val="clear" w:pos="2835"/>
      </w:tabs>
      <w:jc w:val="left"/>
    </w:pPr>
    <w:rPr>
      <w:sz w:val="24"/>
    </w:rPr>
  </w:style>
  <w:style w:type="paragraph" w:customStyle="1" w:styleId="NormalS2">
    <w:name w:val="Normal_S2"/>
    <w:basedOn w:val="Normal"/>
    <w:rsid w:val="00A70E95"/>
    <w:pPr>
      <w:tabs>
        <w:tab w:val="clear" w:pos="1134"/>
        <w:tab w:val="clear" w:pos="1701"/>
        <w:tab w:val="clear" w:pos="2268"/>
        <w:tab w:val="clear" w:pos="2835"/>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1134"/>
        <w:tab w:val="clear" w:pos="1701"/>
        <w:tab w:val="clear" w:pos="2268"/>
        <w:tab w:val="clear" w:pos="2835"/>
      </w:tabs>
      <w:jc w:val="left"/>
    </w:pPr>
    <w:rPr>
      <w:b/>
      <w:sz w:val="24"/>
    </w:rPr>
  </w:style>
  <w:style w:type="paragraph" w:customStyle="1" w:styleId="AppendixrefS2">
    <w:name w:val="Appendix_ref_S2"/>
    <w:basedOn w:val="Appendixref"/>
    <w:next w:val="AnnextitleS2"/>
    <w:rsid w:val="00BB13FE"/>
    <w:pPr>
      <w:tabs>
        <w:tab w:val="clear" w:pos="1134"/>
        <w:tab w:val="clear" w:pos="1701"/>
        <w:tab w:val="clear" w:pos="2268"/>
        <w:tab w:val="clear" w:pos="2835"/>
      </w:tabs>
      <w:jc w:val="left"/>
    </w:pPr>
    <w:rPr>
      <w:b/>
      <w:sz w:val="24"/>
    </w:rPr>
  </w:style>
  <w:style w:type="paragraph" w:customStyle="1" w:styleId="AppendixtitleS2">
    <w:name w:val="Appendix_title_S2"/>
    <w:basedOn w:val="Appendixtitle"/>
    <w:next w:val="NormalS2"/>
    <w:rsid w:val="00BB13FE"/>
    <w:pPr>
      <w:tabs>
        <w:tab w:val="clear" w:pos="1134"/>
        <w:tab w:val="clear" w:pos="1701"/>
        <w:tab w:val="clear" w:pos="2268"/>
        <w:tab w:val="clear" w:pos="2835"/>
      </w:tabs>
      <w:jc w:val="left"/>
    </w:pPr>
    <w:rPr>
      <w:sz w:val="24"/>
    </w:rPr>
  </w:style>
  <w:style w:type="paragraph" w:customStyle="1" w:styleId="ArtNoS2">
    <w:name w:val="Art_No_S2"/>
    <w:basedOn w:val="ArtNo"/>
    <w:next w:val="ArttitleS2"/>
    <w:rsid w:val="00BB13FE"/>
    <w:pPr>
      <w:jc w:val="left"/>
    </w:pPr>
    <w:rPr>
      <w:b/>
      <w:sz w:val="24"/>
    </w:rPr>
  </w:style>
  <w:style w:type="paragraph" w:customStyle="1" w:styleId="ArttitleS2">
    <w:name w:val="Art_title_S2"/>
    <w:basedOn w:val="Arttitle"/>
    <w:next w:val="NormalS2"/>
    <w:rsid w:val="00BB13FE"/>
    <w:pPr>
      <w:jc w:val="left"/>
    </w:pPr>
    <w:rPr>
      <w:sz w:val="24"/>
    </w:rPr>
  </w:style>
  <w:style w:type="paragraph" w:customStyle="1" w:styleId="ChapNoS2">
    <w:name w:val="Chap_No_S2"/>
    <w:basedOn w:val="ChapNo"/>
    <w:next w:val="ChaptitleS2"/>
    <w:rsid w:val="004A63A9"/>
    <w:pPr>
      <w:jc w:val="left"/>
    </w:pPr>
    <w:rPr>
      <w:b/>
      <w:sz w:val="24"/>
    </w:rPr>
  </w:style>
  <w:style w:type="paragraph" w:customStyle="1" w:styleId="ChaptitleS2">
    <w:name w:val="Chap_title_S2"/>
    <w:basedOn w:val="Chaptitle"/>
    <w:next w:val="NormalS2"/>
    <w:rsid w:val="00BB13FE"/>
    <w:pPr>
      <w:jc w:val="left"/>
    </w:pPr>
    <w:rPr>
      <w:sz w:val="24"/>
    </w:rPr>
  </w:style>
  <w:style w:type="paragraph" w:customStyle="1" w:styleId="enumlev1S2">
    <w:name w:val="enumlev1_S2"/>
    <w:basedOn w:val="enumlev1"/>
    <w:rsid w:val="00A70E95"/>
    <w:pPr>
      <w:tabs>
        <w:tab w:val="clear" w:pos="1134"/>
        <w:tab w:val="clear" w:pos="1701"/>
        <w:tab w:val="clear" w:pos="2268"/>
        <w:tab w:val="clear" w:pos="2835"/>
      </w:tabs>
      <w:ind w:left="0" w:firstLine="0"/>
    </w:pPr>
    <w:rPr>
      <w:b/>
    </w:rPr>
  </w:style>
  <w:style w:type="paragraph" w:customStyle="1" w:styleId="enumlev2S2">
    <w:name w:val="enumlev2_S2"/>
    <w:basedOn w:val="enumlev2"/>
    <w:rsid w:val="00A70E95"/>
    <w:pPr>
      <w:tabs>
        <w:tab w:val="clear" w:pos="1134"/>
        <w:tab w:val="clear" w:pos="1701"/>
        <w:tab w:val="clear" w:pos="2268"/>
        <w:tab w:val="clear" w:pos="2835"/>
      </w:tabs>
      <w:ind w:left="0" w:firstLine="0"/>
    </w:pPr>
    <w:rPr>
      <w:b/>
    </w:rPr>
  </w:style>
  <w:style w:type="paragraph" w:customStyle="1" w:styleId="enumlev3S2">
    <w:name w:val="enumlev3_S2"/>
    <w:basedOn w:val="enumlev3"/>
    <w:rsid w:val="00A70E95"/>
    <w:pPr>
      <w:tabs>
        <w:tab w:val="clear" w:pos="1134"/>
        <w:tab w:val="clear" w:pos="1701"/>
        <w:tab w:val="clear" w:pos="2268"/>
        <w:tab w:val="clear" w:pos="2835"/>
      </w:tabs>
      <w:ind w:left="0" w:firstLine="0"/>
    </w:pPr>
    <w:rPr>
      <w:b/>
    </w:rPr>
  </w:style>
  <w:style w:type="paragraph" w:customStyle="1" w:styleId="FootnoteTextS2">
    <w:name w:val="Footnote Text_S2"/>
    <w:basedOn w:val="FootnoteText"/>
    <w:rsid w:val="00A70E95"/>
    <w:pPr>
      <w:tabs>
        <w:tab w:val="clear" w:pos="256"/>
        <w:tab w:val="clear" w:pos="1134"/>
        <w:tab w:val="clear" w:pos="1701"/>
        <w:tab w:val="clear" w:pos="2268"/>
        <w:tab w:val="clear" w:pos="2835"/>
      </w:tabs>
      <w:ind w:left="0" w:firstLine="0"/>
    </w:pPr>
    <w:rPr>
      <w:b/>
    </w:rPr>
  </w:style>
  <w:style w:type="paragraph" w:customStyle="1" w:styleId="Heading1S2">
    <w:name w:val="Heading 1_S2"/>
    <w:basedOn w:val="Heading1"/>
    <w:next w:val="NormalS2"/>
    <w:rsid w:val="00BB13FE"/>
    <w:pPr>
      <w:tabs>
        <w:tab w:val="clear" w:pos="1134"/>
        <w:tab w:val="clear" w:pos="1701"/>
        <w:tab w:val="clear" w:pos="2268"/>
        <w:tab w:val="clear" w:pos="2835"/>
      </w:tabs>
      <w:ind w:left="0" w:firstLine="0"/>
      <w:outlineLvl w:val="9"/>
    </w:pPr>
    <w:rPr>
      <w:sz w:val="24"/>
    </w:rPr>
  </w:style>
  <w:style w:type="paragraph" w:customStyle="1" w:styleId="Heading2S2">
    <w:name w:val="Heading 2_S2"/>
    <w:basedOn w:val="Heading2"/>
    <w:next w:val="NormalS2"/>
    <w:rsid w:val="00A70E95"/>
    <w:pPr>
      <w:tabs>
        <w:tab w:val="clear" w:pos="1134"/>
        <w:tab w:val="clear" w:pos="1701"/>
        <w:tab w:val="clear" w:pos="2268"/>
        <w:tab w:val="clear" w:pos="2835"/>
      </w:tabs>
    </w:pPr>
  </w:style>
  <w:style w:type="paragraph" w:customStyle="1" w:styleId="Heading3S2">
    <w:name w:val="Heading 3_S2"/>
    <w:basedOn w:val="Heading3"/>
    <w:next w:val="NormalS2"/>
    <w:rsid w:val="00BB13FE"/>
    <w:pPr>
      <w:tabs>
        <w:tab w:val="clear" w:pos="1134"/>
        <w:tab w:val="clear" w:pos="1701"/>
        <w:tab w:val="clear" w:pos="2268"/>
        <w:tab w:val="clear" w:pos="2835"/>
      </w:tabs>
    </w:pPr>
  </w:style>
  <w:style w:type="paragraph" w:customStyle="1" w:styleId="Heading4S2">
    <w:name w:val="Heading 4_S2"/>
    <w:basedOn w:val="Heading4"/>
    <w:next w:val="NormalS2"/>
    <w:rsid w:val="00A70E95"/>
    <w:pPr>
      <w:tabs>
        <w:tab w:val="clear" w:pos="1134"/>
        <w:tab w:val="clear" w:pos="1701"/>
        <w:tab w:val="clear" w:pos="2268"/>
        <w:tab w:val="clear" w:pos="2835"/>
      </w:tabs>
    </w:pPr>
  </w:style>
  <w:style w:type="paragraph" w:customStyle="1" w:styleId="Heading5S2">
    <w:name w:val="Heading 5_S2"/>
    <w:basedOn w:val="Heading5"/>
    <w:next w:val="NormalS2"/>
    <w:rsid w:val="00A70E95"/>
    <w:pPr>
      <w:tabs>
        <w:tab w:val="clear" w:pos="1134"/>
        <w:tab w:val="clear" w:pos="1701"/>
        <w:tab w:val="clear" w:pos="2268"/>
        <w:tab w:val="clear" w:pos="2835"/>
      </w:tabs>
    </w:pPr>
  </w:style>
  <w:style w:type="paragraph" w:customStyle="1" w:styleId="Heading6S2">
    <w:name w:val="Heading 6_S2"/>
    <w:basedOn w:val="Heading6"/>
    <w:next w:val="NormalS2"/>
    <w:rsid w:val="00A70E95"/>
    <w:pPr>
      <w:tabs>
        <w:tab w:val="clear" w:pos="1134"/>
        <w:tab w:val="clear" w:pos="1701"/>
        <w:tab w:val="clear" w:pos="2268"/>
        <w:tab w:val="clear" w:pos="2835"/>
      </w:tabs>
    </w:pPr>
  </w:style>
  <w:style w:type="paragraph" w:customStyle="1" w:styleId="Heading7S2">
    <w:name w:val="Heading 7_S2"/>
    <w:basedOn w:val="Heading7"/>
    <w:next w:val="NormalS2"/>
    <w:rsid w:val="00A70E95"/>
    <w:pPr>
      <w:tabs>
        <w:tab w:val="clear" w:pos="1134"/>
        <w:tab w:val="clear" w:pos="1701"/>
        <w:tab w:val="clear" w:pos="2268"/>
        <w:tab w:val="clear" w:pos="2835"/>
      </w:tabs>
    </w:pPr>
  </w:style>
  <w:style w:type="paragraph" w:customStyle="1" w:styleId="Heading8S2">
    <w:name w:val="Heading 8_S2"/>
    <w:basedOn w:val="Heading8"/>
    <w:next w:val="NormalS2"/>
    <w:rsid w:val="00A70E95"/>
    <w:pPr>
      <w:tabs>
        <w:tab w:val="clear" w:pos="1134"/>
        <w:tab w:val="clear" w:pos="1701"/>
        <w:tab w:val="clear" w:pos="2268"/>
        <w:tab w:val="clear" w:pos="2835"/>
      </w:tabs>
    </w:pPr>
  </w:style>
  <w:style w:type="paragraph" w:customStyle="1" w:styleId="Heading9S2">
    <w:name w:val="Heading 9_S2"/>
    <w:basedOn w:val="Heading9"/>
    <w:next w:val="NormalS2"/>
    <w:rsid w:val="00A70E95"/>
    <w:pPr>
      <w:tabs>
        <w:tab w:val="clear" w:pos="1134"/>
        <w:tab w:val="clear" w:pos="1701"/>
        <w:tab w:val="clear" w:pos="2268"/>
        <w:tab w:val="clear" w:pos="2835"/>
      </w:tabs>
    </w:pPr>
  </w:style>
  <w:style w:type="paragraph" w:customStyle="1" w:styleId="NormalaftertitleS2">
    <w:name w:val="Normal after title_S2"/>
    <w:basedOn w:val="Normalaftertitle"/>
    <w:next w:val="NormalS2"/>
    <w:rsid w:val="00A70E95"/>
    <w:pPr>
      <w:keepNext/>
      <w:keepLines/>
      <w:tabs>
        <w:tab w:val="clear" w:pos="1134"/>
        <w:tab w:val="clear" w:pos="1701"/>
        <w:tab w:val="clear" w:pos="2268"/>
        <w:tab w:val="clear" w:pos="2835"/>
      </w:tabs>
    </w:pPr>
    <w:rPr>
      <w:b/>
    </w:rPr>
  </w:style>
  <w:style w:type="paragraph" w:customStyle="1" w:styleId="NormalIndentS2">
    <w:name w:val="Normal Indent_S2"/>
    <w:basedOn w:val="NormalIndent"/>
    <w:rsid w:val="00A70E95"/>
    <w:pPr>
      <w:tabs>
        <w:tab w:val="clear" w:pos="1134"/>
        <w:tab w:val="clear" w:pos="1701"/>
        <w:tab w:val="clear" w:pos="2268"/>
        <w:tab w:val="clear" w:pos="2835"/>
      </w:tabs>
      <w:ind w:left="0"/>
    </w:pPr>
    <w:rPr>
      <w:b/>
    </w:rPr>
  </w:style>
  <w:style w:type="paragraph" w:customStyle="1" w:styleId="ReasonsS2">
    <w:name w:val="Reasons_S2"/>
    <w:basedOn w:val="Reasons"/>
    <w:rsid w:val="00A70E95"/>
    <w:pPr>
      <w:tabs>
        <w:tab w:val="clear" w:pos="1134"/>
        <w:tab w:val="clear" w:pos="1701"/>
        <w:tab w:val="clear" w:pos="2268"/>
        <w:tab w:val="clear" w:pos="2835"/>
      </w:tabs>
    </w:pPr>
    <w:rPr>
      <w:b/>
    </w:rPr>
  </w:style>
  <w:style w:type="paragraph" w:customStyle="1" w:styleId="RecNoS2">
    <w:name w:val="Rec_No_S2"/>
    <w:basedOn w:val="RecNo"/>
    <w:next w:val="RectitleS2"/>
    <w:rsid w:val="00BB13FE"/>
    <w:pPr>
      <w:tabs>
        <w:tab w:val="clear" w:pos="1134"/>
        <w:tab w:val="clear" w:pos="1701"/>
        <w:tab w:val="clear" w:pos="2268"/>
        <w:tab w:val="clear" w:pos="2835"/>
      </w:tabs>
      <w:jc w:val="left"/>
    </w:pPr>
    <w:rPr>
      <w:b/>
      <w:sz w:val="24"/>
    </w:rPr>
  </w:style>
  <w:style w:type="paragraph" w:customStyle="1" w:styleId="RectitleS2">
    <w:name w:val="Rec_title_S2"/>
    <w:basedOn w:val="Rectitle"/>
    <w:next w:val="Heading1S2"/>
    <w:rsid w:val="00BB13FE"/>
    <w:pPr>
      <w:tabs>
        <w:tab w:val="clear" w:pos="1134"/>
        <w:tab w:val="clear" w:pos="1701"/>
        <w:tab w:val="clear" w:pos="2268"/>
        <w:tab w:val="clear" w:pos="2835"/>
      </w:tabs>
      <w:jc w:val="left"/>
    </w:pPr>
    <w:rPr>
      <w:caps/>
      <w:sz w:val="24"/>
    </w:rPr>
  </w:style>
  <w:style w:type="paragraph" w:customStyle="1" w:styleId="ReftextS2">
    <w:name w:val="Ref_text_S2"/>
    <w:basedOn w:val="Reftext"/>
    <w:rsid w:val="00A70E95"/>
    <w:pPr>
      <w:tabs>
        <w:tab w:val="clear" w:pos="1134"/>
        <w:tab w:val="clear" w:pos="1701"/>
        <w:tab w:val="clear" w:pos="2268"/>
        <w:tab w:val="clear" w:pos="2835"/>
      </w:tabs>
      <w:ind w:left="0" w:firstLine="0"/>
    </w:pPr>
    <w:rPr>
      <w:b/>
    </w:rPr>
  </w:style>
  <w:style w:type="paragraph" w:customStyle="1" w:styleId="ReftitleS2">
    <w:name w:val="Ref_title_S2"/>
    <w:basedOn w:val="Reftitle"/>
    <w:next w:val="ReftextS2"/>
    <w:rsid w:val="00BB13FE"/>
    <w:pPr>
      <w:tabs>
        <w:tab w:val="clear" w:pos="1134"/>
        <w:tab w:val="clear" w:pos="1701"/>
        <w:tab w:val="clear" w:pos="2268"/>
        <w:tab w:val="clear" w:pos="2835"/>
      </w:tabs>
      <w:jc w:val="left"/>
    </w:pPr>
    <w:rPr>
      <w:b/>
      <w:caps w:val="0"/>
      <w:sz w:val="24"/>
    </w:rPr>
  </w:style>
  <w:style w:type="paragraph" w:customStyle="1" w:styleId="ResNoS2">
    <w:name w:val="Res_No_S2"/>
    <w:basedOn w:val="ResNo"/>
    <w:next w:val="RestitleS2"/>
    <w:rsid w:val="00BB13FE"/>
    <w:pPr>
      <w:tabs>
        <w:tab w:val="clear" w:pos="1134"/>
        <w:tab w:val="clear" w:pos="1701"/>
        <w:tab w:val="clear" w:pos="2268"/>
        <w:tab w:val="clear" w:pos="2835"/>
      </w:tabs>
      <w:jc w:val="left"/>
    </w:pPr>
    <w:rPr>
      <w:b/>
      <w:sz w:val="24"/>
    </w:rPr>
  </w:style>
  <w:style w:type="paragraph" w:customStyle="1" w:styleId="RestitleS2">
    <w:name w:val="Res_title_S2"/>
    <w:basedOn w:val="Restitle"/>
    <w:next w:val="NormalS2"/>
    <w:rsid w:val="00BB13FE"/>
    <w:pPr>
      <w:tabs>
        <w:tab w:val="clear" w:pos="1134"/>
        <w:tab w:val="clear" w:pos="1701"/>
        <w:tab w:val="clear" w:pos="2268"/>
        <w:tab w:val="clear" w:pos="2835"/>
      </w:tabs>
      <w:jc w:val="left"/>
    </w:pPr>
    <w:rPr>
      <w:sz w:val="24"/>
    </w:rPr>
  </w:style>
  <w:style w:type="paragraph" w:customStyle="1" w:styleId="Section1S2">
    <w:name w:val="Section 1_S2"/>
    <w:basedOn w:val="Section1"/>
    <w:next w:val="NormalS2"/>
    <w:rsid w:val="00BB13FE"/>
    <w:pPr>
      <w:jc w:val="left"/>
    </w:pPr>
    <w:rPr>
      <w:caps/>
      <w:sz w:val="24"/>
    </w:rPr>
  </w:style>
  <w:style w:type="paragraph" w:customStyle="1" w:styleId="Section2S2">
    <w:name w:val="Section 2_S2"/>
    <w:basedOn w:val="Section2"/>
    <w:next w:val="NormalS2"/>
    <w:rsid w:val="004A63A9"/>
    <w:pPr>
      <w:jc w:val="left"/>
    </w:pPr>
    <w:rPr>
      <w:sz w:val="24"/>
    </w:rPr>
  </w:style>
  <w:style w:type="paragraph" w:customStyle="1" w:styleId="TableNoS2">
    <w:name w:val="Table_No_S2"/>
    <w:basedOn w:val="TableNo"/>
    <w:next w:val="TabletitleS2"/>
    <w:rsid w:val="00A70E95"/>
    <w:pPr>
      <w:keepNext w:val="0"/>
      <w:tabs>
        <w:tab w:val="clear" w:pos="1134"/>
        <w:tab w:val="clear" w:pos="1701"/>
        <w:tab w:val="clear" w:pos="2268"/>
        <w:tab w:val="clear" w:pos="2835"/>
      </w:tabs>
      <w:jc w:val="left"/>
    </w:pPr>
    <w:rPr>
      <w:b/>
    </w:rPr>
  </w:style>
  <w:style w:type="paragraph" w:customStyle="1" w:styleId="TabletitleS2">
    <w:name w:val="Table_title_S2"/>
    <w:basedOn w:val="Tabletitle"/>
    <w:next w:val="TabletextS2"/>
    <w:rsid w:val="00A70E95"/>
    <w:pPr>
      <w:keepNext w:val="0"/>
      <w:tabs>
        <w:tab w:val="clear" w:pos="2948"/>
        <w:tab w:val="clear" w:pos="4082"/>
      </w:tabs>
      <w:jc w:val="left"/>
    </w:pPr>
  </w:style>
  <w:style w:type="paragraph" w:customStyle="1" w:styleId="TabletextS2">
    <w:name w:val="Table_text_S2"/>
    <w:basedOn w:val="Tabletext"/>
    <w:rsid w:val="00A70E95"/>
    <w:rPr>
      <w:b/>
    </w:rPr>
  </w:style>
  <w:style w:type="paragraph" w:customStyle="1" w:styleId="TablelegendS2">
    <w:name w:val="Table_legend_S2"/>
    <w:basedOn w:val="Tablelegend"/>
    <w:rsid w:val="00A70E95"/>
    <w:pPr>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1134"/>
        <w:tab w:val="clear" w:pos="1701"/>
        <w:tab w:val="clear" w:pos="2268"/>
        <w:tab w:val="clear" w:pos="2835"/>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1134"/>
        <w:tab w:val="clear" w:pos="1701"/>
        <w:tab w:val="clear" w:pos="2268"/>
        <w:tab w:val="clear" w:pos="2835"/>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1134"/>
        <w:tab w:val="clear" w:pos="1701"/>
        <w:tab w:val="clear" w:pos="2268"/>
        <w:tab w:val="clear" w:pos="2835"/>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1134"/>
        <w:tab w:val="clear" w:pos="1701"/>
        <w:tab w:val="clear" w:pos="2268"/>
        <w:tab w:val="clear" w:pos="2835"/>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Agendaitem">
    <w:name w:val="Agenda_item"/>
    <w:basedOn w:val="Normal"/>
    <w:next w:val="Normal"/>
    <w:qFormat/>
    <w:rsid w:val="00255FA1"/>
    <w:pPr>
      <w:tabs>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styleId="UnresolvedMention">
    <w:name w:val="Unresolved Mention"/>
    <w:basedOn w:val="DefaultParagraphFont"/>
    <w:uiPriority w:val="99"/>
    <w:semiHidden/>
    <w:unhideWhenUsed/>
    <w:rsid w:val="005556C3"/>
    <w:rPr>
      <w:color w:val="605E5C"/>
      <w:shd w:val="clear" w:color="auto" w:fill="E1DFDD"/>
    </w:rPr>
  </w:style>
  <w:style w:type="character" w:styleId="FollowedHyperlink">
    <w:name w:val="FollowedHyperlink"/>
    <w:basedOn w:val="DefaultParagraphFont"/>
    <w:semiHidden/>
    <w:unhideWhenUsed/>
    <w:rsid w:val="00B722CF"/>
    <w:rPr>
      <w:color w:val="800080" w:themeColor="followedHyperlink"/>
      <w:u w:val="single"/>
    </w:rPr>
  </w:style>
  <w:style w:type="paragraph" w:styleId="Revision">
    <w:name w:val="Revision"/>
    <w:hidden/>
    <w:uiPriority w:val="99"/>
    <w:semiHidden/>
    <w:rsid w:val="00B53762"/>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p22.itu.int/en/itu_policy_statements/malcolm-johnson-itu-dsg-closing-speech/"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p22.itu.int/en/itu_policy_statements/chaesub-lee-itu-closing-speech/"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pp22.itu.int/en/itu_policy_statements/nicolae-ciuca-prime-minister-romania-speech/" TargetMode="External"/><Relationship Id="rId5" Type="http://schemas.openxmlformats.org/officeDocument/2006/relationships/webSettings" Target="webSettings.xml"/><Relationship Id="rId15" Type="http://schemas.openxmlformats.org/officeDocument/2006/relationships/hyperlink" Target="https://pp22.itu.int/en/itu_policy_statements/chairman-sabin-sarmas-itu-closing-speech/" TargetMode="External"/><Relationship Id="rId10" Type="http://schemas.openxmlformats.org/officeDocument/2006/relationships/hyperlink" Target="https://www.itu.int/md/S22-PP-C-0200/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2-PP-C-0200/es" TargetMode="External"/><Relationship Id="rId14" Type="http://schemas.openxmlformats.org/officeDocument/2006/relationships/hyperlink" Target="https://pp22.itu.int/en/itu_policy_statements/houlin-zhao-itu-sg-closing-spee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EE849-2F4C-48C2-AE98-AA2066A7A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1561</Words>
  <Characters>9818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11357</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(PP-22)</dc:subject>
  <dc:creator>Manias, Michel</dc:creator>
  <cp:keywords/>
  <dc:description/>
  <cp:lastModifiedBy>Xue, Kun</cp:lastModifiedBy>
  <cp:revision>3</cp:revision>
  <dcterms:created xsi:type="dcterms:W3CDTF">2022-11-29T14:25:00Z</dcterms:created>
  <dcterms:modified xsi:type="dcterms:W3CDTF">2022-11-29T14:25:00Z</dcterms:modified>
  <cp:category>Conference document</cp:category>
</cp:coreProperties>
</file>