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BD1614" w:rsidRPr="00B20DF6" w14:paraId="4484B0C5" w14:textId="77777777" w:rsidTr="006359EF">
        <w:trPr>
          <w:cantSplit/>
          <w:jc w:val="center"/>
        </w:trPr>
        <w:tc>
          <w:tcPr>
            <w:tcW w:w="6911" w:type="dxa"/>
          </w:tcPr>
          <w:p w14:paraId="706F5501" w14:textId="3E73A757" w:rsidR="00BD1614" w:rsidRPr="00B20DF6" w:rsidRDefault="00BD1614" w:rsidP="00945ED9">
            <w:pPr>
              <w:rPr>
                <w:b/>
                <w:bCs/>
                <w:position w:val="6"/>
                <w:szCs w:val="24"/>
              </w:rPr>
            </w:pPr>
            <w:bookmarkStart w:id="0" w:name="dbreak"/>
            <w:bookmarkStart w:id="1" w:name="dpp"/>
            <w:bookmarkEnd w:id="0"/>
            <w:bookmarkEnd w:id="1"/>
            <w:r w:rsidRPr="00B20DF6">
              <w:rPr>
                <w:rFonts w:cs="Times"/>
                <w:b/>
                <w:sz w:val="30"/>
                <w:szCs w:val="30"/>
              </w:rPr>
              <w:t>Conférence de plénipotentiaires</w:t>
            </w:r>
            <w:r w:rsidRPr="00B20DF6">
              <w:rPr>
                <w:b/>
                <w:smallCaps/>
                <w:sz w:val="30"/>
                <w:szCs w:val="30"/>
              </w:rPr>
              <w:t xml:space="preserve"> (PP-</w:t>
            </w:r>
            <w:r w:rsidR="002A7A1D" w:rsidRPr="00B20DF6">
              <w:rPr>
                <w:b/>
                <w:smallCaps/>
                <w:sz w:val="30"/>
                <w:szCs w:val="30"/>
              </w:rPr>
              <w:t>22</w:t>
            </w:r>
            <w:r w:rsidRPr="00B20DF6">
              <w:rPr>
                <w:b/>
                <w:smallCaps/>
                <w:sz w:val="30"/>
                <w:szCs w:val="30"/>
              </w:rPr>
              <w:t>)</w:t>
            </w:r>
            <w:r w:rsidRPr="00B20DF6">
              <w:rPr>
                <w:b/>
                <w:smallCaps/>
                <w:sz w:val="36"/>
              </w:rPr>
              <w:br/>
            </w:r>
            <w:r w:rsidR="002A7A1D" w:rsidRPr="00B20DF6">
              <w:rPr>
                <w:rFonts w:cs="Times New Roman Bold"/>
                <w:b/>
                <w:bCs/>
                <w:szCs w:val="24"/>
              </w:rPr>
              <w:t>Bucarest</w:t>
            </w:r>
            <w:r w:rsidRPr="00B20DF6">
              <w:rPr>
                <w:rFonts w:cs="Times New Roman Bold"/>
                <w:b/>
                <w:bCs/>
                <w:szCs w:val="24"/>
              </w:rPr>
              <w:t>, 2</w:t>
            </w:r>
            <w:r w:rsidR="002A7A1D" w:rsidRPr="00B20DF6">
              <w:rPr>
                <w:rFonts w:cs="Times New Roman Bold"/>
                <w:b/>
                <w:bCs/>
                <w:szCs w:val="24"/>
              </w:rPr>
              <w:t>6</w:t>
            </w:r>
            <w:r w:rsidRPr="00B20DF6">
              <w:rPr>
                <w:rFonts w:cs="Times New Roman Bold"/>
                <w:b/>
                <w:bCs/>
                <w:szCs w:val="24"/>
              </w:rPr>
              <w:t xml:space="preserve"> </w:t>
            </w:r>
            <w:r w:rsidR="002A7A1D" w:rsidRPr="00B20DF6">
              <w:rPr>
                <w:rFonts w:cs="Times New Roman Bold"/>
                <w:b/>
                <w:bCs/>
                <w:szCs w:val="24"/>
              </w:rPr>
              <w:t>septembre</w:t>
            </w:r>
            <w:r w:rsidRPr="00B20DF6">
              <w:rPr>
                <w:rFonts w:cs="Times New Roman Bold"/>
                <w:b/>
                <w:bCs/>
                <w:szCs w:val="24"/>
              </w:rPr>
              <w:t xml:space="preserve"> </w:t>
            </w:r>
            <w:r w:rsidR="001E2226" w:rsidRPr="00B20DF6">
              <w:rPr>
                <w:rFonts w:cs="Times New Roman Bold"/>
                <w:b/>
                <w:bCs/>
                <w:szCs w:val="24"/>
              </w:rPr>
              <w:t>–</w:t>
            </w:r>
            <w:r w:rsidRPr="00B20DF6">
              <w:rPr>
                <w:rFonts w:cs="Times New Roman Bold"/>
                <w:b/>
                <w:bCs/>
                <w:szCs w:val="24"/>
              </w:rPr>
              <w:t xml:space="preserve"> </w:t>
            </w:r>
            <w:r w:rsidR="001E2226" w:rsidRPr="00B20DF6">
              <w:rPr>
                <w:rFonts w:cs="Times New Roman Bold"/>
                <w:b/>
                <w:bCs/>
                <w:szCs w:val="24"/>
              </w:rPr>
              <w:t>1</w:t>
            </w:r>
            <w:r w:rsidR="002A7A1D" w:rsidRPr="00B20DF6">
              <w:rPr>
                <w:rFonts w:cs="Times New Roman Bold"/>
                <w:b/>
                <w:bCs/>
                <w:szCs w:val="24"/>
              </w:rPr>
              <w:t>4</w:t>
            </w:r>
            <w:r w:rsidRPr="00B20DF6">
              <w:rPr>
                <w:rFonts w:cs="Times New Roman Bold"/>
                <w:b/>
                <w:bCs/>
                <w:szCs w:val="24"/>
              </w:rPr>
              <w:t xml:space="preserve"> </w:t>
            </w:r>
            <w:r w:rsidR="002A7A1D" w:rsidRPr="00B20DF6">
              <w:rPr>
                <w:rFonts w:cs="Times New Roman Bold"/>
                <w:b/>
                <w:bCs/>
                <w:szCs w:val="24"/>
              </w:rPr>
              <w:t>octobre</w:t>
            </w:r>
            <w:r w:rsidRPr="00B20DF6">
              <w:rPr>
                <w:rFonts w:cs="Times New Roman Bold"/>
                <w:b/>
                <w:bCs/>
                <w:szCs w:val="24"/>
              </w:rPr>
              <w:t xml:space="preserve"> 20</w:t>
            </w:r>
            <w:r w:rsidR="002A7A1D" w:rsidRPr="00B20DF6">
              <w:rPr>
                <w:rFonts w:cs="Times New Roman Bold"/>
                <w:b/>
                <w:bCs/>
                <w:szCs w:val="24"/>
              </w:rPr>
              <w:t>22</w:t>
            </w:r>
          </w:p>
        </w:tc>
        <w:tc>
          <w:tcPr>
            <w:tcW w:w="3120" w:type="dxa"/>
          </w:tcPr>
          <w:p w14:paraId="7A1CF8E0" w14:textId="6FB7D25A" w:rsidR="00BD1614" w:rsidRPr="00B20DF6" w:rsidRDefault="002A7A1D" w:rsidP="00945ED9">
            <w:pPr>
              <w:spacing w:before="0"/>
              <w:rPr>
                <w:rFonts w:cstheme="minorHAnsi"/>
              </w:rPr>
            </w:pPr>
            <w:bookmarkStart w:id="2" w:name="ditulogo"/>
            <w:bookmarkEnd w:id="2"/>
            <w:r w:rsidRPr="00B20DF6">
              <w:rPr>
                <w:noProof/>
                <w:lang w:val="en-US"/>
              </w:rPr>
              <w:drawing>
                <wp:inline distT="0" distB="0" distL="0" distR="0" wp14:anchorId="7A0DC28C" wp14:editId="7CED7ECD">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B20DF6" w14:paraId="3120A8D9" w14:textId="77777777" w:rsidTr="006359EF">
        <w:trPr>
          <w:cantSplit/>
          <w:jc w:val="center"/>
        </w:trPr>
        <w:tc>
          <w:tcPr>
            <w:tcW w:w="6911" w:type="dxa"/>
            <w:tcBorders>
              <w:bottom w:val="single" w:sz="12" w:space="0" w:color="auto"/>
            </w:tcBorders>
          </w:tcPr>
          <w:p w14:paraId="317E5819" w14:textId="77777777" w:rsidR="00BD1614" w:rsidRPr="00B20DF6" w:rsidRDefault="00BD1614" w:rsidP="00945ED9">
            <w:pPr>
              <w:spacing w:before="0" w:after="48"/>
              <w:rPr>
                <w:rFonts w:cstheme="minorHAnsi"/>
                <w:b/>
                <w:smallCaps/>
                <w:szCs w:val="24"/>
              </w:rPr>
            </w:pPr>
            <w:bookmarkStart w:id="3" w:name="dhead"/>
          </w:p>
        </w:tc>
        <w:tc>
          <w:tcPr>
            <w:tcW w:w="3120" w:type="dxa"/>
            <w:tcBorders>
              <w:bottom w:val="single" w:sz="12" w:space="0" w:color="auto"/>
            </w:tcBorders>
          </w:tcPr>
          <w:p w14:paraId="57068B73" w14:textId="77777777" w:rsidR="00BD1614" w:rsidRPr="00B20DF6" w:rsidRDefault="00BD1614" w:rsidP="00945ED9">
            <w:pPr>
              <w:spacing w:before="0" w:after="48"/>
              <w:rPr>
                <w:rFonts w:cstheme="minorHAnsi"/>
                <w:b/>
                <w:smallCaps/>
                <w:szCs w:val="24"/>
              </w:rPr>
            </w:pPr>
          </w:p>
        </w:tc>
      </w:tr>
      <w:tr w:rsidR="00BD1614" w:rsidRPr="00B20DF6" w14:paraId="20A2296F" w14:textId="77777777" w:rsidTr="006359EF">
        <w:trPr>
          <w:cantSplit/>
          <w:jc w:val="center"/>
        </w:trPr>
        <w:tc>
          <w:tcPr>
            <w:tcW w:w="6911" w:type="dxa"/>
            <w:tcBorders>
              <w:top w:val="single" w:sz="12" w:space="0" w:color="auto"/>
            </w:tcBorders>
          </w:tcPr>
          <w:p w14:paraId="4CFA6027" w14:textId="77777777" w:rsidR="00BD1614" w:rsidRPr="00B20DF6" w:rsidRDefault="00BD1614" w:rsidP="00945ED9">
            <w:pPr>
              <w:spacing w:before="0"/>
              <w:rPr>
                <w:rFonts w:cstheme="minorHAnsi"/>
                <w:b/>
                <w:smallCaps/>
                <w:szCs w:val="24"/>
              </w:rPr>
            </w:pPr>
          </w:p>
        </w:tc>
        <w:tc>
          <w:tcPr>
            <w:tcW w:w="3120" w:type="dxa"/>
            <w:tcBorders>
              <w:top w:val="single" w:sz="12" w:space="0" w:color="auto"/>
            </w:tcBorders>
          </w:tcPr>
          <w:p w14:paraId="3C479168" w14:textId="77777777" w:rsidR="00BD1614" w:rsidRPr="00B20DF6" w:rsidRDefault="00BD1614" w:rsidP="00945ED9">
            <w:pPr>
              <w:spacing w:before="0"/>
              <w:rPr>
                <w:rFonts w:cstheme="minorHAnsi"/>
                <w:szCs w:val="24"/>
              </w:rPr>
            </w:pPr>
          </w:p>
        </w:tc>
      </w:tr>
      <w:tr w:rsidR="00BD1614" w:rsidRPr="00B20DF6" w14:paraId="5EBA9561" w14:textId="77777777" w:rsidTr="006359EF">
        <w:trPr>
          <w:cantSplit/>
          <w:jc w:val="center"/>
        </w:trPr>
        <w:tc>
          <w:tcPr>
            <w:tcW w:w="6911" w:type="dxa"/>
          </w:tcPr>
          <w:p w14:paraId="081C5B53" w14:textId="5ADEACCC" w:rsidR="00BD1614" w:rsidRPr="00B20DF6" w:rsidRDefault="00420EF8" w:rsidP="00945ED9">
            <w:pPr>
              <w:pStyle w:val="Committee"/>
              <w:framePr w:hSpace="0" w:wrap="auto" w:hAnchor="text" w:yAlign="inline"/>
              <w:spacing w:after="0" w:line="240" w:lineRule="auto"/>
              <w:rPr>
                <w:lang w:val="fr-FR"/>
              </w:rPr>
            </w:pPr>
            <w:r w:rsidRPr="00B20DF6">
              <w:rPr>
                <w:lang w:val="fr-FR"/>
              </w:rPr>
              <w:t>SÉANCE PLÉNIÈRE</w:t>
            </w:r>
          </w:p>
        </w:tc>
        <w:tc>
          <w:tcPr>
            <w:tcW w:w="3120" w:type="dxa"/>
          </w:tcPr>
          <w:p w14:paraId="42E82404" w14:textId="64FF9281" w:rsidR="00BD1614" w:rsidRPr="00B20DF6" w:rsidRDefault="00420EF8" w:rsidP="00945ED9">
            <w:pPr>
              <w:spacing w:before="0"/>
              <w:rPr>
                <w:rFonts w:cstheme="minorHAnsi"/>
                <w:szCs w:val="24"/>
              </w:rPr>
            </w:pPr>
            <w:r w:rsidRPr="00B20DF6">
              <w:rPr>
                <w:rFonts w:cstheme="minorHAnsi"/>
                <w:b/>
                <w:szCs w:val="24"/>
              </w:rPr>
              <w:t xml:space="preserve">Document </w:t>
            </w:r>
            <w:r w:rsidR="004C45B5" w:rsidRPr="00B20DF6">
              <w:rPr>
                <w:rFonts w:cstheme="minorHAnsi"/>
                <w:b/>
                <w:szCs w:val="24"/>
              </w:rPr>
              <w:t>207</w:t>
            </w:r>
            <w:r w:rsidRPr="00B20DF6">
              <w:rPr>
                <w:rFonts w:cstheme="minorHAnsi"/>
                <w:b/>
                <w:szCs w:val="24"/>
              </w:rPr>
              <w:t>-F</w:t>
            </w:r>
          </w:p>
        </w:tc>
      </w:tr>
      <w:tr w:rsidR="00BD1614" w:rsidRPr="00B20DF6" w14:paraId="5C605E2F" w14:textId="77777777" w:rsidTr="006359EF">
        <w:trPr>
          <w:cantSplit/>
          <w:jc w:val="center"/>
        </w:trPr>
        <w:tc>
          <w:tcPr>
            <w:tcW w:w="6911" w:type="dxa"/>
          </w:tcPr>
          <w:p w14:paraId="3701819B" w14:textId="20A8E30E" w:rsidR="00BD1614" w:rsidRPr="00B20DF6" w:rsidRDefault="00BD1614" w:rsidP="00945ED9">
            <w:pPr>
              <w:spacing w:before="0"/>
              <w:rPr>
                <w:rFonts w:cstheme="minorHAnsi"/>
                <w:b/>
                <w:szCs w:val="24"/>
              </w:rPr>
            </w:pPr>
          </w:p>
        </w:tc>
        <w:tc>
          <w:tcPr>
            <w:tcW w:w="3120" w:type="dxa"/>
          </w:tcPr>
          <w:p w14:paraId="4FD5E934" w14:textId="5DD747D0" w:rsidR="00BD1614" w:rsidRPr="00B20DF6" w:rsidRDefault="004C45B5" w:rsidP="00945ED9">
            <w:pPr>
              <w:spacing w:before="0"/>
              <w:rPr>
                <w:rFonts w:cstheme="minorHAnsi"/>
                <w:b/>
                <w:szCs w:val="24"/>
              </w:rPr>
            </w:pPr>
            <w:r w:rsidRPr="00B20DF6">
              <w:rPr>
                <w:rFonts w:cstheme="minorHAnsi"/>
                <w:b/>
                <w:szCs w:val="24"/>
              </w:rPr>
              <w:t>2 novembre 2022</w:t>
            </w:r>
          </w:p>
        </w:tc>
      </w:tr>
      <w:tr w:rsidR="00BD1614" w:rsidRPr="00B20DF6" w14:paraId="6B2B4BC1" w14:textId="77777777" w:rsidTr="006359EF">
        <w:trPr>
          <w:cantSplit/>
          <w:jc w:val="center"/>
        </w:trPr>
        <w:tc>
          <w:tcPr>
            <w:tcW w:w="6911" w:type="dxa"/>
          </w:tcPr>
          <w:p w14:paraId="780A194C" w14:textId="77777777" w:rsidR="00BD1614" w:rsidRPr="00B20DF6" w:rsidRDefault="00BD1614" w:rsidP="00945ED9">
            <w:pPr>
              <w:spacing w:before="0"/>
              <w:rPr>
                <w:rFonts w:cstheme="minorHAnsi"/>
                <w:b/>
                <w:smallCaps/>
                <w:szCs w:val="24"/>
              </w:rPr>
            </w:pPr>
          </w:p>
        </w:tc>
        <w:tc>
          <w:tcPr>
            <w:tcW w:w="3120" w:type="dxa"/>
          </w:tcPr>
          <w:p w14:paraId="36796BDA" w14:textId="3D9C6896" w:rsidR="00BD1614" w:rsidRPr="00B20DF6" w:rsidRDefault="00420EF8" w:rsidP="00945ED9">
            <w:pPr>
              <w:spacing w:before="0"/>
              <w:rPr>
                <w:rFonts w:cstheme="minorHAnsi"/>
                <w:b/>
                <w:szCs w:val="24"/>
              </w:rPr>
            </w:pPr>
            <w:proofErr w:type="gramStart"/>
            <w:r w:rsidRPr="00B20DF6">
              <w:rPr>
                <w:rFonts w:cstheme="minorHAnsi"/>
                <w:b/>
                <w:szCs w:val="24"/>
              </w:rPr>
              <w:t>Original:</w:t>
            </w:r>
            <w:proofErr w:type="gramEnd"/>
            <w:r w:rsidRPr="00B20DF6">
              <w:rPr>
                <w:rFonts w:cstheme="minorHAnsi"/>
                <w:b/>
                <w:szCs w:val="24"/>
              </w:rPr>
              <w:t xml:space="preserve"> anglais</w:t>
            </w:r>
          </w:p>
        </w:tc>
      </w:tr>
      <w:tr w:rsidR="00BD1614" w:rsidRPr="00B20DF6" w14:paraId="4259B884" w14:textId="77777777" w:rsidTr="006359EF">
        <w:trPr>
          <w:cantSplit/>
          <w:jc w:val="center"/>
        </w:trPr>
        <w:tc>
          <w:tcPr>
            <w:tcW w:w="10031" w:type="dxa"/>
            <w:gridSpan w:val="2"/>
          </w:tcPr>
          <w:p w14:paraId="770628D7" w14:textId="77777777" w:rsidR="00BD1614" w:rsidRPr="00B20DF6" w:rsidRDefault="00BD1614" w:rsidP="00945ED9">
            <w:pPr>
              <w:spacing w:before="0"/>
              <w:rPr>
                <w:rFonts w:cstheme="minorHAnsi"/>
                <w:b/>
                <w:szCs w:val="24"/>
              </w:rPr>
            </w:pPr>
          </w:p>
        </w:tc>
      </w:tr>
      <w:tr w:rsidR="004C45B5" w:rsidRPr="00B20DF6" w14:paraId="6A9FB924" w14:textId="77777777" w:rsidTr="006359EF">
        <w:trPr>
          <w:cantSplit/>
          <w:jc w:val="center"/>
        </w:trPr>
        <w:tc>
          <w:tcPr>
            <w:tcW w:w="10031" w:type="dxa"/>
            <w:gridSpan w:val="2"/>
          </w:tcPr>
          <w:p w14:paraId="2C9462DE" w14:textId="77777777" w:rsidR="00D937FB" w:rsidRDefault="004C45B5" w:rsidP="00D937FB">
            <w:pPr>
              <w:pStyle w:val="Title1"/>
            </w:pPr>
            <w:bookmarkStart w:id="4" w:name="dsource" w:colFirst="0" w:colLast="0"/>
            <w:bookmarkEnd w:id="3"/>
            <w:r w:rsidRPr="00B20DF6">
              <w:t>PROCèS-VERBAL</w:t>
            </w:r>
          </w:p>
          <w:p w14:paraId="199FC195" w14:textId="77777777" w:rsidR="00D937FB" w:rsidRDefault="004C45B5" w:rsidP="00D937FB">
            <w:pPr>
              <w:pStyle w:val="Title1"/>
            </w:pPr>
            <w:r w:rsidRPr="00B20DF6">
              <w:t>DE LA</w:t>
            </w:r>
          </w:p>
          <w:p w14:paraId="070875E6" w14:textId="794CFD56" w:rsidR="004C45B5" w:rsidRPr="00B20DF6" w:rsidRDefault="004C45B5" w:rsidP="00D937FB">
            <w:pPr>
              <w:pStyle w:val="Title1"/>
            </w:pPr>
            <w:r w:rsidRPr="00B20DF6">
              <w:t>Dix-septième SéANCE PLéNIèRE</w:t>
            </w:r>
          </w:p>
        </w:tc>
      </w:tr>
      <w:tr w:rsidR="004C45B5" w:rsidRPr="00B20DF6" w14:paraId="534EEA05" w14:textId="77777777" w:rsidTr="006359EF">
        <w:trPr>
          <w:cantSplit/>
          <w:jc w:val="center"/>
        </w:trPr>
        <w:tc>
          <w:tcPr>
            <w:tcW w:w="10031" w:type="dxa"/>
            <w:gridSpan w:val="2"/>
          </w:tcPr>
          <w:p w14:paraId="0C8E89F3" w14:textId="521E9FDF" w:rsidR="004C45B5" w:rsidRPr="00D937FB" w:rsidRDefault="004C45B5" w:rsidP="00945ED9">
            <w:pPr>
              <w:pStyle w:val="Title1"/>
              <w:rPr>
                <w:szCs w:val="28"/>
              </w:rPr>
            </w:pPr>
            <w:bookmarkStart w:id="5" w:name="dtitle1" w:colFirst="0" w:colLast="0"/>
            <w:bookmarkEnd w:id="4"/>
            <w:r w:rsidRPr="00D937FB">
              <w:rPr>
                <w:szCs w:val="28"/>
              </w:rPr>
              <w:t>J</w:t>
            </w:r>
            <w:r w:rsidRPr="00D937FB">
              <w:rPr>
                <w:caps w:val="0"/>
                <w:szCs w:val="28"/>
              </w:rPr>
              <w:t>eudi 13 octobre 2022, à 14 h 40</w:t>
            </w:r>
          </w:p>
        </w:tc>
      </w:tr>
      <w:tr w:rsidR="004C45B5" w:rsidRPr="00B20DF6" w14:paraId="37DA32CE" w14:textId="77777777" w:rsidTr="006359EF">
        <w:trPr>
          <w:cantSplit/>
          <w:jc w:val="center"/>
        </w:trPr>
        <w:tc>
          <w:tcPr>
            <w:tcW w:w="10031" w:type="dxa"/>
            <w:gridSpan w:val="2"/>
          </w:tcPr>
          <w:p w14:paraId="1574AB3E" w14:textId="6B5F688D" w:rsidR="004C45B5" w:rsidRPr="00D937FB" w:rsidRDefault="004C45B5" w:rsidP="00945ED9">
            <w:pPr>
              <w:pStyle w:val="Title2"/>
              <w:rPr>
                <w:szCs w:val="28"/>
              </w:rPr>
            </w:pPr>
            <w:bookmarkStart w:id="6" w:name="dtitle2" w:colFirst="0" w:colLast="0"/>
            <w:bookmarkEnd w:id="5"/>
            <w:proofErr w:type="gramStart"/>
            <w:r w:rsidRPr="00D937FB">
              <w:rPr>
                <w:b/>
                <w:bCs/>
                <w:caps w:val="0"/>
                <w:szCs w:val="28"/>
              </w:rPr>
              <w:t>Président:</w:t>
            </w:r>
            <w:proofErr w:type="gramEnd"/>
            <w:r w:rsidRPr="00D937FB">
              <w:rPr>
                <w:caps w:val="0"/>
                <w:szCs w:val="28"/>
              </w:rPr>
              <w:t xml:space="preserve"> M.</w:t>
            </w:r>
            <w:r w:rsidRPr="00D937FB">
              <w:rPr>
                <w:bCs/>
                <w:szCs w:val="28"/>
              </w:rPr>
              <w:t xml:space="preserve"> </w:t>
            </w:r>
            <w:r w:rsidRPr="00D937FB">
              <w:rPr>
                <w:bCs/>
                <w:caps w:val="0"/>
                <w:szCs w:val="28"/>
              </w:rPr>
              <w:t>S. SĂRMAȘ (Roumanie)</w:t>
            </w:r>
          </w:p>
        </w:tc>
      </w:tr>
      <w:bookmarkEnd w:id="6"/>
    </w:tbl>
    <w:p w14:paraId="7AD6F79A" w14:textId="463AEAC6" w:rsidR="000D15FB" w:rsidRPr="00B20DF6" w:rsidRDefault="000D15FB" w:rsidP="00945ED9"/>
    <w:tbl>
      <w:tblPr>
        <w:tblW w:w="5210" w:type="pct"/>
        <w:jc w:val="center"/>
        <w:tblLook w:val="0000" w:firstRow="0" w:lastRow="0" w:firstColumn="0" w:lastColumn="0" w:noHBand="0" w:noVBand="0"/>
      </w:tblPr>
      <w:tblGrid>
        <w:gridCol w:w="567"/>
        <w:gridCol w:w="6804"/>
        <w:gridCol w:w="2679"/>
      </w:tblGrid>
      <w:tr w:rsidR="004C45B5" w:rsidRPr="00B20DF6" w14:paraId="7F3E8640" w14:textId="77777777" w:rsidTr="00D937FB">
        <w:trPr>
          <w:trHeight w:val="454"/>
          <w:jc w:val="center"/>
        </w:trPr>
        <w:tc>
          <w:tcPr>
            <w:tcW w:w="282" w:type="pct"/>
          </w:tcPr>
          <w:p w14:paraId="4336DED2" w14:textId="77777777" w:rsidR="004C45B5" w:rsidRPr="00B20DF6" w:rsidRDefault="004C45B5" w:rsidP="00D937FB">
            <w:pPr>
              <w:tabs>
                <w:tab w:val="clear" w:pos="567"/>
                <w:tab w:val="clear" w:pos="1134"/>
                <w:tab w:val="clear" w:pos="1701"/>
                <w:tab w:val="clear" w:pos="2268"/>
                <w:tab w:val="clear" w:pos="2835"/>
                <w:tab w:val="right" w:pos="9781"/>
              </w:tabs>
              <w:spacing w:before="60" w:after="60"/>
              <w:jc w:val="both"/>
              <w:rPr>
                <w:rFonts w:eastAsia="SimSun"/>
                <w:b/>
              </w:rPr>
            </w:pPr>
            <w:r w:rsidRPr="00B20DF6">
              <w:rPr>
                <w:rFonts w:eastAsia="SimSun"/>
              </w:rPr>
              <w:br w:type="page"/>
            </w:r>
            <w:r w:rsidRPr="00B20DF6">
              <w:rPr>
                <w:rFonts w:eastAsia="SimSun"/>
              </w:rPr>
              <w:br w:type="page"/>
            </w:r>
          </w:p>
        </w:tc>
        <w:tc>
          <w:tcPr>
            <w:tcW w:w="3385" w:type="pct"/>
          </w:tcPr>
          <w:p w14:paraId="2B0EF92E" w14:textId="108E9984" w:rsidR="004C45B5" w:rsidRPr="00B20DF6" w:rsidRDefault="004C45B5" w:rsidP="00D937FB">
            <w:pPr>
              <w:tabs>
                <w:tab w:val="clear" w:pos="567"/>
                <w:tab w:val="clear" w:pos="1134"/>
                <w:tab w:val="clear" w:pos="1701"/>
                <w:tab w:val="clear" w:pos="2268"/>
                <w:tab w:val="clear" w:pos="2835"/>
                <w:tab w:val="right" w:pos="9781"/>
              </w:tabs>
              <w:spacing w:before="60" w:after="60"/>
              <w:rPr>
                <w:rFonts w:eastAsia="SimSun"/>
                <w:b/>
              </w:rPr>
            </w:pPr>
            <w:r w:rsidRPr="00B20DF6">
              <w:rPr>
                <w:rFonts w:asciiTheme="minorHAnsi" w:hAnsiTheme="minorHAnsi"/>
                <w:b/>
                <w:bCs/>
                <w:szCs w:val="24"/>
              </w:rPr>
              <w:t>Sujets traités</w:t>
            </w:r>
          </w:p>
        </w:tc>
        <w:tc>
          <w:tcPr>
            <w:tcW w:w="1333" w:type="pct"/>
          </w:tcPr>
          <w:p w14:paraId="787A19D9" w14:textId="2D21513A" w:rsidR="004C45B5" w:rsidRPr="00B20DF6" w:rsidRDefault="004C45B5" w:rsidP="00D937FB">
            <w:pPr>
              <w:tabs>
                <w:tab w:val="clear" w:pos="567"/>
                <w:tab w:val="clear" w:pos="1134"/>
                <w:tab w:val="clear" w:pos="1701"/>
                <w:tab w:val="clear" w:pos="2268"/>
                <w:tab w:val="clear" w:pos="2835"/>
                <w:tab w:val="right" w:pos="9781"/>
              </w:tabs>
              <w:spacing w:before="60" w:after="60"/>
              <w:jc w:val="center"/>
              <w:rPr>
                <w:rFonts w:eastAsia="SimSun"/>
                <w:b/>
              </w:rPr>
            </w:pPr>
            <w:r w:rsidRPr="00B20DF6">
              <w:rPr>
                <w:b/>
                <w:bCs/>
              </w:rPr>
              <w:t>Documents</w:t>
            </w:r>
          </w:p>
        </w:tc>
      </w:tr>
      <w:tr w:rsidR="004C45B5" w:rsidRPr="00B20DF6" w14:paraId="6BBE4FB9" w14:textId="77777777" w:rsidTr="00D937FB">
        <w:trPr>
          <w:trHeight w:val="454"/>
          <w:jc w:val="center"/>
        </w:trPr>
        <w:tc>
          <w:tcPr>
            <w:tcW w:w="282" w:type="pct"/>
          </w:tcPr>
          <w:p w14:paraId="1CB13F29" w14:textId="77777777" w:rsidR="004C45B5" w:rsidRPr="00B20DF6" w:rsidRDefault="004C45B5" w:rsidP="00D937FB">
            <w:pPr>
              <w:spacing w:before="60" w:after="60"/>
              <w:rPr>
                <w:rFonts w:eastAsia="SimSun"/>
              </w:rPr>
            </w:pPr>
            <w:r w:rsidRPr="00B20DF6">
              <w:rPr>
                <w:rFonts w:eastAsia="SimSun"/>
              </w:rPr>
              <w:t>1</w:t>
            </w:r>
          </w:p>
        </w:tc>
        <w:tc>
          <w:tcPr>
            <w:tcW w:w="3385" w:type="pct"/>
          </w:tcPr>
          <w:p w14:paraId="56D0CFC0" w14:textId="2A0122C6" w:rsidR="004C45B5" w:rsidRPr="00B20DF6" w:rsidRDefault="002065C7" w:rsidP="00D937FB">
            <w:pPr>
              <w:spacing w:before="60" w:after="60"/>
              <w:rPr>
                <w:rFonts w:eastAsia="SimSun"/>
              </w:rPr>
            </w:pPr>
            <w:r w:rsidRPr="00B20DF6">
              <w:rPr>
                <w:rFonts w:eastAsia="SimSun"/>
              </w:rPr>
              <w:t>Remise de certificats</w:t>
            </w:r>
          </w:p>
        </w:tc>
        <w:tc>
          <w:tcPr>
            <w:tcW w:w="1333" w:type="pct"/>
          </w:tcPr>
          <w:p w14:paraId="23BEDA02" w14:textId="4183C21B" w:rsidR="004C45B5" w:rsidRPr="00B20DF6" w:rsidRDefault="004C45B5" w:rsidP="00D937FB">
            <w:pPr>
              <w:spacing w:before="60" w:after="60"/>
              <w:jc w:val="center"/>
              <w:rPr>
                <w:rFonts w:eastAsia="SimSun"/>
              </w:rPr>
            </w:pPr>
            <w:r w:rsidRPr="00B20DF6">
              <w:rPr>
                <w:rFonts w:eastAsia="SimSun"/>
              </w:rPr>
              <w:t>–</w:t>
            </w:r>
          </w:p>
        </w:tc>
      </w:tr>
      <w:tr w:rsidR="004C45B5" w:rsidRPr="00B20DF6" w14:paraId="10DC8E69" w14:textId="77777777" w:rsidTr="00D937FB">
        <w:trPr>
          <w:trHeight w:val="454"/>
          <w:jc w:val="center"/>
        </w:trPr>
        <w:tc>
          <w:tcPr>
            <w:tcW w:w="282" w:type="pct"/>
          </w:tcPr>
          <w:p w14:paraId="7F05539B" w14:textId="77777777" w:rsidR="004C45B5" w:rsidRPr="00B20DF6" w:rsidRDefault="004C45B5" w:rsidP="00D937FB">
            <w:pPr>
              <w:spacing w:before="60" w:after="60"/>
              <w:rPr>
                <w:rFonts w:eastAsia="SimSun"/>
              </w:rPr>
            </w:pPr>
            <w:r w:rsidRPr="00B20DF6">
              <w:rPr>
                <w:rFonts w:eastAsia="SimSun"/>
              </w:rPr>
              <w:t>2</w:t>
            </w:r>
          </w:p>
        </w:tc>
        <w:tc>
          <w:tcPr>
            <w:tcW w:w="3385" w:type="pct"/>
          </w:tcPr>
          <w:p w14:paraId="0A6554A0" w14:textId="14164066" w:rsidR="004C45B5" w:rsidRPr="00B20DF6" w:rsidRDefault="008B603E" w:rsidP="00D937FB">
            <w:pPr>
              <w:spacing w:before="60" w:after="60"/>
              <w:rPr>
                <w:rFonts w:eastAsia="SimSun"/>
              </w:rPr>
            </w:pPr>
            <w:r w:rsidRPr="00B20DF6">
              <w:t xml:space="preserve">Vingt-septième série de textes soumis par la Commission de rédaction – seconde lecture </w:t>
            </w:r>
            <w:r w:rsidR="004C45B5" w:rsidRPr="00B20DF6">
              <w:rPr>
                <w:rFonts w:eastAsia="SimSun"/>
              </w:rPr>
              <w:t>(</w:t>
            </w:r>
            <w:r w:rsidR="00176214" w:rsidRPr="00B20DF6">
              <w:rPr>
                <w:rFonts w:eastAsia="SimSun"/>
              </w:rPr>
              <w:t>suite</w:t>
            </w:r>
            <w:r w:rsidR="004C45B5" w:rsidRPr="00B20DF6">
              <w:rPr>
                <w:rFonts w:eastAsia="SimSun"/>
              </w:rPr>
              <w:t>)</w:t>
            </w:r>
          </w:p>
        </w:tc>
        <w:tc>
          <w:tcPr>
            <w:tcW w:w="1333" w:type="pct"/>
          </w:tcPr>
          <w:p w14:paraId="6C6C4694" w14:textId="77777777" w:rsidR="004C45B5" w:rsidRPr="00B20DF6" w:rsidRDefault="00252856" w:rsidP="00D937FB">
            <w:pPr>
              <w:spacing w:before="60" w:after="60"/>
              <w:jc w:val="center"/>
              <w:rPr>
                <w:rFonts w:eastAsia="SimSun"/>
              </w:rPr>
            </w:pPr>
            <w:hyperlink r:id="rId9" w:history="1">
              <w:r w:rsidR="004C45B5" w:rsidRPr="00B20DF6">
                <w:rPr>
                  <w:rStyle w:val="Hyperlink"/>
                  <w:rFonts w:eastAsia="SimSun"/>
                </w:rPr>
                <w:t>197</w:t>
              </w:r>
            </w:hyperlink>
          </w:p>
        </w:tc>
      </w:tr>
      <w:tr w:rsidR="004C45B5" w:rsidRPr="00B20DF6" w14:paraId="39168687" w14:textId="77777777" w:rsidTr="00D937FB">
        <w:trPr>
          <w:trHeight w:val="454"/>
          <w:jc w:val="center"/>
        </w:trPr>
        <w:tc>
          <w:tcPr>
            <w:tcW w:w="282" w:type="pct"/>
          </w:tcPr>
          <w:p w14:paraId="78500252" w14:textId="77777777" w:rsidR="004C45B5" w:rsidRPr="00B20DF6" w:rsidRDefault="004C45B5" w:rsidP="00D937FB">
            <w:pPr>
              <w:spacing w:before="60" w:after="60"/>
              <w:rPr>
                <w:rFonts w:eastAsia="SimSun"/>
              </w:rPr>
            </w:pPr>
            <w:r w:rsidRPr="00B20DF6">
              <w:rPr>
                <w:rFonts w:eastAsia="SimSun"/>
              </w:rPr>
              <w:t>3</w:t>
            </w:r>
          </w:p>
        </w:tc>
        <w:tc>
          <w:tcPr>
            <w:tcW w:w="3385" w:type="pct"/>
          </w:tcPr>
          <w:p w14:paraId="3075FC20" w14:textId="0F44F5EA" w:rsidR="004C45B5" w:rsidRPr="00B20DF6" w:rsidRDefault="008B603E" w:rsidP="00D937FB">
            <w:pPr>
              <w:spacing w:before="60" w:after="60"/>
              <w:rPr>
                <w:rFonts w:eastAsia="SimSun"/>
              </w:rPr>
            </w:pPr>
            <w:r w:rsidRPr="00B20DF6">
              <w:t xml:space="preserve">Vingt-cinquième série de textes soumis par la Commission de rédaction en première lecture </w:t>
            </w:r>
            <w:r w:rsidR="004C45B5" w:rsidRPr="00B20DF6">
              <w:rPr>
                <w:rFonts w:eastAsia="SimSun"/>
              </w:rPr>
              <w:t>(B25)</w:t>
            </w:r>
          </w:p>
        </w:tc>
        <w:tc>
          <w:tcPr>
            <w:tcW w:w="1333" w:type="pct"/>
          </w:tcPr>
          <w:p w14:paraId="395626AD" w14:textId="77777777" w:rsidR="004C45B5" w:rsidRPr="00B20DF6" w:rsidRDefault="00252856" w:rsidP="00D937FB">
            <w:pPr>
              <w:spacing w:before="60" w:after="60"/>
              <w:jc w:val="center"/>
              <w:rPr>
                <w:rFonts w:eastAsia="SimSun"/>
              </w:rPr>
            </w:pPr>
            <w:hyperlink r:id="rId10" w:history="1">
              <w:r w:rsidR="004C45B5" w:rsidRPr="00B20DF6">
                <w:rPr>
                  <w:rStyle w:val="Hyperlink"/>
                  <w:rFonts w:eastAsia="SimSun"/>
                </w:rPr>
                <w:t>195</w:t>
              </w:r>
            </w:hyperlink>
          </w:p>
        </w:tc>
      </w:tr>
      <w:tr w:rsidR="004C45B5" w:rsidRPr="00B20DF6" w14:paraId="5AD781A5" w14:textId="77777777" w:rsidTr="00D937FB">
        <w:trPr>
          <w:trHeight w:val="454"/>
          <w:jc w:val="center"/>
        </w:trPr>
        <w:tc>
          <w:tcPr>
            <w:tcW w:w="282" w:type="pct"/>
          </w:tcPr>
          <w:p w14:paraId="3033AE0E" w14:textId="77777777" w:rsidR="004C45B5" w:rsidRPr="00B20DF6" w:rsidRDefault="004C45B5" w:rsidP="00D937FB">
            <w:pPr>
              <w:spacing w:before="60" w:after="60"/>
              <w:rPr>
                <w:rFonts w:eastAsia="SimSun"/>
              </w:rPr>
            </w:pPr>
            <w:r w:rsidRPr="00B20DF6">
              <w:rPr>
                <w:rFonts w:eastAsia="SimSun"/>
              </w:rPr>
              <w:t>4</w:t>
            </w:r>
          </w:p>
        </w:tc>
        <w:tc>
          <w:tcPr>
            <w:tcW w:w="3385" w:type="pct"/>
          </w:tcPr>
          <w:p w14:paraId="49A90DBA" w14:textId="484F691B" w:rsidR="004C45B5" w:rsidRPr="00B20DF6" w:rsidRDefault="008B603E" w:rsidP="00D937FB">
            <w:pPr>
              <w:spacing w:before="60" w:after="60"/>
            </w:pPr>
            <w:r w:rsidRPr="00B20DF6">
              <w:t>Vingt-cinquième série de textes soumis par la Commission de rédaction – seconde lecture</w:t>
            </w:r>
          </w:p>
        </w:tc>
        <w:tc>
          <w:tcPr>
            <w:tcW w:w="1333" w:type="pct"/>
          </w:tcPr>
          <w:p w14:paraId="75806CB6" w14:textId="77777777" w:rsidR="004C45B5" w:rsidRPr="00B20DF6" w:rsidRDefault="00252856" w:rsidP="00D937FB">
            <w:pPr>
              <w:spacing w:before="60" w:after="60"/>
              <w:jc w:val="center"/>
            </w:pPr>
            <w:hyperlink r:id="rId11" w:history="1">
              <w:r w:rsidR="004C45B5" w:rsidRPr="00B20DF6">
                <w:rPr>
                  <w:rStyle w:val="Hyperlink"/>
                  <w:rFonts w:eastAsia="SimSun"/>
                </w:rPr>
                <w:t>195</w:t>
              </w:r>
            </w:hyperlink>
          </w:p>
        </w:tc>
      </w:tr>
      <w:tr w:rsidR="004C45B5" w:rsidRPr="00B20DF6" w14:paraId="6DE5BFBA" w14:textId="77777777" w:rsidTr="00D937FB">
        <w:trPr>
          <w:trHeight w:val="454"/>
          <w:jc w:val="center"/>
        </w:trPr>
        <w:tc>
          <w:tcPr>
            <w:tcW w:w="282" w:type="pct"/>
          </w:tcPr>
          <w:p w14:paraId="189576C7" w14:textId="77777777" w:rsidR="004C45B5" w:rsidRPr="00B20DF6" w:rsidRDefault="004C45B5" w:rsidP="00D937FB">
            <w:pPr>
              <w:spacing w:before="60" w:after="60"/>
              <w:rPr>
                <w:rFonts w:eastAsia="SimSun"/>
              </w:rPr>
            </w:pPr>
            <w:r w:rsidRPr="00B20DF6">
              <w:rPr>
                <w:rFonts w:eastAsia="SimSun"/>
              </w:rPr>
              <w:t>5</w:t>
            </w:r>
          </w:p>
        </w:tc>
        <w:tc>
          <w:tcPr>
            <w:tcW w:w="3385" w:type="pct"/>
          </w:tcPr>
          <w:p w14:paraId="38FA6FFC" w14:textId="1ACFAF65" w:rsidR="004C45B5" w:rsidRPr="00B20DF6" w:rsidRDefault="00BF0E77" w:rsidP="00D937FB">
            <w:pPr>
              <w:spacing w:before="60" w:after="60"/>
            </w:pPr>
            <w:r w:rsidRPr="00B20DF6">
              <w:rPr>
                <w:rFonts w:eastAsia="SimSun"/>
                <w:szCs w:val="24"/>
              </w:rPr>
              <w:t>Rapport verbal d</w:t>
            </w:r>
            <w:r w:rsidR="001A1DB9" w:rsidRPr="00B20DF6">
              <w:rPr>
                <w:rFonts w:eastAsia="SimSun"/>
                <w:szCs w:val="24"/>
              </w:rPr>
              <w:t>u</w:t>
            </w:r>
            <w:r w:rsidR="00B05481" w:rsidRPr="00B20DF6">
              <w:rPr>
                <w:rFonts w:eastAsia="SimSun"/>
                <w:szCs w:val="24"/>
              </w:rPr>
              <w:t xml:space="preserve"> Président de </w:t>
            </w:r>
            <w:r w:rsidR="0052051A" w:rsidRPr="00B20DF6">
              <w:rPr>
                <w:rFonts w:eastAsia="SimSun"/>
                <w:szCs w:val="24"/>
              </w:rPr>
              <w:t>la Co</w:t>
            </w:r>
            <w:r w:rsidR="0032757E" w:rsidRPr="00B20DF6">
              <w:rPr>
                <w:rFonts w:eastAsia="SimSun"/>
                <w:szCs w:val="24"/>
              </w:rPr>
              <w:t>m</w:t>
            </w:r>
            <w:r w:rsidR="0052051A" w:rsidRPr="00B20DF6">
              <w:rPr>
                <w:rFonts w:eastAsia="SimSun"/>
                <w:szCs w:val="24"/>
              </w:rPr>
              <w:t>mission</w:t>
            </w:r>
            <w:r w:rsidR="002C3636" w:rsidRPr="00B20DF6">
              <w:rPr>
                <w:rFonts w:eastAsia="SimSun"/>
                <w:szCs w:val="24"/>
              </w:rPr>
              <w:t xml:space="preserve"> </w:t>
            </w:r>
            <w:r w:rsidR="00687A5E" w:rsidRPr="00B20DF6">
              <w:rPr>
                <w:rFonts w:eastAsia="SimSun"/>
                <w:szCs w:val="24"/>
              </w:rPr>
              <w:t xml:space="preserve">5 sur le </w:t>
            </w:r>
            <w:r w:rsidR="00DE2E19" w:rsidRPr="00B20DF6">
              <w:rPr>
                <w:rFonts w:eastAsia="SimSun"/>
                <w:szCs w:val="24"/>
              </w:rPr>
              <w:t>RTI</w:t>
            </w:r>
          </w:p>
        </w:tc>
        <w:tc>
          <w:tcPr>
            <w:tcW w:w="1333" w:type="pct"/>
          </w:tcPr>
          <w:p w14:paraId="7AA6D928" w14:textId="77777777" w:rsidR="004C45B5" w:rsidRPr="00B20DF6" w:rsidRDefault="00252856" w:rsidP="00D937FB">
            <w:pPr>
              <w:spacing w:before="60" w:after="60"/>
              <w:jc w:val="center"/>
            </w:pPr>
            <w:hyperlink r:id="rId12" w:history="1">
              <w:r w:rsidR="004C45B5" w:rsidRPr="00B20DF6">
                <w:rPr>
                  <w:rStyle w:val="Hyperlink"/>
                  <w:rFonts w:eastAsia="SimSun"/>
                </w:rPr>
                <w:t>DT/83</w:t>
              </w:r>
            </w:hyperlink>
          </w:p>
        </w:tc>
      </w:tr>
      <w:tr w:rsidR="004C45B5" w:rsidRPr="00B20DF6" w14:paraId="4B2C99B3" w14:textId="77777777" w:rsidTr="00D937FB">
        <w:trPr>
          <w:trHeight w:val="454"/>
          <w:jc w:val="center"/>
        </w:trPr>
        <w:tc>
          <w:tcPr>
            <w:tcW w:w="282" w:type="pct"/>
          </w:tcPr>
          <w:p w14:paraId="21F92780" w14:textId="77777777" w:rsidR="004C45B5" w:rsidRPr="00B20DF6" w:rsidRDefault="004C45B5" w:rsidP="00D937FB">
            <w:pPr>
              <w:spacing w:before="60" w:after="60"/>
              <w:rPr>
                <w:rFonts w:eastAsia="SimSun"/>
              </w:rPr>
            </w:pPr>
            <w:r w:rsidRPr="00B20DF6">
              <w:rPr>
                <w:rFonts w:eastAsia="SimSun"/>
              </w:rPr>
              <w:t>6</w:t>
            </w:r>
          </w:p>
        </w:tc>
        <w:tc>
          <w:tcPr>
            <w:tcW w:w="3385" w:type="pct"/>
          </w:tcPr>
          <w:p w14:paraId="6E6D26C0" w14:textId="4E7BE2B4" w:rsidR="004C45B5" w:rsidRPr="00B20DF6" w:rsidRDefault="008B603E" w:rsidP="00D937FB">
            <w:pPr>
              <w:spacing w:before="60" w:after="60"/>
            </w:pPr>
            <w:r w:rsidRPr="00B20DF6">
              <w:t>Délai pour le dépôt des déclarations et des réserves</w:t>
            </w:r>
          </w:p>
        </w:tc>
        <w:tc>
          <w:tcPr>
            <w:tcW w:w="1333" w:type="pct"/>
          </w:tcPr>
          <w:p w14:paraId="6C747800" w14:textId="63FD571E" w:rsidR="004C45B5" w:rsidRPr="00B20DF6" w:rsidRDefault="004C45B5" w:rsidP="00D937FB">
            <w:pPr>
              <w:spacing w:before="60" w:after="60"/>
              <w:jc w:val="center"/>
            </w:pPr>
            <w:r w:rsidRPr="00B20DF6">
              <w:t>–</w:t>
            </w:r>
          </w:p>
        </w:tc>
      </w:tr>
    </w:tbl>
    <w:p w14:paraId="23E5CC14" w14:textId="77777777" w:rsidR="00BD1614" w:rsidRPr="00B20DF6" w:rsidRDefault="00BD1614" w:rsidP="00945ED9">
      <w:pPr>
        <w:tabs>
          <w:tab w:val="clear" w:pos="567"/>
          <w:tab w:val="clear" w:pos="1134"/>
          <w:tab w:val="clear" w:pos="1701"/>
          <w:tab w:val="clear" w:pos="2268"/>
          <w:tab w:val="clear" w:pos="2835"/>
        </w:tabs>
        <w:overflowPunct/>
        <w:autoSpaceDE/>
        <w:autoSpaceDN/>
        <w:adjustRightInd/>
        <w:spacing w:before="0"/>
        <w:textAlignment w:val="auto"/>
      </w:pPr>
      <w:r w:rsidRPr="00B20DF6">
        <w:br w:type="page"/>
      </w:r>
    </w:p>
    <w:p w14:paraId="6F70C31E" w14:textId="6B341DDF" w:rsidR="004C45B5" w:rsidRPr="00B20DF6" w:rsidRDefault="004C45B5" w:rsidP="00945ED9">
      <w:pPr>
        <w:pStyle w:val="Heading1"/>
      </w:pPr>
      <w:r w:rsidRPr="00B20DF6">
        <w:lastRenderedPageBreak/>
        <w:t>1</w:t>
      </w:r>
      <w:r w:rsidRPr="00B20DF6">
        <w:tab/>
      </w:r>
      <w:r w:rsidR="00E23F62" w:rsidRPr="00B20DF6">
        <w:t xml:space="preserve">Remise </w:t>
      </w:r>
      <w:r w:rsidR="006E6538" w:rsidRPr="00B20DF6">
        <w:t>de certificats</w:t>
      </w:r>
    </w:p>
    <w:p w14:paraId="53FA581F" w14:textId="4C77B287" w:rsidR="004C45B5" w:rsidRPr="00B20DF6" w:rsidRDefault="004C45B5" w:rsidP="00945ED9">
      <w:r w:rsidRPr="00B20DF6">
        <w:t>1.1</w:t>
      </w:r>
      <w:r w:rsidRPr="00B20DF6">
        <w:tab/>
      </w:r>
      <w:r w:rsidR="00F04290" w:rsidRPr="00B20DF6">
        <w:t xml:space="preserve">Le </w:t>
      </w:r>
      <w:r w:rsidR="00F04290" w:rsidRPr="00B20DF6">
        <w:rPr>
          <w:b/>
          <w:bCs/>
        </w:rPr>
        <w:t xml:space="preserve">Secrétaire général </w:t>
      </w:r>
      <w:r w:rsidR="00643888" w:rsidRPr="00B20DF6">
        <w:t>rem</w:t>
      </w:r>
      <w:r w:rsidR="00374046" w:rsidRPr="00B20DF6">
        <w:t>e</w:t>
      </w:r>
      <w:r w:rsidR="00643888" w:rsidRPr="00B20DF6">
        <w:t xml:space="preserve">t à M. </w:t>
      </w:r>
      <w:r w:rsidRPr="00B20DF6">
        <w:t xml:space="preserve">Sebastian Burduja, </w:t>
      </w:r>
      <w:proofErr w:type="gramStart"/>
      <w:r w:rsidR="006130A8" w:rsidRPr="00B20DF6">
        <w:t>Ministre de la recherche</w:t>
      </w:r>
      <w:proofErr w:type="gramEnd"/>
      <w:r w:rsidR="006130A8" w:rsidRPr="00B20DF6">
        <w:t>, de l'innovation et de la transformation numérique de la Roumanie,</w:t>
      </w:r>
      <w:r w:rsidRPr="00B20DF6">
        <w:t xml:space="preserve"> </w:t>
      </w:r>
      <w:r w:rsidR="006130A8" w:rsidRPr="00B20DF6">
        <w:t xml:space="preserve">un certificat </w:t>
      </w:r>
      <w:r w:rsidR="00C34EB9" w:rsidRPr="00B20DF6">
        <w:t>en</w:t>
      </w:r>
      <w:r w:rsidR="00A71227" w:rsidRPr="00B20DF6">
        <w:t xml:space="preserve"> reconnaissance </w:t>
      </w:r>
      <w:r w:rsidR="00017F6A" w:rsidRPr="00B20DF6">
        <w:t>de sa contri</w:t>
      </w:r>
      <w:r w:rsidR="00797C10" w:rsidRPr="00B20DF6">
        <w:t xml:space="preserve">bution </w:t>
      </w:r>
      <w:r w:rsidR="00864077" w:rsidRPr="00B20DF6">
        <w:t>en faveur du développe</w:t>
      </w:r>
      <w:r w:rsidR="00FF777C" w:rsidRPr="00B20DF6">
        <w:t>ment</w:t>
      </w:r>
      <w:r w:rsidR="00864077" w:rsidRPr="00B20DF6">
        <w:t xml:space="preserve"> des TIC en Roumanie et </w:t>
      </w:r>
      <w:r w:rsidR="002272DA" w:rsidRPr="00B20DF6">
        <w:t>de la réussite de l</w:t>
      </w:r>
      <w:r w:rsidR="00945ED9" w:rsidRPr="00B20DF6">
        <w:t>'</w:t>
      </w:r>
      <w:r w:rsidR="002272DA" w:rsidRPr="00B20DF6">
        <w:t xml:space="preserve">organisation de la </w:t>
      </w:r>
      <w:r w:rsidR="00C97B68" w:rsidRPr="00B20DF6">
        <w:t>C</w:t>
      </w:r>
      <w:r w:rsidR="002272DA" w:rsidRPr="00B20DF6">
        <w:t>onférence</w:t>
      </w:r>
      <w:r w:rsidRPr="00B20DF6">
        <w:t>.</w:t>
      </w:r>
    </w:p>
    <w:p w14:paraId="461391C6" w14:textId="7169E6A7" w:rsidR="004C45B5" w:rsidRPr="00B20DF6" w:rsidRDefault="004C45B5" w:rsidP="00945ED9">
      <w:r w:rsidRPr="00B20DF6">
        <w:t>1.2</w:t>
      </w:r>
      <w:r w:rsidRPr="00B20DF6">
        <w:tab/>
      </w:r>
      <w:r w:rsidR="006C3CB9" w:rsidRPr="00B20DF6">
        <w:t xml:space="preserve">Le </w:t>
      </w:r>
      <w:r w:rsidR="006C3CB9" w:rsidRPr="00B20DF6">
        <w:rPr>
          <w:b/>
          <w:bCs/>
        </w:rPr>
        <w:t xml:space="preserve">Secrétaire général </w:t>
      </w:r>
      <w:r w:rsidR="006C3CB9" w:rsidRPr="00B20DF6">
        <w:t>remet à</w:t>
      </w:r>
      <w:r w:rsidRPr="00B20DF6">
        <w:t xml:space="preserve"> </w:t>
      </w:r>
      <w:r w:rsidR="00A06A47" w:rsidRPr="00B20DF6">
        <w:t>M. Vlad Stoica, Président de l'Autorité nationale de gestion et de régulation des communications (ANCOM)</w:t>
      </w:r>
      <w:r w:rsidRPr="00B20DF6">
        <w:t xml:space="preserve"> </w:t>
      </w:r>
      <w:r w:rsidR="006C3CB9" w:rsidRPr="00B20DF6">
        <w:t>de la Roumanie</w:t>
      </w:r>
      <w:r w:rsidR="00FF777C" w:rsidRPr="00B20DF6">
        <w:t>,</w:t>
      </w:r>
      <w:r w:rsidR="000C3EC7" w:rsidRPr="00B20DF6">
        <w:t xml:space="preserve"> un certificat </w:t>
      </w:r>
      <w:r w:rsidR="0032757E" w:rsidRPr="00B20DF6">
        <w:t>en reconnaissance de</w:t>
      </w:r>
      <w:r w:rsidR="00945ED9" w:rsidRPr="00B20DF6">
        <w:t xml:space="preserve"> </w:t>
      </w:r>
      <w:r w:rsidR="00F431A7" w:rsidRPr="00B20DF6">
        <w:t xml:space="preserve">sa contribution </w:t>
      </w:r>
      <w:r w:rsidR="00FC7DD4" w:rsidRPr="00B20DF6">
        <w:t xml:space="preserve">exceptionnelle à la </w:t>
      </w:r>
      <w:r w:rsidR="004206B9" w:rsidRPr="00B20DF6">
        <w:t>C</w:t>
      </w:r>
      <w:r w:rsidR="00FC7DD4" w:rsidRPr="00B20DF6">
        <w:t xml:space="preserve">onférence </w:t>
      </w:r>
      <w:r w:rsidR="00C97B68" w:rsidRPr="00B20DF6">
        <w:t xml:space="preserve">et </w:t>
      </w:r>
      <w:r w:rsidR="0032757E" w:rsidRPr="00B20DF6">
        <w:t>des</w:t>
      </w:r>
      <w:r w:rsidR="00347DCE" w:rsidRPr="00B20DF6">
        <w:t xml:space="preserve"> excellents moyens mis à la disposition de </w:t>
      </w:r>
      <w:r w:rsidR="00A32D39" w:rsidRPr="00B20DF6">
        <w:t>la manifestation</w:t>
      </w:r>
      <w:r w:rsidRPr="00B20DF6">
        <w:t>.</w:t>
      </w:r>
    </w:p>
    <w:p w14:paraId="77CC4413" w14:textId="74F25DD1" w:rsidR="004C45B5" w:rsidRPr="00B20DF6" w:rsidRDefault="004C45B5" w:rsidP="00945ED9">
      <w:pPr>
        <w:pStyle w:val="Heading1"/>
      </w:pPr>
      <w:r w:rsidRPr="00B20DF6">
        <w:t>2</w:t>
      </w:r>
      <w:r w:rsidRPr="00B20DF6">
        <w:tab/>
      </w:r>
      <w:r w:rsidR="006475BB" w:rsidRPr="00B20DF6">
        <w:t xml:space="preserve">Vingt-septième série de textes soumis par la Commission de rédaction – seconde lecture </w:t>
      </w:r>
      <w:r w:rsidRPr="00B20DF6">
        <w:t xml:space="preserve">(Document </w:t>
      </w:r>
      <w:hyperlink r:id="rId13" w:history="1">
        <w:r w:rsidRPr="00B20DF6">
          <w:rPr>
            <w:rStyle w:val="Hyperlink"/>
            <w:bCs/>
          </w:rPr>
          <w:t>197</w:t>
        </w:r>
      </w:hyperlink>
      <w:r w:rsidRPr="00B20DF6">
        <w:t>) (</w:t>
      </w:r>
      <w:r w:rsidR="00E82E8A" w:rsidRPr="00B20DF6">
        <w:t>suite</w:t>
      </w:r>
      <w:r w:rsidRPr="00B20DF6">
        <w:t>)</w:t>
      </w:r>
    </w:p>
    <w:p w14:paraId="725C835C" w14:textId="1EB4CE6F" w:rsidR="004C45B5" w:rsidRPr="00B20DF6" w:rsidRDefault="004C45B5" w:rsidP="00945ED9">
      <w:r w:rsidRPr="00B20DF6">
        <w:t>2.1</w:t>
      </w:r>
      <w:r w:rsidRPr="00B20DF6">
        <w:tab/>
      </w:r>
      <w:r w:rsidR="00050541" w:rsidRPr="00B20DF6">
        <w:t xml:space="preserve">Comme indiqué </w:t>
      </w:r>
      <w:r w:rsidR="00D106CC" w:rsidRPr="00B20DF6">
        <w:t>au cours</w:t>
      </w:r>
      <w:r w:rsidR="00050541" w:rsidRPr="00B20DF6">
        <w:t xml:space="preserve"> de la </w:t>
      </w:r>
      <w:r w:rsidR="00D106CC" w:rsidRPr="00B20DF6">
        <w:t xml:space="preserve">séance plénière </w:t>
      </w:r>
      <w:r w:rsidR="00050541" w:rsidRPr="00B20DF6">
        <w:t>précédente</w:t>
      </w:r>
      <w:r w:rsidR="00D106CC" w:rsidRPr="00B20DF6">
        <w:t>,</w:t>
      </w:r>
      <w:r w:rsidR="00050541" w:rsidRPr="00B20DF6">
        <w:t xml:space="preserve"> </w:t>
      </w:r>
      <w:r w:rsidR="00E65E71" w:rsidRPr="00B20DF6">
        <w:t xml:space="preserve">le </w:t>
      </w:r>
      <w:r w:rsidR="00E65E71" w:rsidRPr="00B20DF6">
        <w:rPr>
          <w:b/>
          <w:bCs/>
        </w:rPr>
        <w:t xml:space="preserve">Président </w:t>
      </w:r>
      <w:r w:rsidR="000B289E" w:rsidRPr="00B20DF6">
        <w:t>invite les participant</w:t>
      </w:r>
      <w:r w:rsidR="00863738" w:rsidRPr="00B20DF6">
        <w:t>s</w:t>
      </w:r>
      <w:r w:rsidR="000B289E" w:rsidRPr="00B20DF6">
        <w:t xml:space="preserve"> à</w:t>
      </w:r>
      <w:r w:rsidR="00945ED9" w:rsidRPr="00B20DF6">
        <w:t xml:space="preserve"> </w:t>
      </w:r>
      <w:r w:rsidR="0032757E" w:rsidRPr="00B20DF6">
        <w:t>faire</w:t>
      </w:r>
      <w:r w:rsidR="000F0870" w:rsidRPr="00B20DF6">
        <w:t xml:space="preserve"> </w:t>
      </w:r>
      <w:r w:rsidR="0032757E" w:rsidRPr="00B20DF6">
        <w:t xml:space="preserve">des </w:t>
      </w:r>
      <w:r w:rsidR="00926D16" w:rsidRPr="00B20DF6">
        <w:t>déclaration</w:t>
      </w:r>
      <w:r w:rsidR="0032757E" w:rsidRPr="00B20DF6">
        <w:t>s</w:t>
      </w:r>
      <w:r w:rsidR="00926D16" w:rsidRPr="00B20DF6">
        <w:t xml:space="preserve"> </w:t>
      </w:r>
      <w:r w:rsidR="0032757E" w:rsidRPr="00B20DF6">
        <w:t xml:space="preserve">ou des interventions </w:t>
      </w:r>
      <w:r w:rsidR="0096328E" w:rsidRPr="00B20DF6">
        <w:t>supplémentaire</w:t>
      </w:r>
      <w:r w:rsidR="0032757E" w:rsidRPr="00B20DF6">
        <w:t>s</w:t>
      </w:r>
      <w:r w:rsidR="00945ED9" w:rsidRPr="00B20DF6">
        <w:t xml:space="preserve"> </w:t>
      </w:r>
      <w:r w:rsidR="00926D16" w:rsidRPr="00B20DF6">
        <w:t xml:space="preserve">concernant l'adoption de la Résolution 139 </w:t>
      </w:r>
      <w:r w:rsidR="000B289E" w:rsidRPr="00B20DF6">
        <w:t>(Rév. Bucarest, 2022) approuvée dans le Document 197.</w:t>
      </w:r>
    </w:p>
    <w:p w14:paraId="6228675E" w14:textId="4BC9217E" w:rsidR="004C45B5" w:rsidRPr="00B20DF6" w:rsidRDefault="004C45B5" w:rsidP="00945ED9">
      <w:r w:rsidRPr="00B20DF6">
        <w:t>2.2</w:t>
      </w:r>
      <w:r w:rsidRPr="00B20DF6">
        <w:tab/>
      </w:r>
      <w:r w:rsidR="00D97AE8" w:rsidRPr="00B20DF6">
        <w:t xml:space="preserve">La </w:t>
      </w:r>
      <w:r w:rsidR="00D97AE8" w:rsidRPr="00B20DF6">
        <w:rPr>
          <w:b/>
          <w:bCs/>
        </w:rPr>
        <w:t xml:space="preserve">déléguée des </w:t>
      </w:r>
      <w:r w:rsidR="00422C66" w:rsidRPr="00B20DF6">
        <w:rPr>
          <w:b/>
          <w:bCs/>
        </w:rPr>
        <w:t>É</w:t>
      </w:r>
      <w:r w:rsidR="00D97AE8" w:rsidRPr="00B20DF6">
        <w:rPr>
          <w:b/>
          <w:bCs/>
        </w:rPr>
        <w:t>mirats arabes unis</w:t>
      </w:r>
      <w:r w:rsidR="00D97AE8" w:rsidRPr="00B20DF6">
        <w:t xml:space="preserve"> exprime la déception de son pays</w:t>
      </w:r>
      <w:r w:rsidR="00945ED9" w:rsidRPr="00B20DF6">
        <w:t xml:space="preserve"> </w:t>
      </w:r>
      <w:r w:rsidR="0032757E" w:rsidRPr="00B20DF6">
        <w:t>à propos</w:t>
      </w:r>
      <w:r w:rsidR="00D97AE8" w:rsidRPr="00B20DF6">
        <w:t xml:space="preserve"> des </w:t>
      </w:r>
      <w:r w:rsidR="009E70FA" w:rsidRPr="00B20DF6">
        <w:t>débats</w:t>
      </w:r>
      <w:r w:rsidR="000E76B5" w:rsidRPr="00B20DF6">
        <w:t xml:space="preserve"> </w:t>
      </w:r>
      <w:r w:rsidR="00D97AE8" w:rsidRPr="00B20DF6">
        <w:t xml:space="preserve">sur la Résolution 139 (Rév. Bucarest, 2022) et </w:t>
      </w:r>
      <w:r w:rsidR="009E70FA" w:rsidRPr="00B20DF6">
        <w:t xml:space="preserve">de </w:t>
      </w:r>
      <w:r w:rsidR="00D97AE8" w:rsidRPr="00B20DF6">
        <w:t xml:space="preserve">la </w:t>
      </w:r>
      <w:r w:rsidR="00C02622" w:rsidRPr="00B20DF6">
        <w:t xml:space="preserve">déformation </w:t>
      </w:r>
      <w:r w:rsidR="00D97AE8" w:rsidRPr="00B20DF6">
        <w:t xml:space="preserve">des faits </w:t>
      </w:r>
      <w:r w:rsidR="009E70FA" w:rsidRPr="00B20DF6">
        <w:t xml:space="preserve">au cours de </w:t>
      </w:r>
      <w:r w:rsidR="00D97AE8" w:rsidRPr="00B20DF6">
        <w:t>ces discussions</w:t>
      </w:r>
      <w:r w:rsidR="006B5A3E" w:rsidRPr="00B20DF6">
        <w:t>,</w:t>
      </w:r>
      <w:r w:rsidR="00D97AE8" w:rsidRPr="00B20DF6">
        <w:t xml:space="preserve"> </w:t>
      </w:r>
      <w:r w:rsidR="005B4806" w:rsidRPr="00B20DF6">
        <w:t xml:space="preserve">à l'occasion de laquelle </w:t>
      </w:r>
      <w:r w:rsidR="008B15F9" w:rsidRPr="00B20DF6">
        <w:t>le</w:t>
      </w:r>
      <w:r w:rsidR="0032757E" w:rsidRPr="00B20DF6">
        <w:t>s</w:t>
      </w:r>
      <w:r w:rsidR="00945ED9" w:rsidRPr="00B20DF6">
        <w:t xml:space="preserve"> </w:t>
      </w:r>
      <w:r w:rsidR="008B15F9" w:rsidRPr="00B20DF6">
        <w:t>vue</w:t>
      </w:r>
      <w:r w:rsidR="0032757E" w:rsidRPr="00B20DF6">
        <w:t>s</w:t>
      </w:r>
      <w:r w:rsidR="008B15F9" w:rsidRPr="00B20DF6">
        <w:t xml:space="preserve"> de certains groupes régionaux </w:t>
      </w:r>
      <w:r w:rsidR="0032757E" w:rsidRPr="00B20DF6">
        <w:t xml:space="preserve">ont </w:t>
      </w:r>
      <w:r w:rsidR="005B4806" w:rsidRPr="00B20DF6">
        <w:t>été sorti</w:t>
      </w:r>
      <w:r w:rsidR="0032757E" w:rsidRPr="00B20DF6">
        <w:t>es</w:t>
      </w:r>
      <w:r w:rsidR="005B4806" w:rsidRPr="00B20DF6">
        <w:t xml:space="preserve"> </w:t>
      </w:r>
      <w:r w:rsidR="00E824FA" w:rsidRPr="00B20DF6">
        <w:t xml:space="preserve">du </w:t>
      </w:r>
      <w:r w:rsidR="00D97AE8" w:rsidRPr="00B20DF6">
        <w:t>contexte de la Résolution.</w:t>
      </w:r>
      <w:r w:rsidRPr="00B20DF6">
        <w:t xml:space="preserve"> </w:t>
      </w:r>
      <w:r w:rsidR="0032757E" w:rsidRPr="00B20DF6">
        <w:t>Il</w:t>
      </w:r>
      <w:r w:rsidR="00945ED9" w:rsidRPr="00B20DF6">
        <w:t xml:space="preserve"> </w:t>
      </w:r>
      <w:r w:rsidR="00BC5CDE" w:rsidRPr="00B20DF6">
        <w:t xml:space="preserve">a </w:t>
      </w:r>
      <w:r w:rsidR="0032757E" w:rsidRPr="00B20DF6">
        <w:t xml:space="preserve">été </w:t>
      </w:r>
      <w:r w:rsidR="001F335B" w:rsidRPr="00B20DF6">
        <w:t>estimé</w:t>
      </w:r>
      <w:r w:rsidR="00BC5CDE" w:rsidRPr="00B20DF6">
        <w:t xml:space="preserve"> que </w:t>
      </w:r>
      <w:r w:rsidR="0032757E" w:rsidRPr="00B20DF6">
        <w:t>ces</w:t>
      </w:r>
      <w:r w:rsidR="00945ED9" w:rsidRPr="00B20DF6">
        <w:t xml:space="preserve"> </w:t>
      </w:r>
      <w:r w:rsidR="00E13836" w:rsidRPr="00B20DF6">
        <w:t xml:space="preserve">groupes </w:t>
      </w:r>
      <w:r w:rsidR="001A4BFC" w:rsidRPr="00B20DF6">
        <w:t>ne reconnaiss</w:t>
      </w:r>
      <w:r w:rsidR="00F85C60" w:rsidRPr="00B20DF6">
        <w:t>ai</w:t>
      </w:r>
      <w:r w:rsidR="00EE1861" w:rsidRPr="00B20DF6">
        <w:t>ent pas la fracture numérique</w:t>
      </w:r>
      <w:r w:rsidR="00C25534" w:rsidRPr="00B20DF6">
        <w:t>,</w:t>
      </w:r>
      <w:r w:rsidR="00102FEB" w:rsidRPr="00B20DF6">
        <w:t xml:space="preserve"> </w:t>
      </w:r>
      <w:r w:rsidR="0032757E" w:rsidRPr="00B20DF6">
        <w:t>alors que les</w:t>
      </w:r>
      <w:r w:rsidR="00102FEB" w:rsidRPr="00B20DF6">
        <w:t xml:space="preserve"> nombreuses contributions </w:t>
      </w:r>
      <w:r w:rsidR="0032757E" w:rsidRPr="00B20DF6">
        <w:t>qu</w:t>
      </w:r>
      <w:r w:rsidR="00945ED9" w:rsidRPr="00B20DF6">
        <w:t>'</w:t>
      </w:r>
      <w:r w:rsidR="0032757E" w:rsidRPr="00B20DF6">
        <w:t xml:space="preserve">ils ont </w:t>
      </w:r>
      <w:r w:rsidR="00102FEB" w:rsidRPr="00B20DF6">
        <w:t>déjà soumises</w:t>
      </w:r>
      <w:r w:rsidR="00945ED9" w:rsidRPr="00B20DF6">
        <w:t xml:space="preserve"> </w:t>
      </w:r>
      <w:r w:rsidR="00316AA7" w:rsidRPr="00B20DF6">
        <w:t xml:space="preserve">soulignent combien il est important de garantir l'inclusion de </w:t>
      </w:r>
      <w:r w:rsidR="0032757E" w:rsidRPr="00B20DF6">
        <w:t>toutes</w:t>
      </w:r>
      <w:r w:rsidR="00945ED9" w:rsidRPr="00B20DF6">
        <w:t xml:space="preserve"> </w:t>
      </w:r>
      <w:r w:rsidR="0032757E" w:rsidRPr="00B20DF6">
        <w:t>les personnes</w:t>
      </w:r>
      <w:r w:rsidR="00316AA7" w:rsidRPr="00B20DF6">
        <w:t xml:space="preserve">, </w:t>
      </w:r>
      <w:r w:rsidR="0032757E" w:rsidRPr="00B20DF6">
        <w:t>indépendamment de</w:t>
      </w:r>
      <w:r w:rsidR="009E6BD1" w:rsidRPr="00B20DF6">
        <w:t xml:space="preserve"> l</w:t>
      </w:r>
      <w:r w:rsidR="0032757E" w:rsidRPr="00B20DF6">
        <w:t>eur</w:t>
      </w:r>
      <w:r w:rsidR="00945ED9" w:rsidRPr="00B20DF6">
        <w:t xml:space="preserve"> </w:t>
      </w:r>
      <w:r w:rsidR="009E6BD1" w:rsidRPr="00B20DF6">
        <w:t>âge</w:t>
      </w:r>
      <w:r w:rsidR="00D15B34" w:rsidRPr="00B20DF6">
        <w:t xml:space="preserve"> ou</w:t>
      </w:r>
      <w:r w:rsidR="0032757E" w:rsidRPr="00B20DF6">
        <w:t xml:space="preserve"> de</w:t>
      </w:r>
      <w:r w:rsidR="00945ED9" w:rsidRPr="00B20DF6">
        <w:t xml:space="preserve"> </w:t>
      </w:r>
      <w:r w:rsidR="00D15B34" w:rsidRPr="00B20DF6">
        <w:t>le</w:t>
      </w:r>
      <w:r w:rsidR="0032757E" w:rsidRPr="00B20DF6">
        <w:t>ur</w:t>
      </w:r>
      <w:r w:rsidR="00D15B34" w:rsidRPr="00B20DF6">
        <w:t>s besoins</w:t>
      </w:r>
      <w:r w:rsidR="00945ED9" w:rsidRPr="00B20DF6">
        <w:t>,</w:t>
      </w:r>
      <w:r w:rsidR="009E6BD1" w:rsidRPr="00B20DF6">
        <w:t xml:space="preserve"> </w:t>
      </w:r>
      <w:r w:rsidR="00D15B34" w:rsidRPr="00B20DF6">
        <w:t>y compris les personnes handicapées, les personnes ayant des besoins particuliers et les peuples autochtones.</w:t>
      </w:r>
      <w:r w:rsidR="00F87692" w:rsidRPr="00B20DF6">
        <w:t xml:space="preserve"> </w:t>
      </w:r>
      <w:r w:rsidR="00C55E7B" w:rsidRPr="00B20DF6">
        <w:t xml:space="preserve">Les propositions </w:t>
      </w:r>
      <w:r w:rsidR="00E3592F" w:rsidRPr="00B20DF6">
        <w:t xml:space="preserve">portaient </w:t>
      </w:r>
      <w:r w:rsidR="00C55E7B" w:rsidRPr="00B20DF6">
        <w:t>sur tous les aspects de l'accès universel et vis</w:t>
      </w:r>
      <w:r w:rsidR="006D7986" w:rsidRPr="00B20DF6">
        <w:t>aie</w:t>
      </w:r>
      <w:r w:rsidR="00C55E7B" w:rsidRPr="00B20DF6">
        <w:t>nt à réduire la fracture numérique pour tous</w:t>
      </w:r>
      <w:r w:rsidR="0032757E" w:rsidRPr="00B20DF6">
        <w:t>,</w:t>
      </w:r>
      <w:r w:rsidR="00C55E7B" w:rsidRPr="00B20DF6">
        <w:t xml:space="preserve"> en assurant l'accessibilité des télécommunications/TIC dans les différentes régions et les différents pays du monde. </w:t>
      </w:r>
      <w:r w:rsidR="006D7986" w:rsidRPr="00D937FB">
        <w:rPr>
          <w:rFonts w:asciiTheme="minorHAnsi" w:hAnsiTheme="minorHAnsi"/>
          <w:szCs w:val="24"/>
        </w:rPr>
        <w:t xml:space="preserve">Malheureusement, ces propositions n'ont pas été acceptées. </w:t>
      </w:r>
      <w:r w:rsidR="00F651C4" w:rsidRPr="00D937FB">
        <w:rPr>
          <w:rFonts w:asciiTheme="minorHAnsi" w:hAnsiTheme="minorHAnsi"/>
          <w:szCs w:val="24"/>
        </w:rPr>
        <w:t>Les Émirats arabes unis ont toujours soutenu les femmes</w:t>
      </w:r>
      <w:r w:rsidR="0032757E" w:rsidRPr="00D937FB">
        <w:rPr>
          <w:rFonts w:asciiTheme="minorHAnsi" w:hAnsiTheme="minorHAnsi"/>
          <w:szCs w:val="24"/>
        </w:rPr>
        <w:t>, les jeunes</w:t>
      </w:r>
      <w:r w:rsidR="00945ED9" w:rsidRPr="00D937FB">
        <w:rPr>
          <w:rFonts w:asciiTheme="minorHAnsi" w:hAnsiTheme="minorHAnsi"/>
          <w:szCs w:val="24"/>
        </w:rPr>
        <w:t xml:space="preserve"> </w:t>
      </w:r>
      <w:r w:rsidR="00F651C4" w:rsidRPr="00D937FB">
        <w:rPr>
          <w:rFonts w:asciiTheme="minorHAnsi" w:hAnsiTheme="minorHAnsi"/>
          <w:szCs w:val="24"/>
        </w:rPr>
        <w:t>et les jeunes filles dans tous les secteurs et</w:t>
      </w:r>
      <w:r w:rsidR="00945ED9" w:rsidRPr="00D937FB">
        <w:rPr>
          <w:rFonts w:asciiTheme="minorHAnsi" w:hAnsiTheme="minorHAnsi"/>
          <w:szCs w:val="24"/>
        </w:rPr>
        <w:t xml:space="preserve"> </w:t>
      </w:r>
      <w:r w:rsidR="00F651C4" w:rsidRPr="00D937FB">
        <w:rPr>
          <w:rFonts w:asciiTheme="minorHAnsi" w:hAnsiTheme="minorHAnsi"/>
          <w:szCs w:val="24"/>
        </w:rPr>
        <w:t xml:space="preserve">tous les domaines, aux niveaux national et international, et </w:t>
      </w:r>
      <w:r w:rsidR="0032757E" w:rsidRPr="00D937FB">
        <w:rPr>
          <w:rFonts w:asciiTheme="minorHAnsi" w:hAnsiTheme="minorHAnsi"/>
          <w:szCs w:val="24"/>
        </w:rPr>
        <w:t>continuent</w:t>
      </w:r>
      <w:r w:rsidR="003A3AF5" w:rsidRPr="00D937FB">
        <w:rPr>
          <w:rFonts w:asciiTheme="minorHAnsi" w:hAnsiTheme="minorHAnsi"/>
          <w:szCs w:val="24"/>
        </w:rPr>
        <w:t xml:space="preserve"> </w:t>
      </w:r>
      <w:r w:rsidR="00F651C4" w:rsidRPr="00D937FB">
        <w:rPr>
          <w:rFonts w:asciiTheme="minorHAnsi" w:hAnsiTheme="minorHAnsi"/>
          <w:szCs w:val="24"/>
        </w:rPr>
        <w:t xml:space="preserve">de le faire. </w:t>
      </w:r>
      <w:r w:rsidR="00CB794E" w:rsidRPr="00D937FB">
        <w:rPr>
          <w:rFonts w:asciiTheme="minorHAnsi" w:hAnsiTheme="minorHAnsi"/>
          <w:szCs w:val="24"/>
        </w:rPr>
        <w:t xml:space="preserve">Les femmes représentent </w:t>
      </w:r>
      <w:r w:rsidR="00FE6A96" w:rsidRPr="00D937FB">
        <w:rPr>
          <w:rFonts w:asciiTheme="minorHAnsi" w:hAnsiTheme="minorHAnsi"/>
          <w:szCs w:val="24"/>
        </w:rPr>
        <w:t xml:space="preserve">50% des membres </w:t>
      </w:r>
      <w:r w:rsidR="00CB794E" w:rsidRPr="00D937FB">
        <w:rPr>
          <w:rFonts w:asciiTheme="minorHAnsi" w:hAnsiTheme="minorHAnsi"/>
          <w:szCs w:val="24"/>
        </w:rPr>
        <w:t xml:space="preserve">du Conseil national fédéral des </w:t>
      </w:r>
      <w:r w:rsidR="00422C66" w:rsidRPr="00D937FB">
        <w:rPr>
          <w:rFonts w:asciiTheme="minorHAnsi" w:hAnsiTheme="minorHAnsi"/>
          <w:szCs w:val="24"/>
        </w:rPr>
        <w:t>É</w:t>
      </w:r>
      <w:r w:rsidR="00CB794E" w:rsidRPr="00D937FB">
        <w:rPr>
          <w:rFonts w:asciiTheme="minorHAnsi" w:hAnsiTheme="minorHAnsi"/>
          <w:szCs w:val="24"/>
        </w:rPr>
        <w:t xml:space="preserve">mirats arabes unis et </w:t>
      </w:r>
      <w:r w:rsidR="00F8203D" w:rsidRPr="00D937FB">
        <w:rPr>
          <w:rFonts w:asciiTheme="minorHAnsi" w:hAnsiTheme="minorHAnsi"/>
          <w:szCs w:val="24"/>
        </w:rPr>
        <w:t xml:space="preserve">un tiers des membres </w:t>
      </w:r>
      <w:r w:rsidR="004934A8" w:rsidRPr="00D937FB">
        <w:rPr>
          <w:rFonts w:asciiTheme="minorHAnsi" w:hAnsiTheme="minorHAnsi"/>
          <w:szCs w:val="24"/>
        </w:rPr>
        <w:t>du</w:t>
      </w:r>
      <w:r w:rsidR="00945ED9" w:rsidRPr="00D937FB">
        <w:rPr>
          <w:rFonts w:asciiTheme="minorHAnsi" w:hAnsiTheme="minorHAnsi"/>
          <w:szCs w:val="24"/>
        </w:rPr>
        <w:t xml:space="preserve"> </w:t>
      </w:r>
      <w:r w:rsidR="004934A8" w:rsidRPr="00D937FB">
        <w:rPr>
          <w:rFonts w:asciiTheme="minorHAnsi" w:hAnsiTheme="minorHAnsi"/>
          <w:szCs w:val="24"/>
        </w:rPr>
        <w:t xml:space="preserve">gouvernement, </w:t>
      </w:r>
      <w:r w:rsidR="00233D1B" w:rsidRPr="00D937FB">
        <w:rPr>
          <w:rFonts w:asciiTheme="minorHAnsi" w:hAnsiTheme="minorHAnsi"/>
          <w:szCs w:val="24"/>
        </w:rPr>
        <w:t>au sein duquel une jeune femme</w:t>
      </w:r>
      <w:r w:rsidR="00945ED9" w:rsidRPr="00D937FB">
        <w:rPr>
          <w:rFonts w:asciiTheme="minorHAnsi" w:hAnsiTheme="minorHAnsi"/>
          <w:szCs w:val="24"/>
        </w:rPr>
        <w:t xml:space="preserve"> </w:t>
      </w:r>
      <w:r w:rsidR="004D1280" w:rsidRPr="00D937FB">
        <w:rPr>
          <w:rFonts w:asciiTheme="minorHAnsi" w:hAnsiTheme="minorHAnsi"/>
          <w:szCs w:val="24"/>
        </w:rPr>
        <w:t xml:space="preserve">exerce les fonctions de Ministre </w:t>
      </w:r>
      <w:r w:rsidR="0032757E" w:rsidRPr="00D937FB">
        <w:rPr>
          <w:rFonts w:asciiTheme="minorHAnsi" w:hAnsiTheme="minorHAnsi" w:cs="Segoe UI"/>
          <w:color w:val="000000"/>
          <w:szCs w:val="24"/>
          <w:shd w:val="clear" w:color="auto" w:fill="FFFFFF"/>
        </w:rPr>
        <w:t xml:space="preserve">d'État </w:t>
      </w:r>
      <w:r w:rsidR="004D1280" w:rsidRPr="00D937FB">
        <w:rPr>
          <w:rFonts w:asciiTheme="minorHAnsi" w:hAnsiTheme="minorHAnsi"/>
          <w:szCs w:val="24"/>
        </w:rPr>
        <w:t>de la</w:t>
      </w:r>
      <w:r w:rsidR="004D1280" w:rsidRPr="00B20DF6">
        <w:t xml:space="preserve"> jeunesse</w:t>
      </w:r>
      <w:r w:rsidR="00945ED9" w:rsidRPr="00B20DF6">
        <w:t xml:space="preserve"> </w:t>
      </w:r>
      <w:r w:rsidR="0032757E" w:rsidRPr="00B20DF6">
        <w:t>et</w:t>
      </w:r>
      <w:r w:rsidR="00945ED9" w:rsidRPr="00B20DF6">
        <w:t xml:space="preserve"> </w:t>
      </w:r>
      <w:r w:rsidR="00AB05F9" w:rsidRPr="00B20DF6">
        <w:t xml:space="preserve">conduit l'action nationale visant à </w:t>
      </w:r>
      <w:r w:rsidR="00885F61" w:rsidRPr="00B20DF6">
        <w:t xml:space="preserve">satisfaire les besoins des jeunes </w:t>
      </w:r>
      <w:r w:rsidR="005C05FF" w:rsidRPr="00B20DF6">
        <w:t>du pays.</w:t>
      </w:r>
      <w:r w:rsidRPr="00B20DF6">
        <w:t xml:space="preserve"> </w:t>
      </w:r>
      <w:r w:rsidR="00461EB0" w:rsidRPr="00B20DF6">
        <w:t>L</w:t>
      </w:r>
      <w:r w:rsidR="003607CC" w:rsidRPr="00B20DF6">
        <w:t>es mesures prises rapidement par son pays pour autonomiser les femmes, soutenir les jeunes et garantir l'égalité des chances pour tous ses citoyens et résidents</w:t>
      </w:r>
      <w:r w:rsidR="00504181" w:rsidRPr="00B20DF6">
        <w:t xml:space="preserve"> sont indéniables</w:t>
      </w:r>
      <w:r w:rsidR="003607CC" w:rsidRPr="00B20DF6">
        <w:t xml:space="preserve">. </w:t>
      </w:r>
      <w:r w:rsidR="00325DD7" w:rsidRPr="00B20DF6">
        <w:t>À</w:t>
      </w:r>
      <w:r w:rsidR="00504181" w:rsidRPr="00B20DF6">
        <w:t xml:space="preserve"> cette fin, le gouvernement a créé un Conseil national de la parité hommes-femmes, </w:t>
      </w:r>
      <w:r w:rsidR="0032757E" w:rsidRPr="00B20DF6">
        <w:t>qui a pour mission</w:t>
      </w:r>
      <w:r w:rsidR="00504181" w:rsidRPr="00B20DF6">
        <w:t xml:space="preserve"> de parvenir à l'équilibre hommes-femmes dans tous les </w:t>
      </w:r>
      <w:r w:rsidR="00304A7F" w:rsidRPr="00B20DF6">
        <w:t>postes</w:t>
      </w:r>
      <w:r w:rsidR="00945ED9" w:rsidRPr="00B20DF6">
        <w:t xml:space="preserve"> </w:t>
      </w:r>
      <w:r w:rsidR="00304A7F" w:rsidRPr="00B20DF6">
        <w:t>décisionnels</w:t>
      </w:r>
      <w:r w:rsidR="00504181" w:rsidRPr="00B20DF6">
        <w:t xml:space="preserve"> et dans l'ensemble du pays</w:t>
      </w:r>
      <w:r w:rsidR="00C613F0" w:rsidRPr="00B20DF6">
        <w:t>, ainsi que</w:t>
      </w:r>
      <w:r w:rsidR="00504181" w:rsidRPr="00B20DF6">
        <w:t xml:space="preserve"> de </w:t>
      </w:r>
      <w:r w:rsidR="0078095E" w:rsidRPr="00B20DF6">
        <w:t>faire du</w:t>
      </w:r>
      <w:r w:rsidR="00504181" w:rsidRPr="00B20DF6">
        <w:t xml:space="preserve"> pays </w:t>
      </w:r>
      <w:r w:rsidR="0078095E" w:rsidRPr="00B20DF6">
        <w:t xml:space="preserve">une </w:t>
      </w:r>
      <w:r w:rsidR="00504181" w:rsidRPr="00B20DF6">
        <w:t xml:space="preserve">référence en matière d'équilibre hommes-femmes en lançant des initiatives </w:t>
      </w:r>
      <w:r w:rsidR="00F969C0" w:rsidRPr="00B20DF6">
        <w:t>novatrices</w:t>
      </w:r>
      <w:r w:rsidR="00504181" w:rsidRPr="00B20DF6">
        <w:t>.</w:t>
      </w:r>
      <w:r w:rsidRPr="00B20DF6">
        <w:t xml:space="preserve"> </w:t>
      </w:r>
      <w:r w:rsidR="00D64075" w:rsidRPr="00B20DF6">
        <w:t xml:space="preserve">Les </w:t>
      </w:r>
      <w:r w:rsidR="00422C66" w:rsidRPr="00B20DF6">
        <w:t>É</w:t>
      </w:r>
      <w:r w:rsidR="00D64075" w:rsidRPr="00B20DF6">
        <w:t xml:space="preserve">mirats arabes unis </w:t>
      </w:r>
      <w:r w:rsidR="007820F7" w:rsidRPr="00B20DF6">
        <w:t>constituent</w:t>
      </w:r>
      <w:r w:rsidR="00D64075" w:rsidRPr="00B20DF6">
        <w:t xml:space="preserve"> donc un exemple </w:t>
      </w:r>
      <w:r w:rsidR="00304A7F" w:rsidRPr="00B20DF6">
        <w:t>s</w:t>
      </w:r>
      <w:r w:rsidR="00945ED9" w:rsidRPr="00B20DF6">
        <w:t>'</w:t>
      </w:r>
      <w:r w:rsidR="00304A7F" w:rsidRPr="00B20DF6">
        <w:t>agissant des efforts déployés pour</w:t>
      </w:r>
      <w:r w:rsidR="00945ED9" w:rsidRPr="00B20DF6">
        <w:t xml:space="preserve"> </w:t>
      </w:r>
      <w:r w:rsidR="00D64075" w:rsidRPr="00B20DF6">
        <w:t>réduire la fracture numérique entre les hommes et les femmes.</w:t>
      </w:r>
    </w:p>
    <w:p w14:paraId="13C39321" w14:textId="77777777" w:rsidR="00D937FB" w:rsidRDefault="004C45B5" w:rsidP="00945ED9">
      <w:r w:rsidRPr="00B20DF6">
        <w:t>2.3</w:t>
      </w:r>
      <w:r w:rsidRPr="00B20DF6">
        <w:tab/>
      </w:r>
      <w:r w:rsidR="00EC2B5B" w:rsidRPr="00B20DF6">
        <w:t xml:space="preserve">La </w:t>
      </w:r>
      <w:r w:rsidR="00EC2B5B" w:rsidRPr="00B20DF6">
        <w:rPr>
          <w:b/>
          <w:bCs/>
        </w:rPr>
        <w:t>déléguée de la Tunisie</w:t>
      </w:r>
      <w:r w:rsidR="00EC2B5B" w:rsidRPr="00B20DF6">
        <w:t xml:space="preserve"> affirme que les femmes arabes en général, et les femmes tunisiennes en particulier, jouent, et continueront de jouer, un rôle vital dans le développement du pays à tous les niveaux, notamment </w:t>
      </w:r>
      <w:r w:rsidR="00304A7F" w:rsidRPr="00B20DF6">
        <w:t>aux niveaux</w:t>
      </w:r>
      <w:r w:rsidR="00EC2B5B" w:rsidRPr="00B20DF6">
        <w:t xml:space="preserve"> politique, diplomatique, social </w:t>
      </w:r>
      <w:r w:rsidR="00D937FB">
        <w:t>et économique, </w:t>
      </w:r>
      <w:r w:rsidR="00EC2B5B" w:rsidRPr="00B20DF6">
        <w:t xml:space="preserve">et </w:t>
      </w:r>
      <w:r w:rsidR="00304A7F" w:rsidRPr="00B20DF6">
        <w:t xml:space="preserve">que </w:t>
      </w:r>
      <w:r w:rsidR="00EC2B5B" w:rsidRPr="00B20DF6">
        <w:t>leur participation aux côtés des hommes à cette fin</w:t>
      </w:r>
      <w:r w:rsidR="00945ED9" w:rsidRPr="00B20DF6">
        <w:t xml:space="preserve"> </w:t>
      </w:r>
      <w:r w:rsidR="00304A7F" w:rsidRPr="00B20DF6">
        <w:t xml:space="preserve">apparaît </w:t>
      </w:r>
      <w:r w:rsidR="00EC2B5B" w:rsidRPr="00B20DF6">
        <w:t>très claire</w:t>
      </w:r>
      <w:r w:rsidR="00304A7F" w:rsidRPr="00B20DF6">
        <w:t>ment</w:t>
      </w:r>
      <w:r w:rsidR="00EC2B5B" w:rsidRPr="00B20DF6">
        <w:t xml:space="preserve">. </w:t>
      </w:r>
      <w:r w:rsidR="00D937FB">
        <w:br w:type="page"/>
      </w:r>
    </w:p>
    <w:p w14:paraId="4312603C" w14:textId="1E96A1A2" w:rsidR="004C45B5" w:rsidRPr="00B20DF6" w:rsidRDefault="00B17166" w:rsidP="00945ED9">
      <w:r w:rsidRPr="00B20DF6">
        <w:lastRenderedPageBreak/>
        <w:t xml:space="preserve">Le </w:t>
      </w:r>
      <w:r w:rsidR="00783839" w:rsidRPr="00B20DF6">
        <w:t xml:space="preserve">pays </w:t>
      </w:r>
      <w:r w:rsidRPr="00B20DF6">
        <w:t xml:space="preserve">de l'oratrice </w:t>
      </w:r>
      <w:r w:rsidR="00783839" w:rsidRPr="00B20DF6">
        <w:t>a aidé les femmes et les jeunes filles à accéder aux TIC modernes et à en tirer parti.</w:t>
      </w:r>
      <w:r w:rsidR="004C45B5" w:rsidRPr="00B20DF6">
        <w:t xml:space="preserve"> </w:t>
      </w:r>
      <w:r w:rsidR="00B233C4" w:rsidRPr="00B20DF6">
        <w:t xml:space="preserve">La question de la discrimination entre les hommes et les femmes n'aurait pas dû être </w:t>
      </w:r>
      <w:proofErr w:type="gramStart"/>
      <w:r w:rsidR="00B233C4" w:rsidRPr="00B20DF6">
        <w:t>évoquée:</w:t>
      </w:r>
      <w:proofErr w:type="gramEnd"/>
      <w:r w:rsidR="00B233C4" w:rsidRPr="00B20DF6">
        <w:t xml:space="preserve"> les </w:t>
      </w:r>
      <w:r w:rsidR="00325DD7" w:rsidRPr="00B20DF6">
        <w:t>É</w:t>
      </w:r>
      <w:r w:rsidR="00B233C4" w:rsidRPr="00B20DF6">
        <w:t xml:space="preserve">tats arabes, </w:t>
      </w:r>
      <w:r w:rsidR="00750FE6" w:rsidRPr="00B20DF6">
        <w:t>dont</w:t>
      </w:r>
      <w:r w:rsidR="00B233C4" w:rsidRPr="00B20DF6">
        <w:t xml:space="preserve"> la Tunisie, n'établissent pas de distinction entre les hommes et les femmes.</w:t>
      </w:r>
    </w:p>
    <w:p w14:paraId="3302A488" w14:textId="74EB35D0" w:rsidR="004C45B5" w:rsidRPr="00B20DF6" w:rsidRDefault="004C45B5" w:rsidP="00945ED9">
      <w:r w:rsidRPr="00B20DF6">
        <w:t>2.4</w:t>
      </w:r>
      <w:r w:rsidRPr="00B20DF6">
        <w:tab/>
      </w:r>
      <w:r w:rsidR="005440F7" w:rsidRPr="00B20DF6">
        <w:t>La</w:t>
      </w:r>
      <w:r w:rsidR="00580B86" w:rsidRPr="00B20DF6">
        <w:t xml:space="preserve"> </w:t>
      </w:r>
      <w:r w:rsidR="00580B86" w:rsidRPr="00B20DF6">
        <w:rPr>
          <w:b/>
          <w:bCs/>
        </w:rPr>
        <w:t>déléguée des Pays-Bas</w:t>
      </w:r>
      <w:r w:rsidR="00945ED9" w:rsidRPr="00B20DF6">
        <w:t xml:space="preserve"> </w:t>
      </w:r>
      <w:r w:rsidR="00750FE6" w:rsidRPr="00B20DF6">
        <w:t xml:space="preserve">souligne </w:t>
      </w:r>
      <w:r w:rsidR="005440F7" w:rsidRPr="00B20DF6">
        <w:t>que son</w:t>
      </w:r>
      <w:r w:rsidR="00580B86" w:rsidRPr="00B20DF6">
        <w:t xml:space="preserve"> pays </w:t>
      </w:r>
      <w:r w:rsidR="00B03F19" w:rsidRPr="00B20DF6">
        <w:t>est</w:t>
      </w:r>
      <w:r w:rsidR="002922CB" w:rsidRPr="00B20DF6">
        <w:t xml:space="preserve"> pleinement</w:t>
      </w:r>
      <w:r w:rsidR="00945ED9" w:rsidRPr="00B20DF6">
        <w:t xml:space="preserve"> </w:t>
      </w:r>
      <w:r w:rsidR="00750FE6" w:rsidRPr="00B20DF6">
        <w:t>résolu</w:t>
      </w:r>
      <w:r w:rsidR="00945ED9" w:rsidRPr="00B20DF6">
        <w:t xml:space="preserve"> </w:t>
      </w:r>
      <w:r w:rsidR="00E44DCC" w:rsidRPr="00B20DF6">
        <w:t xml:space="preserve">à promouvoir </w:t>
      </w:r>
      <w:r w:rsidR="002922CB" w:rsidRPr="00B20DF6">
        <w:t xml:space="preserve">les </w:t>
      </w:r>
      <w:r w:rsidR="00580B86" w:rsidRPr="00B20DF6">
        <w:t>valeurs</w:t>
      </w:r>
      <w:r w:rsidR="00945ED9" w:rsidRPr="00B20DF6">
        <w:t xml:space="preserve"> </w:t>
      </w:r>
      <w:r w:rsidR="00750FE6" w:rsidRPr="00B20DF6">
        <w:t xml:space="preserve">évoquées </w:t>
      </w:r>
      <w:r w:rsidR="00580B86" w:rsidRPr="00B20DF6">
        <w:t xml:space="preserve">dans les déclarations des </w:t>
      </w:r>
      <w:r w:rsidR="002922CB" w:rsidRPr="00B20DF6">
        <w:t>É</w:t>
      </w:r>
      <w:r w:rsidR="00580B86" w:rsidRPr="00B20DF6">
        <w:t>tats-Unis, du Canada et du Royaume-Uni</w:t>
      </w:r>
      <w:r w:rsidR="00E44DCC" w:rsidRPr="00B20DF6">
        <w:t>,</w:t>
      </w:r>
      <w:r w:rsidR="00580B86" w:rsidRPr="00B20DF6">
        <w:t xml:space="preserve"> ainsi que d</w:t>
      </w:r>
      <w:r w:rsidR="001F3436" w:rsidRPr="00B20DF6">
        <w:t>ans</w:t>
      </w:r>
      <w:r w:rsidR="00580B86" w:rsidRPr="00B20DF6">
        <w:t xml:space="preserve"> la déclaration faite par le Danemark au nom de plusieurs pays </w:t>
      </w:r>
      <w:r w:rsidR="00750FE6" w:rsidRPr="00B20DF6">
        <w:t xml:space="preserve">partageant les mêmes idées </w:t>
      </w:r>
      <w:r w:rsidR="001F3436" w:rsidRPr="00B20DF6">
        <w:t>à cet égard</w:t>
      </w:r>
      <w:r w:rsidR="00E44DCC" w:rsidRPr="00B20DF6">
        <w:t>,</w:t>
      </w:r>
      <w:r w:rsidR="001F3436" w:rsidRPr="00B20DF6">
        <w:t xml:space="preserve"> </w:t>
      </w:r>
      <w:r w:rsidR="00580B86" w:rsidRPr="00B20DF6">
        <w:t xml:space="preserve">et continuera </w:t>
      </w:r>
      <w:r w:rsidR="001F3436" w:rsidRPr="00B20DF6">
        <w:t>d'</w:t>
      </w:r>
      <w:r w:rsidR="00F06EA8" w:rsidRPr="00B20DF6">
        <w:t>accorder la priorité à</w:t>
      </w:r>
      <w:r w:rsidR="001F3436" w:rsidRPr="00B20DF6">
        <w:t xml:space="preserve"> ces valeurs</w:t>
      </w:r>
      <w:r w:rsidR="00580B86" w:rsidRPr="00B20DF6">
        <w:t>.</w:t>
      </w:r>
    </w:p>
    <w:p w14:paraId="076EBADE" w14:textId="0AD9E32D" w:rsidR="004C45B5" w:rsidRPr="00B20DF6" w:rsidRDefault="004C45B5" w:rsidP="00945ED9">
      <w:r w:rsidRPr="00B20DF6">
        <w:t>2.5</w:t>
      </w:r>
      <w:r w:rsidRPr="00B20DF6">
        <w:tab/>
      </w:r>
      <w:r w:rsidR="00CF25D2" w:rsidRPr="00B20DF6">
        <w:t xml:space="preserve">Le </w:t>
      </w:r>
      <w:r w:rsidR="00CF25D2" w:rsidRPr="00B20DF6">
        <w:rPr>
          <w:b/>
          <w:bCs/>
        </w:rPr>
        <w:t>délégué du Mexique</w:t>
      </w:r>
      <w:r w:rsidR="00CF25D2" w:rsidRPr="00B20DF6">
        <w:t xml:space="preserve"> regrette qu'il n'ait pas été possible de se mettre d'accord sur un texte destiné à protéger les personnes vulnérables. </w:t>
      </w:r>
      <w:r w:rsidR="00887D16" w:rsidRPr="00B20DF6">
        <w:t>Dans le système des Nations Unies, tout ce qui n'est pas explicite n'entraîne pas nécessairement des actions</w:t>
      </w:r>
      <w:r w:rsidR="00D4544E" w:rsidRPr="00B20DF6">
        <w:t>,</w:t>
      </w:r>
      <w:r w:rsidR="00887D16" w:rsidRPr="00B20DF6">
        <w:t xml:space="preserve"> au détriment des groupes vulnérables, notamment les femmes, les filles, les jeunes, les peuples autochtones, les personnes âgées, les personnes handicapées et les personnes ayant des besoins particuliers. </w:t>
      </w:r>
      <w:r w:rsidR="008F76C0" w:rsidRPr="00B20DF6">
        <w:t>En tant que communauté mondiale, les Nations Unies sont déjà convenues de redoubler d'efforts pour réduire la fracture numérique à l'intérieur des pays et entre les pays, en accordant une attention particulière aux plus pauvres, aux</w:t>
      </w:r>
      <w:r w:rsidR="00750FE6" w:rsidRPr="00B20DF6">
        <w:t xml:space="preserve"> personnes en situation de vulnérabilité</w:t>
      </w:r>
      <w:r w:rsidR="008F76C0" w:rsidRPr="00B20DF6">
        <w:t xml:space="preserve"> </w:t>
      </w:r>
      <w:r w:rsidR="00750FE6" w:rsidRPr="00B20DF6">
        <w:t>ainsi qu</w:t>
      </w:r>
      <w:r w:rsidR="00945ED9" w:rsidRPr="00B20DF6">
        <w:t>'</w:t>
      </w:r>
      <w:r w:rsidR="00750FE6" w:rsidRPr="00B20DF6">
        <w:t xml:space="preserve">aux </w:t>
      </w:r>
      <w:r w:rsidR="008F76C0" w:rsidRPr="00B20DF6">
        <w:t>femmes et aux jeunes filles.</w:t>
      </w:r>
      <w:r w:rsidRPr="00B20DF6">
        <w:t xml:space="preserve"> </w:t>
      </w:r>
      <w:r w:rsidR="00322403" w:rsidRPr="00B20DF6">
        <w:t xml:space="preserve">Cela sera nécessaire pour obtenir des résultats </w:t>
      </w:r>
      <w:r w:rsidR="00A946B8" w:rsidRPr="00B20DF6">
        <w:t xml:space="preserve">définis </w:t>
      </w:r>
      <w:r w:rsidR="00322403" w:rsidRPr="00B20DF6">
        <w:t>plus clair</w:t>
      </w:r>
      <w:r w:rsidR="00A946B8" w:rsidRPr="00B20DF6">
        <w:t>ement</w:t>
      </w:r>
      <w:r w:rsidR="00322403" w:rsidRPr="00B20DF6">
        <w:t xml:space="preserve"> pour les groupes vulnérables en matière d'égalité hommes-femmes à la Conférence de plénipotentiaires suivante.</w:t>
      </w:r>
    </w:p>
    <w:p w14:paraId="3E0398BC" w14:textId="0B317B47" w:rsidR="004C45B5" w:rsidRPr="00B20DF6" w:rsidRDefault="004C45B5" w:rsidP="00945ED9">
      <w:r w:rsidRPr="00B20DF6">
        <w:t>2.6</w:t>
      </w:r>
      <w:r w:rsidRPr="00B20DF6">
        <w:tab/>
      </w:r>
      <w:r w:rsidR="00436AD1" w:rsidRPr="00B20DF6">
        <w:t>L</w:t>
      </w:r>
      <w:r w:rsidR="001C1A4C" w:rsidRPr="00B20DF6">
        <w:t>a</w:t>
      </w:r>
      <w:r w:rsidR="00436AD1" w:rsidRPr="00B20DF6">
        <w:t xml:space="preserve"> </w:t>
      </w:r>
      <w:r w:rsidR="00436AD1" w:rsidRPr="00B20DF6">
        <w:rPr>
          <w:b/>
          <w:bCs/>
        </w:rPr>
        <w:t>délégué</w:t>
      </w:r>
      <w:r w:rsidR="001C1A4C" w:rsidRPr="00B20DF6">
        <w:rPr>
          <w:b/>
          <w:bCs/>
        </w:rPr>
        <w:t>e</w:t>
      </w:r>
      <w:r w:rsidR="00436AD1" w:rsidRPr="00B20DF6">
        <w:rPr>
          <w:b/>
          <w:bCs/>
        </w:rPr>
        <w:t xml:space="preserve"> d'Oman</w:t>
      </w:r>
      <w:r w:rsidR="00436AD1" w:rsidRPr="00B20DF6">
        <w:t xml:space="preserve"> appuie les déclarations faites par des délégations d</w:t>
      </w:r>
      <w:r w:rsidR="004671CE" w:rsidRPr="00B20DF6">
        <w:t>'États frères</w:t>
      </w:r>
      <w:r w:rsidR="00436AD1" w:rsidRPr="00B20DF6">
        <w:t xml:space="preserve">, en particulier les </w:t>
      </w:r>
      <w:r w:rsidR="004671CE" w:rsidRPr="00B20DF6">
        <w:t>É</w:t>
      </w:r>
      <w:r w:rsidR="00436AD1" w:rsidRPr="00B20DF6">
        <w:t>mirats arabes unis et la Tunisie, concernant l</w:t>
      </w:r>
      <w:r w:rsidR="004671CE" w:rsidRPr="00B20DF6">
        <w:t>e soutien</w:t>
      </w:r>
      <w:r w:rsidR="00750FE6" w:rsidRPr="00B20DF6">
        <w:t xml:space="preserve"> apporté</w:t>
      </w:r>
      <w:r w:rsidR="00945ED9" w:rsidRPr="00B20DF6">
        <w:t xml:space="preserve"> </w:t>
      </w:r>
      <w:r w:rsidR="00436AD1" w:rsidRPr="00B20DF6">
        <w:t xml:space="preserve">à toutes les personnes, sans discrimination, </w:t>
      </w:r>
      <w:r w:rsidR="004671CE" w:rsidRPr="00B20DF6">
        <w:t>en faveur de</w:t>
      </w:r>
      <w:r w:rsidR="00436AD1" w:rsidRPr="00B20DF6">
        <w:t xml:space="preserve"> l'accès aux télécommunications/TIC comme moyen de réduire la fracture numérique.</w:t>
      </w:r>
      <w:r w:rsidR="000542D5" w:rsidRPr="00B20DF6">
        <w:t xml:space="preserve"> </w:t>
      </w:r>
      <w:r w:rsidR="00CB368B" w:rsidRPr="00B20DF6">
        <w:t xml:space="preserve">Son pays </w:t>
      </w:r>
      <w:r w:rsidR="006E3C4B" w:rsidRPr="00B20DF6">
        <w:t>est</w:t>
      </w:r>
      <w:r w:rsidR="00CB368B" w:rsidRPr="00B20DF6">
        <w:t xml:space="preserve"> convaincu que l'identification de certaines catégories de personnes dans la Résolution 139 risqu</w:t>
      </w:r>
      <w:r w:rsidR="00B075B4" w:rsidRPr="00B20DF6">
        <w:t>e</w:t>
      </w:r>
      <w:r w:rsidR="00CB368B" w:rsidRPr="00B20DF6">
        <w:t xml:space="preserve"> d'exclure d'autres catégories.</w:t>
      </w:r>
      <w:r w:rsidRPr="00B20DF6">
        <w:t xml:space="preserve"> </w:t>
      </w:r>
      <w:r w:rsidR="00642A74" w:rsidRPr="00B20DF6">
        <w:t>Oman insist</w:t>
      </w:r>
      <w:r w:rsidR="00744340" w:rsidRPr="00B20DF6">
        <w:t>e</w:t>
      </w:r>
      <w:r w:rsidR="00642A74" w:rsidRPr="00B20DF6">
        <w:t xml:space="preserve"> sur le fait qu'il </w:t>
      </w:r>
      <w:r w:rsidR="00744340" w:rsidRPr="00B20DF6">
        <w:t>est</w:t>
      </w:r>
      <w:r w:rsidR="00642A74" w:rsidRPr="00B20DF6">
        <w:t xml:space="preserve"> important de soutenir les femmes pour </w:t>
      </w:r>
      <w:r w:rsidR="00750FE6" w:rsidRPr="00B20DF6">
        <w:t xml:space="preserve">faire en sorte </w:t>
      </w:r>
      <w:r w:rsidR="00642A74" w:rsidRPr="00B20DF6">
        <w:t xml:space="preserve">qu'elles soient sur un pied d'égalité avec les hommes et bénéficient des mêmes droits. </w:t>
      </w:r>
      <w:r w:rsidR="000B7871" w:rsidRPr="00B20DF6">
        <w:t xml:space="preserve">Les bases législatives du pays reposent sur le droit islamique, conformément </w:t>
      </w:r>
      <w:r w:rsidR="00750FE6" w:rsidRPr="00B20DF6">
        <w:t xml:space="preserve">à </w:t>
      </w:r>
      <w:r w:rsidR="00750FE6" w:rsidRPr="00B20DF6">
        <w:rPr>
          <w:color w:val="000000"/>
        </w:rPr>
        <w:t>la Loi fondamentale</w:t>
      </w:r>
      <w:r w:rsidR="00945ED9" w:rsidRPr="00B20DF6">
        <w:rPr>
          <w:color w:val="000000"/>
        </w:rPr>
        <w:t xml:space="preserve"> </w:t>
      </w:r>
      <w:r w:rsidR="000B7871" w:rsidRPr="00B20DF6">
        <w:t xml:space="preserve">du pays, selon </w:t>
      </w:r>
      <w:r w:rsidR="00750FE6" w:rsidRPr="00B20DF6">
        <w:t xml:space="preserve">laquelle </w:t>
      </w:r>
      <w:r w:rsidR="000B7871" w:rsidRPr="00B20DF6">
        <w:t>les femmes jouissent des mêmes droits sans aucune restriction.</w:t>
      </w:r>
      <w:r w:rsidRPr="00B20DF6">
        <w:t xml:space="preserve"> </w:t>
      </w:r>
      <w:r w:rsidR="000D1F83" w:rsidRPr="00B20DF6">
        <w:t>Au niveau politique, les femmes jou</w:t>
      </w:r>
      <w:r w:rsidR="00D537EB" w:rsidRPr="00B20DF6">
        <w:t>ent</w:t>
      </w:r>
      <w:r w:rsidR="000D1F83" w:rsidRPr="00B20DF6">
        <w:t xml:space="preserve"> un rôle important dans l'édification de la société omanaise et le pays cherch</w:t>
      </w:r>
      <w:r w:rsidR="00D537EB" w:rsidRPr="00B20DF6">
        <w:t>e donc</w:t>
      </w:r>
      <w:r w:rsidR="000D1F83" w:rsidRPr="00B20DF6">
        <w:t xml:space="preserve"> à</w:t>
      </w:r>
      <w:r w:rsidR="009B2676" w:rsidRPr="00B20DF6">
        <w:t xml:space="preserve"> raffermir</w:t>
      </w:r>
      <w:r w:rsidR="000D1F83" w:rsidRPr="00B20DF6">
        <w:t xml:space="preserve"> la position des femmes et à faire en sorte qu'elles continuent de jouir des mêmes droits, ainsi qu'à promouvoir leur contribution importante au service de tous les secteurs</w:t>
      </w:r>
      <w:r w:rsidR="009B2676" w:rsidRPr="00B20DF6">
        <w:t xml:space="preserve"> du pays</w:t>
      </w:r>
      <w:r w:rsidR="000D1F83" w:rsidRPr="00B20DF6">
        <w:t>.</w:t>
      </w:r>
      <w:r w:rsidRPr="00B20DF6">
        <w:t xml:space="preserve"> </w:t>
      </w:r>
      <w:r w:rsidR="009B2676" w:rsidRPr="00B20DF6">
        <w:t xml:space="preserve">Grâce à ces </w:t>
      </w:r>
      <w:r w:rsidR="00F14045" w:rsidRPr="00B20DF6">
        <w:t xml:space="preserve">droits, </w:t>
      </w:r>
      <w:r w:rsidR="00044152" w:rsidRPr="00B20DF6">
        <w:t>inscrits dans</w:t>
      </w:r>
      <w:r w:rsidR="00F14045" w:rsidRPr="00B20DF6">
        <w:t xml:space="preserve"> la loi,</w:t>
      </w:r>
      <w:r w:rsidR="00945ED9" w:rsidRPr="00B20DF6">
        <w:t xml:space="preserve"> </w:t>
      </w:r>
      <w:r w:rsidR="009132A6" w:rsidRPr="00B20DF6">
        <w:t xml:space="preserve">des </w:t>
      </w:r>
      <w:r w:rsidR="00F14045" w:rsidRPr="00B20DF6">
        <w:t>femmes</w:t>
      </w:r>
      <w:r w:rsidR="00945ED9" w:rsidRPr="00B20DF6">
        <w:t xml:space="preserve"> </w:t>
      </w:r>
      <w:r w:rsidR="009B2676" w:rsidRPr="00B20DF6">
        <w:t xml:space="preserve">occupent </w:t>
      </w:r>
      <w:r w:rsidR="00F14045" w:rsidRPr="00B20DF6">
        <w:t>d</w:t>
      </w:r>
      <w:r w:rsidR="009132A6" w:rsidRPr="00B20DF6">
        <w:t xml:space="preserve">'importants </w:t>
      </w:r>
      <w:r w:rsidR="00F14045" w:rsidRPr="00B20DF6">
        <w:t>postes de direction à Oman et à l'étranger.</w:t>
      </w:r>
    </w:p>
    <w:p w14:paraId="2B074614" w14:textId="7190AFA4" w:rsidR="004C45B5" w:rsidRPr="00B20DF6" w:rsidRDefault="004C45B5" w:rsidP="00945ED9">
      <w:r w:rsidRPr="00B20DF6">
        <w:t>2.7</w:t>
      </w:r>
      <w:r w:rsidRPr="00B20DF6">
        <w:tab/>
      </w:r>
      <w:r w:rsidR="00EE1BF9" w:rsidRPr="00B20DF6">
        <w:t xml:space="preserve">Le </w:t>
      </w:r>
      <w:r w:rsidR="00EE1BF9" w:rsidRPr="00B20DF6">
        <w:rPr>
          <w:b/>
          <w:bCs/>
        </w:rPr>
        <w:t>délégué du Vanuatu</w:t>
      </w:r>
      <w:r w:rsidR="00EE1BF9" w:rsidRPr="00B20DF6">
        <w:t xml:space="preserve"> </w:t>
      </w:r>
      <w:r w:rsidR="009B2676" w:rsidRPr="00B20DF6">
        <w:t xml:space="preserve">prononce la déclaration </w:t>
      </w:r>
      <w:proofErr w:type="gramStart"/>
      <w:r w:rsidR="009B2676" w:rsidRPr="00B20DF6">
        <w:t>suivante</w:t>
      </w:r>
      <w:r w:rsidRPr="00B20DF6">
        <w:t>:</w:t>
      </w:r>
      <w:proofErr w:type="gramEnd"/>
    </w:p>
    <w:p w14:paraId="511848AD" w14:textId="6F43BE72" w:rsidR="004C45B5" w:rsidRPr="00B20DF6" w:rsidRDefault="00AE0946" w:rsidP="00945ED9">
      <w:r w:rsidRPr="00B20DF6">
        <w:t xml:space="preserve">"Le Vanuatu souhaite que cette déclaration soit consignée </w:t>
      </w:r>
      <w:r w:rsidR="009B2676" w:rsidRPr="00B20DF6">
        <w:t>au procès-verbal</w:t>
      </w:r>
      <w:r w:rsidRPr="00B20DF6">
        <w:t xml:space="preserve"> de cette </w:t>
      </w:r>
      <w:r w:rsidR="009B2676" w:rsidRPr="00B20DF6">
        <w:t>séance.</w:t>
      </w:r>
      <w:r w:rsidRPr="00B20DF6">
        <w:t xml:space="preserve"> </w:t>
      </w:r>
      <w:r w:rsidR="00B47E80" w:rsidRPr="00B20DF6">
        <w:t xml:space="preserve">Le Vanuatu </w:t>
      </w:r>
      <w:r w:rsidR="009B2676" w:rsidRPr="00B20DF6">
        <w:t>souscrit aux</w:t>
      </w:r>
      <w:r w:rsidR="00B47E80" w:rsidRPr="00B20DF6">
        <w:t xml:space="preserve"> observations du Danemark et de tous les États Membres qui ont pris la parole pour exprimer leur </w:t>
      </w:r>
      <w:r w:rsidR="00DA0360" w:rsidRPr="00B20DF6">
        <w:t xml:space="preserve">immense </w:t>
      </w:r>
      <w:r w:rsidR="00B47E80" w:rsidRPr="00B20DF6">
        <w:t>déception.</w:t>
      </w:r>
      <w:r w:rsidR="004C45B5" w:rsidRPr="00B20DF6">
        <w:t xml:space="preserve"> </w:t>
      </w:r>
      <w:r w:rsidR="00C82483" w:rsidRPr="00B20DF6">
        <w:t xml:space="preserve">Le Vanuatu reconnaît les groupes vulnérables et l'égalité hommes-femmes, y compris </w:t>
      </w:r>
      <w:r w:rsidR="00707E8C" w:rsidRPr="00B20DF6">
        <w:t>notre</w:t>
      </w:r>
      <w:r w:rsidR="00C82483" w:rsidRPr="00B20DF6">
        <w:t xml:space="preserve"> groupe autochtone, dans nos travaux. </w:t>
      </w:r>
      <w:r w:rsidR="009F1555" w:rsidRPr="00B20DF6">
        <w:t xml:space="preserve">Nous </w:t>
      </w:r>
      <w:r w:rsidR="00E67847" w:rsidRPr="00B20DF6">
        <w:t>constatons avec inquiétude</w:t>
      </w:r>
      <w:r w:rsidR="001E0FD6" w:rsidRPr="00B20DF6">
        <w:t xml:space="preserve"> que </w:t>
      </w:r>
      <w:proofErr w:type="gramStart"/>
      <w:r w:rsidR="001E0FD6" w:rsidRPr="00B20DF6">
        <w:t xml:space="preserve">cette </w:t>
      </w:r>
      <w:r w:rsidR="009B2676" w:rsidRPr="00B20DF6">
        <w:t>auguste assemblée</w:t>
      </w:r>
      <w:proofErr w:type="gramEnd"/>
      <w:r w:rsidR="009B2676" w:rsidRPr="00B20DF6" w:rsidDel="009B2676">
        <w:t xml:space="preserve"> </w:t>
      </w:r>
      <w:r w:rsidR="001E0FD6" w:rsidRPr="00B20DF6">
        <w:t>n'a pas</w:t>
      </w:r>
      <w:r w:rsidR="00945ED9" w:rsidRPr="00B20DF6">
        <w:t xml:space="preserve"> </w:t>
      </w:r>
      <w:r w:rsidR="009B2676" w:rsidRPr="00B20DF6">
        <w:t xml:space="preserve">été en mesure </w:t>
      </w:r>
      <w:r w:rsidR="001E0FD6" w:rsidRPr="00B20DF6">
        <w:t>de parvenir à un consensus sur l'égalité hommes-femmes.</w:t>
      </w:r>
      <w:r w:rsidR="004C45B5" w:rsidRPr="00B20DF6">
        <w:t xml:space="preserve"> </w:t>
      </w:r>
      <w:r w:rsidR="00297086" w:rsidRPr="00B20DF6">
        <w:t>Le Vanuatu s'</w:t>
      </w:r>
      <w:r w:rsidR="00C77DF7" w:rsidRPr="00B20DF6">
        <w:t xml:space="preserve">efforce de </w:t>
      </w:r>
      <w:r w:rsidR="00297086" w:rsidRPr="00B20DF6">
        <w:t>parvenir à l'égalité hommes</w:t>
      </w:r>
      <w:r w:rsidR="002C40DD" w:rsidRPr="00B20DF6">
        <w:t>-femmes</w:t>
      </w:r>
      <w:r w:rsidR="00297086" w:rsidRPr="00B20DF6">
        <w:t xml:space="preserve"> et, par conséquent, nous </w:t>
      </w:r>
      <w:r w:rsidR="009B2676" w:rsidRPr="00B20DF6">
        <w:t>avons besoin de l</w:t>
      </w:r>
      <w:r w:rsidR="00945ED9" w:rsidRPr="00B20DF6">
        <w:t>'</w:t>
      </w:r>
      <w:r w:rsidR="009B2676" w:rsidRPr="00B20DF6">
        <w:t>appui de</w:t>
      </w:r>
      <w:r w:rsidR="00945ED9" w:rsidRPr="00B20DF6">
        <w:t xml:space="preserve"> </w:t>
      </w:r>
      <w:r w:rsidR="00297086" w:rsidRPr="00B20DF6">
        <w:t xml:space="preserve">tous les </w:t>
      </w:r>
      <w:r w:rsidR="00C432FE" w:rsidRPr="00B20DF6">
        <w:t>É</w:t>
      </w:r>
      <w:r w:rsidR="00297086" w:rsidRPr="00B20DF6">
        <w:t xml:space="preserve">tats Membres </w:t>
      </w:r>
      <w:r w:rsidR="009B2676" w:rsidRPr="00B20DF6">
        <w:t>en faveur des</w:t>
      </w:r>
      <w:r w:rsidR="00297086" w:rsidRPr="00B20DF6">
        <w:t xml:space="preserve"> petits pays insulaires</w:t>
      </w:r>
      <w:r w:rsidR="00785D97" w:rsidRPr="00B20DF6">
        <w:t xml:space="preserve">, </w:t>
      </w:r>
      <w:r w:rsidR="00DB3E3A" w:rsidRPr="00B20DF6">
        <w:t>où</w:t>
      </w:r>
      <w:r w:rsidR="00297086" w:rsidRPr="00B20DF6">
        <w:t xml:space="preserve"> </w:t>
      </w:r>
      <w:r w:rsidR="00236090" w:rsidRPr="00B20DF6">
        <w:t xml:space="preserve">nous </w:t>
      </w:r>
      <w:r w:rsidR="00297086" w:rsidRPr="00B20DF6">
        <w:t>devons réduire l</w:t>
      </w:r>
      <w:r w:rsidR="00785D97" w:rsidRPr="00B20DF6">
        <w:t>a fracture</w:t>
      </w:r>
      <w:r w:rsidR="00297086" w:rsidRPr="00B20DF6">
        <w:t xml:space="preserve"> et garantir l'égalité</w:t>
      </w:r>
      <w:r w:rsidR="00945ED9" w:rsidRPr="00B20DF6">
        <w:t xml:space="preserve"> </w:t>
      </w:r>
      <w:r w:rsidR="00297086" w:rsidRPr="00B20DF6">
        <w:t xml:space="preserve">dans </w:t>
      </w:r>
      <w:r w:rsidR="006D7065" w:rsidRPr="00B20DF6">
        <w:t xml:space="preserve">le cadre de </w:t>
      </w:r>
      <w:r w:rsidR="00297086" w:rsidRPr="00B20DF6">
        <w:t>tous nos travaux</w:t>
      </w:r>
      <w:r w:rsidR="00B20DF6" w:rsidRPr="00B20DF6">
        <w:t>.</w:t>
      </w:r>
      <w:r w:rsidR="00297086" w:rsidRPr="00B20DF6">
        <w:t>"</w:t>
      </w:r>
    </w:p>
    <w:p w14:paraId="57240081" w14:textId="77777777" w:rsidR="005F3D47" w:rsidRDefault="005F3D47" w:rsidP="00945ED9">
      <w:r>
        <w:br w:type="page"/>
      </w:r>
    </w:p>
    <w:p w14:paraId="2BA905C4" w14:textId="63C9FE0C" w:rsidR="004C45B5" w:rsidRPr="00B20DF6" w:rsidRDefault="004C45B5" w:rsidP="00945ED9">
      <w:r w:rsidRPr="00B20DF6">
        <w:lastRenderedPageBreak/>
        <w:t>2.8</w:t>
      </w:r>
      <w:r w:rsidRPr="00B20DF6">
        <w:tab/>
      </w:r>
      <w:r w:rsidR="0013240F" w:rsidRPr="00B20DF6">
        <w:t xml:space="preserve">Le </w:t>
      </w:r>
      <w:r w:rsidR="0013240F" w:rsidRPr="00B20DF6">
        <w:rPr>
          <w:b/>
          <w:bCs/>
        </w:rPr>
        <w:t>délégué du Brésil</w:t>
      </w:r>
      <w:r w:rsidR="009B2676" w:rsidRPr="00B20DF6">
        <w:t xml:space="preserve"> s</w:t>
      </w:r>
      <w:r w:rsidR="00945ED9" w:rsidRPr="00B20DF6">
        <w:t>'</w:t>
      </w:r>
      <w:r w:rsidR="009B2676" w:rsidRPr="00B20DF6">
        <w:t>associe à</w:t>
      </w:r>
      <w:r w:rsidR="00945ED9" w:rsidRPr="00B20DF6">
        <w:t xml:space="preserve"> </w:t>
      </w:r>
      <w:r w:rsidR="0013240F" w:rsidRPr="00B20DF6">
        <w:t xml:space="preserve">la déclaration </w:t>
      </w:r>
      <w:r w:rsidR="009B2676" w:rsidRPr="00B20DF6">
        <w:t xml:space="preserve">commune </w:t>
      </w:r>
      <w:r w:rsidR="0013240F" w:rsidRPr="00B20DF6">
        <w:t>du Danemark</w:t>
      </w:r>
      <w:r w:rsidR="009B2676" w:rsidRPr="00B20DF6">
        <w:t xml:space="preserve"> et</w:t>
      </w:r>
      <w:r w:rsidR="00945ED9" w:rsidRPr="00B20DF6">
        <w:t xml:space="preserve"> </w:t>
      </w:r>
      <w:r w:rsidR="0013240F" w:rsidRPr="00B20DF6">
        <w:t>se dit profondément préoccupé par l'absence de consensus sur la promotion de l'égalité hommes</w:t>
      </w:r>
      <w:r w:rsidR="00BC0626" w:rsidRPr="00B20DF6">
        <w:noBreakHyphen/>
      </w:r>
      <w:r w:rsidR="0013240F" w:rsidRPr="00B20DF6">
        <w:t>femmes, qui est un point crucial de l'ordre du jour du Brésil pour la Conférence.</w:t>
      </w:r>
      <w:r w:rsidRPr="00B20DF6">
        <w:t xml:space="preserve"> </w:t>
      </w:r>
      <w:r w:rsidR="001A4FE4" w:rsidRPr="00B20DF6">
        <w:t>L'orateur reste néanmoins optimiste</w:t>
      </w:r>
      <w:r w:rsidR="009B2676" w:rsidRPr="00B20DF6">
        <w:t>,</w:t>
      </w:r>
      <w:r w:rsidR="001A4FE4" w:rsidRPr="00B20DF6">
        <w:t xml:space="preserve"> dans la mesure où </w:t>
      </w:r>
      <w:r w:rsidR="002B6447" w:rsidRPr="00B20DF6">
        <w:t>certains prennent la parole</w:t>
      </w:r>
      <w:r w:rsidR="002772DE" w:rsidRPr="00B20DF6">
        <w:t xml:space="preserve"> dans le but de </w:t>
      </w:r>
      <w:r w:rsidR="001A4FE4" w:rsidRPr="00B20DF6">
        <w:t>réduire la fracture numérique entre les hommes et les femmes.</w:t>
      </w:r>
      <w:r w:rsidR="00945ED9" w:rsidRPr="00B20DF6">
        <w:t xml:space="preserve"> </w:t>
      </w:r>
      <w:r w:rsidR="009B2676" w:rsidRPr="00B20DF6">
        <w:t xml:space="preserve">Davantage </w:t>
      </w:r>
      <w:r w:rsidR="004A3A51" w:rsidRPr="00B20DF6">
        <w:t>d'efforts sont nécessaires et</w:t>
      </w:r>
      <w:r w:rsidR="009B2676" w:rsidRPr="00B20DF6">
        <w:t xml:space="preserve"> son pays,</w:t>
      </w:r>
      <w:r w:rsidR="004A3A51" w:rsidRPr="00B20DF6">
        <w:t xml:space="preserve"> </w:t>
      </w:r>
      <w:r w:rsidR="00D15722" w:rsidRPr="00B20DF6">
        <w:t xml:space="preserve">même </w:t>
      </w:r>
      <w:r w:rsidR="009B2676" w:rsidRPr="00B20DF6">
        <w:t>s</w:t>
      </w:r>
      <w:r w:rsidR="00945ED9" w:rsidRPr="00B20DF6">
        <w:t>'</w:t>
      </w:r>
      <w:r w:rsidR="009B2676" w:rsidRPr="00B20DF6">
        <w:t xml:space="preserve">il </w:t>
      </w:r>
      <w:r w:rsidR="001D410A" w:rsidRPr="00B20DF6">
        <w:t xml:space="preserve">est </w:t>
      </w:r>
      <w:r w:rsidR="009B2676" w:rsidRPr="00B20DF6">
        <w:t>déçu des</w:t>
      </w:r>
      <w:r w:rsidR="004A3A51" w:rsidRPr="00B20DF6">
        <w:t xml:space="preserve"> résultat</w:t>
      </w:r>
      <w:r w:rsidR="009B2676" w:rsidRPr="00B20DF6">
        <w:t>s</w:t>
      </w:r>
      <w:r w:rsidR="004A3A51" w:rsidRPr="00B20DF6">
        <w:t>,</w:t>
      </w:r>
      <w:r w:rsidR="00945ED9" w:rsidRPr="00B20DF6">
        <w:t xml:space="preserve"> </w:t>
      </w:r>
      <w:r w:rsidR="001D410A" w:rsidRPr="00B20DF6">
        <w:t xml:space="preserve">reste </w:t>
      </w:r>
      <w:r w:rsidR="004A3A51" w:rsidRPr="00B20DF6">
        <w:t>déterminé et</w:t>
      </w:r>
      <w:r w:rsidR="00945ED9" w:rsidRPr="00B20DF6">
        <w:t xml:space="preserve"> </w:t>
      </w:r>
      <w:r w:rsidR="009B2676" w:rsidRPr="00B20DF6">
        <w:t>a</w:t>
      </w:r>
      <w:r w:rsidR="00945ED9" w:rsidRPr="00B20DF6">
        <w:t xml:space="preserve"> </w:t>
      </w:r>
      <w:r w:rsidR="004A3A51" w:rsidRPr="00B20DF6">
        <w:t xml:space="preserve">une vision </w:t>
      </w:r>
      <w:r w:rsidR="00D55090" w:rsidRPr="00B20DF6">
        <w:t>pour</w:t>
      </w:r>
      <w:r w:rsidR="004A3A51" w:rsidRPr="00B20DF6">
        <w:t xml:space="preserve"> l'avenir. </w:t>
      </w:r>
      <w:r w:rsidR="00E8701C" w:rsidRPr="00B20DF6">
        <w:t>Le pays</w:t>
      </w:r>
      <w:r w:rsidR="000222C4" w:rsidRPr="00B20DF6">
        <w:t xml:space="preserve"> continuera </w:t>
      </w:r>
      <w:r w:rsidR="00040CB6" w:rsidRPr="00B20DF6">
        <w:t>d</w:t>
      </w:r>
      <w:r w:rsidR="00945ED9" w:rsidRPr="00B20DF6">
        <w:t>'</w:t>
      </w:r>
      <w:r w:rsidR="00040CB6" w:rsidRPr="00B20DF6">
        <w:t>encourager</w:t>
      </w:r>
      <w:r w:rsidR="000222C4" w:rsidRPr="00B20DF6">
        <w:t xml:space="preserve"> l'UIT</w:t>
      </w:r>
      <w:r w:rsidR="00945ED9" w:rsidRPr="00B20DF6">
        <w:t xml:space="preserve"> </w:t>
      </w:r>
      <w:r w:rsidR="00040CB6" w:rsidRPr="00B20DF6">
        <w:t>à mettre</w:t>
      </w:r>
      <w:r w:rsidR="000222C4" w:rsidRPr="00B20DF6">
        <w:t xml:space="preserve"> l'accent sur la diversité et l'inclusion, afin de veiller à ce que personne ne soit laissé </w:t>
      </w:r>
      <w:r w:rsidR="00E8701C" w:rsidRPr="00B20DF6">
        <w:t>de côté</w:t>
      </w:r>
      <w:r w:rsidR="000222C4" w:rsidRPr="00B20DF6">
        <w:t>.</w:t>
      </w:r>
    </w:p>
    <w:p w14:paraId="0E4EFFC8" w14:textId="15179CA6" w:rsidR="004C45B5" w:rsidRPr="00B20DF6" w:rsidRDefault="004C45B5" w:rsidP="00945ED9">
      <w:r w:rsidRPr="00B20DF6">
        <w:t>2.9</w:t>
      </w:r>
      <w:r w:rsidRPr="00B20DF6">
        <w:tab/>
      </w:r>
      <w:r w:rsidR="00532EBA" w:rsidRPr="00B20DF6">
        <w:t xml:space="preserve">La </w:t>
      </w:r>
      <w:r w:rsidR="00532EBA" w:rsidRPr="00B20DF6">
        <w:rPr>
          <w:b/>
          <w:bCs/>
        </w:rPr>
        <w:t>déléguée du Koweït</w:t>
      </w:r>
      <w:r w:rsidR="00040CB6" w:rsidRPr="00B20DF6">
        <w:t xml:space="preserve"> rappelle </w:t>
      </w:r>
      <w:r w:rsidR="00532EBA" w:rsidRPr="00B20DF6">
        <w:t xml:space="preserve">que son pays accorde une grande importance aux femmes et a créé une association pour les femmes et les jeunes filles du Koweït. </w:t>
      </w:r>
      <w:r w:rsidR="00923260" w:rsidRPr="00B20DF6">
        <w:t xml:space="preserve">Les femmes occupent un certain nombre de postes ministériels au Koweït et </w:t>
      </w:r>
      <w:r w:rsidR="00276573" w:rsidRPr="00B20DF6">
        <w:t xml:space="preserve">le </w:t>
      </w:r>
      <w:r w:rsidR="00923260" w:rsidRPr="00B20DF6">
        <w:t xml:space="preserve">pays </w:t>
      </w:r>
      <w:r w:rsidR="00276573" w:rsidRPr="00B20DF6">
        <w:t xml:space="preserve">de l'oratrice </w:t>
      </w:r>
      <w:r w:rsidR="00923260" w:rsidRPr="00B20DF6">
        <w:t xml:space="preserve">a été l'un des premiers </w:t>
      </w:r>
      <w:r w:rsidR="00040CB6" w:rsidRPr="00B20DF6">
        <w:t xml:space="preserve">de la région </w:t>
      </w:r>
      <w:r w:rsidR="00923260" w:rsidRPr="00B20DF6">
        <w:t xml:space="preserve">à compter des femmes au </w:t>
      </w:r>
      <w:r w:rsidR="00FD4A3F" w:rsidRPr="00B20DF6">
        <w:t>sein</w:t>
      </w:r>
      <w:r w:rsidR="00945ED9" w:rsidRPr="00B20DF6">
        <w:t xml:space="preserve"> </w:t>
      </w:r>
      <w:r w:rsidR="00040CB6" w:rsidRPr="00B20DF6">
        <w:t>du</w:t>
      </w:r>
      <w:r w:rsidR="00945ED9" w:rsidRPr="00B20DF6">
        <w:t xml:space="preserve"> </w:t>
      </w:r>
      <w:r w:rsidR="00923260" w:rsidRPr="00B20DF6">
        <w:t>gouvernement.</w:t>
      </w:r>
      <w:r w:rsidRPr="00B20DF6">
        <w:t xml:space="preserve"> </w:t>
      </w:r>
      <w:r w:rsidR="00FD4A3F" w:rsidRPr="00B20DF6">
        <w:t>En outre, le pays dispose d'une autorité publique pour les jeunes, chargée de</w:t>
      </w:r>
      <w:r w:rsidR="00945ED9" w:rsidRPr="00B20DF6">
        <w:t xml:space="preserve"> </w:t>
      </w:r>
      <w:r w:rsidR="00040CB6" w:rsidRPr="00B20DF6">
        <w:t xml:space="preserve">renforcer </w:t>
      </w:r>
      <w:r w:rsidR="00FD4A3F" w:rsidRPr="00B20DF6">
        <w:t>le rôle des jeunes dans la société et de préparer les jeunes à jouer un rôle important dans la société.</w:t>
      </w:r>
    </w:p>
    <w:p w14:paraId="07B74B64" w14:textId="566F7AC0" w:rsidR="004C45B5" w:rsidRPr="00B20DF6" w:rsidRDefault="004C45B5" w:rsidP="00945ED9">
      <w:r w:rsidRPr="00B20DF6">
        <w:t>2.10</w:t>
      </w:r>
      <w:r w:rsidRPr="00B20DF6">
        <w:tab/>
      </w:r>
      <w:r w:rsidR="006E1580" w:rsidRPr="00B20DF6">
        <w:t xml:space="preserve">La </w:t>
      </w:r>
      <w:r w:rsidR="006E1580" w:rsidRPr="00B20DF6">
        <w:rPr>
          <w:b/>
          <w:bCs/>
        </w:rPr>
        <w:t>déléguée de l'Iraq</w:t>
      </w:r>
      <w:r w:rsidR="00945ED9" w:rsidRPr="00B20DF6">
        <w:t xml:space="preserve"> </w:t>
      </w:r>
      <w:r w:rsidR="00040CB6" w:rsidRPr="00B20DF6">
        <w:t>note</w:t>
      </w:r>
      <w:r w:rsidR="00945ED9" w:rsidRPr="00B20DF6">
        <w:t xml:space="preserve"> </w:t>
      </w:r>
      <w:r w:rsidR="006E1580" w:rsidRPr="00B20DF6">
        <w:t xml:space="preserve">que selon sa délégation, l'UIT est une organisation internationale spécialisée qui cherche à promouvoir les télécommunications pour tous, sans exception. </w:t>
      </w:r>
      <w:r w:rsidR="000459D4" w:rsidRPr="00B20DF6">
        <w:t>L'Iraq</w:t>
      </w:r>
      <w:r w:rsidR="00945ED9" w:rsidRPr="00B20DF6">
        <w:t xml:space="preserve"> </w:t>
      </w:r>
      <w:r w:rsidR="00040CB6" w:rsidRPr="00B20DF6">
        <w:t xml:space="preserve">appuie </w:t>
      </w:r>
      <w:r w:rsidR="000459D4" w:rsidRPr="00B20DF6">
        <w:t>sans réserve</w:t>
      </w:r>
      <w:r w:rsidR="00945ED9" w:rsidRPr="00B20DF6">
        <w:t xml:space="preserve"> </w:t>
      </w:r>
      <w:r w:rsidR="000459D4" w:rsidRPr="00B20DF6">
        <w:t xml:space="preserve">tous les efforts déployés dans le but d'autonomiser toutes les catégories de personnes dans la société, y compris les femmes et les jeunes filles, les personnes handicapées et les personnes âgées, et souscrit aux principes de connectivité et d'accès universels aux services de télécommunication/TIC, en partant du principe que personne ne devrait être laissé </w:t>
      </w:r>
      <w:r w:rsidR="00CA0E67" w:rsidRPr="00B20DF6">
        <w:t>pour compte</w:t>
      </w:r>
      <w:r w:rsidR="000459D4" w:rsidRPr="00B20DF6">
        <w:t>.</w:t>
      </w:r>
      <w:r w:rsidR="00362E00">
        <w:t xml:space="preserve"> E</w:t>
      </w:r>
      <w:r w:rsidR="00040CB6" w:rsidRPr="00B20DF6">
        <w:t>n Iraq,</w:t>
      </w:r>
      <w:r w:rsidRPr="00B20DF6">
        <w:t xml:space="preserve"> </w:t>
      </w:r>
      <w:r w:rsidR="00040CB6" w:rsidRPr="00B20DF6">
        <w:t xml:space="preserve">les </w:t>
      </w:r>
      <w:r w:rsidR="00B54C4F" w:rsidRPr="00B20DF6">
        <w:t>femmes sont représentées dans tous les secteurs,</w:t>
      </w:r>
      <w:r w:rsidR="00040CB6" w:rsidRPr="00B20DF6">
        <w:t xml:space="preserve"> puisque</w:t>
      </w:r>
      <w:r w:rsidR="00945ED9" w:rsidRPr="00B20DF6">
        <w:t xml:space="preserve"> </w:t>
      </w:r>
      <w:r w:rsidR="00B54C4F" w:rsidRPr="00B20DF6">
        <w:t>par exemple</w:t>
      </w:r>
      <w:r w:rsidR="00040CB6" w:rsidRPr="00B20DF6">
        <w:t>,</w:t>
      </w:r>
      <w:r w:rsidR="00B54C4F" w:rsidRPr="00B20DF6">
        <w:t xml:space="preserve"> plus d'un tiers des </w:t>
      </w:r>
      <w:r w:rsidR="00040CB6" w:rsidRPr="00B20DF6">
        <w:t>parlementaires</w:t>
      </w:r>
      <w:r w:rsidR="00945ED9" w:rsidRPr="00B20DF6">
        <w:t xml:space="preserve"> </w:t>
      </w:r>
      <w:r w:rsidR="00040CB6" w:rsidRPr="00B20DF6">
        <w:t>iraquiens</w:t>
      </w:r>
      <w:r w:rsidR="00945ED9" w:rsidRPr="00B20DF6">
        <w:t xml:space="preserve"> </w:t>
      </w:r>
      <w:r w:rsidR="00E16418" w:rsidRPr="00B20DF6">
        <w:t>sont</w:t>
      </w:r>
      <w:r w:rsidR="00B54C4F" w:rsidRPr="00B20DF6">
        <w:t xml:space="preserve"> des femmes</w:t>
      </w:r>
      <w:r w:rsidR="00C57A54" w:rsidRPr="00B20DF6">
        <w:t>,</w:t>
      </w:r>
      <w:r w:rsidR="00B54C4F" w:rsidRPr="00B20DF6">
        <w:t xml:space="preserve"> et </w:t>
      </w:r>
      <w:r w:rsidR="00040CB6" w:rsidRPr="00B20DF6">
        <w:t xml:space="preserve">que </w:t>
      </w:r>
      <w:r w:rsidR="00C57A54" w:rsidRPr="00B20DF6">
        <w:t>certaines</w:t>
      </w:r>
      <w:r w:rsidR="00B54C4F" w:rsidRPr="00B20DF6">
        <w:t xml:space="preserve"> femmes </w:t>
      </w:r>
      <w:r w:rsidR="00C57A54" w:rsidRPr="00B20DF6">
        <w:t xml:space="preserve">ont </w:t>
      </w:r>
      <w:r w:rsidR="00040CB6" w:rsidRPr="00B20DF6">
        <w:t xml:space="preserve">exercé des fonctions </w:t>
      </w:r>
      <w:r w:rsidR="00B54C4F" w:rsidRPr="00B20DF6">
        <w:t>dans plusieurs gouvernements successifs.</w:t>
      </w:r>
      <w:r w:rsidR="0099684B" w:rsidRPr="00B20DF6">
        <w:t xml:space="preserve"> </w:t>
      </w:r>
      <w:r w:rsidR="006C19ED" w:rsidRPr="00B20DF6">
        <w:t xml:space="preserve">La </w:t>
      </w:r>
      <w:r w:rsidR="00CA6F9C" w:rsidRPr="00B20DF6">
        <w:t xml:space="preserve">délégation </w:t>
      </w:r>
      <w:r w:rsidR="006C19ED" w:rsidRPr="00B20DF6">
        <w:t xml:space="preserve">de l'oratrice </w:t>
      </w:r>
      <w:r w:rsidR="00CA6F9C" w:rsidRPr="00B20DF6">
        <w:t xml:space="preserve">estime </w:t>
      </w:r>
      <w:r w:rsidR="006C19ED" w:rsidRPr="00B20DF6">
        <w:t xml:space="preserve">également </w:t>
      </w:r>
      <w:r w:rsidR="00CA6F9C" w:rsidRPr="00B20DF6">
        <w:t xml:space="preserve">que l'UIT est une organisation neutre qui tient compte des vues de tous les pays du </w:t>
      </w:r>
      <w:proofErr w:type="gramStart"/>
      <w:r w:rsidR="00CA6F9C" w:rsidRPr="00B20DF6">
        <w:t>monde</w:t>
      </w:r>
      <w:r w:rsidR="00E37621" w:rsidRPr="00B20DF6">
        <w:t>;</w:t>
      </w:r>
      <w:proofErr w:type="gramEnd"/>
      <w:r w:rsidR="00CA6F9C" w:rsidRPr="00B20DF6">
        <w:t xml:space="preserve"> </w:t>
      </w:r>
      <w:r w:rsidR="00E37621" w:rsidRPr="00B20DF6">
        <w:t xml:space="preserve">par conséquent, </w:t>
      </w:r>
      <w:r w:rsidR="00CA6F9C" w:rsidRPr="00B20DF6">
        <w:t>aucun de ses instruments, documents ou résultats de</w:t>
      </w:r>
      <w:r w:rsidR="00945ED9" w:rsidRPr="00B20DF6">
        <w:t xml:space="preserve"> </w:t>
      </w:r>
      <w:r w:rsidR="00CA6F9C" w:rsidRPr="00B20DF6">
        <w:t>Conférence ne devrait contenir</w:t>
      </w:r>
      <w:r w:rsidR="00945ED9" w:rsidRPr="00B20DF6">
        <w:t xml:space="preserve"> </w:t>
      </w:r>
      <w:r w:rsidR="00040CB6" w:rsidRPr="00B20DF6">
        <w:t>des termes</w:t>
      </w:r>
      <w:r w:rsidR="00CA6F9C" w:rsidRPr="00B20DF6">
        <w:t xml:space="preserve"> qui</w:t>
      </w:r>
      <w:r w:rsidR="00040CB6" w:rsidRPr="00B20DF6">
        <w:t xml:space="preserve"> sont</w:t>
      </w:r>
      <w:r w:rsidR="00CA6F9C" w:rsidRPr="00B20DF6">
        <w:t xml:space="preserve"> contraire</w:t>
      </w:r>
      <w:r w:rsidR="00040CB6" w:rsidRPr="00B20DF6">
        <w:t>s</w:t>
      </w:r>
      <w:r w:rsidR="00CA6F9C" w:rsidRPr="00B20DF6">
        <w:t xml:space="preserve"> </w:t>
      </w:r>
      <w:r w:rsidR="00040CB6" w:rsidRPr="00B20DF6">
        <w:t>aux</w:t>
      </w:r>
      <w:r w:rsidR="00CA6F9C" w:rsidRPr="00B20DF6">
        <w:t xml:space="preserve"> culture</w:t>
      </w:r>
      <w:r w:rsidR="00040CB6" w:rsidRPr="00B20DF6">
        <w:t>s</w:t>
      </w:r>
      <w:r w:rsidR="00CA6F9C" w:rsidRPr="00B20DF6">
        <w:t xml:space="preserve">, </w:t>
      </w:r>
      <w:r w:rsidR="00040CB6" w:rsidRPr="00B20DF6">
        <w:t>aux</w:t>
      </w:r>
      <w:r w:rsidR="00CA6F9C" w:rsidRPr="00B20DF6">
        <w:t xml:space="preserve"> religion</w:t>
      </w:r>
      <w:r w:rsidR="00040CB6" w:rsidRPr="00B20DF6">
        <w:t>s</w:t>
      </w:r>
      <w:r w:rsidR="00CA6F9C" w:rsidRPr="00B20DF6">
        <w:t xml:space="preserve"> et </w:t>
      </w:r>
      <w:r w:rsidR="00040CB6" w:rsidRPr="00B20DF6">
        <w:t>aux</w:t>
      </w:r>
      <w:r w:rsidR="00CA6F9C" w:rsidRPr="00B20DF6">
        <w:t xml:space="preserve"> législation</w:t>
      </w:r>
      <w:r w:rsidR="00040CB6" w:rsidRPr="00B20DF6">
        <w:t>s</w:t>
      </w:r>
      <w:r w:rsidR="00CA6F9C" w:rsidRPr="00B20DF6">
        <w:t xml:space="preserve"> de ses </w:t>
      </w:r>
      <w:r w:rsidR="00F863DD" w:rsidRPr="00B20DF6">
        <w:t>É</w:t>
      </w:r>
      <w:r w:rsidR="00CA6F9C" w:rsidRPr="00B20DF6">
        <w:t xml:space="preserve">tats Membres. </w:t>
      </w:r>
      <w:r w:rsidR="00A33C01" w:rsidRPr="00B20DF6">
        <w:t xml:space="preserve">La délégation de l'oratrice </w:t>
      </w:r>
      <w:r w:rsidR="00592151" w:rsidRPr="00B20DF6">
        <w:t>espère que l'UIT continuera</w:t>
      </w:r>
      <w:r w:rsidR="00945ED9" w:rsidRPr="00B20DF6">
        <w:t xml:space="preserve"> </w:t>
      </w:r>
      <w:r w:rsidR="00040CB6" w:rsidRPr="00B20DF6">
        <w:rPr>
          <w:color w:val="000000"/>
        </w:rPr>
        <w:t>dans cette voie</w:t>
      </w:r>
      <w:r w:rsidR="00945ED9" w:rsidRPr="00B20DF6">
        <w:rPr>
          <w:color w:val="000000"/>
        </w:rPr>
        <w:t xml:space="preserve"> </w:t>
      </w:r>
      <w:r w:rsidR="00592151" w:rsidRPr="00B20DF6">
        <w:t>à l'avenir.</w:t>
      </w:r>
    </w:p>
    <w:p w14:paraId="1DD3E37E" w14:textId="4B85CF48" w:rsidR="004C45B5" w:rsidRPr="00B20DF6" w:rsidRDefault="004C45B5" w:rsidP="00945ED9">
      <w:r w:rsidRPr="00B20DF6">
        <w:t>2.11</w:t>
      </w:r>
      <w:r w:rsidRPr="00B20DF6">
        <w:tab/>
      </w:r>
      <w:r w:rsidR="00D0368B" w:rsidRPr="00B20DF6">
        <w:t xml:space="preserve">Le </w:t>
      </w:r>
      <w:r w:rsidR="00D0368B" w:rsidRPr="00B20DF6">
        <w:rPr>
          <w:b/>
          <w:bCs/>
        </w:rPr>
        <w:t>délégué d'Israël</w:t>
      </w:r>
      <w:r w:rsidR="00945ED9" w:rsidRPr="00B20DF6">
        <w:rPr>
          <w:b/>
          <w:bCs/>
        </w:rPr>
        <w:t xml:space="preserve"> </w:t>
      </w:r>
      <w:r w:rsidR="00040CB6" w:rsidRPr="00B20DF6">
        <w:t>appuie</w:t>
      </w:r>
      <w:r w:rsidR="00D0368B" w:rsidRPr="00B20DF6">
        <w:t xml:space="preserve"> également la déclaration du Danemark et d'autres délégations </w:t>
      </w:r>
      <w:r w:rsidR="00295678" w:rsidRPr="00B20DF6">
        <w:t>partageant des</w:t>
      </w:r>
      <w:r w:rsidR="00945ED9" w:rsidRPr="00B20DF6">
        <w:t xml:space="preserve"> </w:t>
      </w:r>
      <w:r w:rsidR="00040CB6" w:rsidRPr="00B20DF6">
        <w:t>vues</w:t>
      </w:r>
      <w:r w:rsidR="00945ED9" w:rsidRPr="00B20DF6">
        <w:t xml:space="preserve"> </w:t>
      </w:r>
      <w:r w:rsidR="00295678" w:rsidRPr="00B20DF6">
        <w:t>similaires</w:t>
      </w:r>
      <w:r w:rsidR="00040CB6" w:rsidRPr="00B20DF6">
        <w:t>,</w:t>
      </w:r>
      <w:r w:rsidR="00945ED9" w:rsidRPr="00B20DF6">
        <w:t xml:space="preserve"> </w:t>
      </w:r>
      <w:r w:rsidR="00040CB6" w:rsidRPr="00B20DF6">
        <w:t xml:space="preserve">et indique </w:t>
      </w:r>
      <w:r w:rsidR="00D0368B" w:rsidRPr="00B20DF6">
        <w:t xml:space="preserve">que les décisions prises, les documents </w:t>
      </w:r>
      <w:r w:rsidR="000A2B6F" w:rsidRPr="00B20DF6">
        <w:t>élaborés</w:t>
      </w:r>
      <w:r w:rsidR="00D0368B" w:rsidRPr="00B20DF6">
        <w:t xml:space="preserve"> et les normes établi</w:t>
      </w:r>
      <w:r w:rsidR="000A2B6F" w:rsidRPr="00B20DF6">
        <w:t>e</w:t>
      </w:r>
      <w:r w:rsidR="00D0368B" w:rsidRPr="00B20DF6">
        <w:t>s à la Conférence de plénipotentiaires détermineront les travaux de l'UIT et des différents pays et influeront en conséquence sur les sociétés.</w:t>
      </w:r>
      <w:r w:rsidRPr="00B20DF6">
        <w:t xml:space="preserve"> </w:t>
      </w:r>
      <w:r w:rsidR="00794EA0" w:rsidRPr="00B20DF6">
        <w:t xml:space="preserve">On ne </w:t>
      </w:r>
      <w:r w:rsidR="00DF0CEF" w:rsidRPr="00B20DF6">
        <w:t>saurait ignorer</w:t>
      </w:r>
      <w:r w:rsidR="00794EA0" w:rsidRPr="00B20DF6">
        <w:t xml:space="preserve"> que les droits des femmes </w:t>
      </w:r>
      <w:r w:rsidR="00295678" w:rsidRPr="00B20DF6">
        <w:t>sont</w:t>
      </w:r>
      <w:r w:rsidR="00794EA0" w:rsidRPr="00B20DF6">
        <w:t xml:space="preserve"> bafoués </w:t>
      </w:r>
      <w:r w:rsidR="00C108F9" w:rsidRPr="00B20DF6">
        <w:t>partout dans le monde</w:t>
      </w:r>
      <w:r w:rsidRPr="00B20DF6">
        <w:t xml:space="preserve">. </w:t>
      </w:r>
      <w:r w:rsidR="00C108F9" w:rsidRPr="00B20DF6">
        <w:t xml:space="preserve">L'orateur se demande quel message est envoyé aux femmes courageuses qui risquent leur vie </w:t>
      </w:r>
      <w:r w:rsidR="00042A51" w:rsidRPr="00B20DF6">
        <w:t xml:space="preserve">en </w:t>
      </w:r>
      <w:r w:rsidR="00476C49" w:rsidRPr="00B20DF6">
        <w:t>se battant pour</w:t>
      </w:r>
      <w:r w:rsidR="00945ED9" w:rsidRPr="00B20DF6">
        <w:t xml:space="preserve"> </w:t>
      </w:r>
      <w:r w:rsidR="00C108F9" w:rsidRPr="00B20DF6">
        <w:t>leurs droits.</w:t>
      </w:r>
      <w:r w:rsidR="00476C49" w:rsidRPr="00B20DF6">
        <w:t xml:space="preserve"> </w:t>
      </w:r>
      <w:r w:rsidR="009971E2" w:rsidRPr="00B20DF6">
        <w:t xml:space="preserve">L'examen de la Résolution est clos, mais l'orateur </w:t>
      </w:r>
      <w:r w:rsidR="004E639E" w:rsidRPr="00B20DF6">
        <w:t>s'interroge sur</w:t>
      </w:r>
      <w:r w:rsidR="00945ED9" w:rsidRPr="00B20DF6">
        <w:t xml:space="preserve"> </w:t>
      </w:r>
      <w:r w:rsidR="00DF0CEF" w:rsidRPr="00B20DF6">
        <w:t xml:space="preserve">les conséquences </w:t>
      </w:r>
      <w:r w:rsidR="0092088E" w:rsidRPr="00B20DF6">
        <w:t xml:space="preserve">pour celles qui </w:t>
      </w:r>
      <w:r w:rsidR="00EF0D39" w:rsidRPr="00B20DF6">
        <w:t xml:space="preserve">risquent </w:t>
      </w:r>
      <w:r w:rsidR="009971E2" w:rsidRPr="00B20DF6">
        <w:t>d'être laissé</w:t>
      </w:r>
      <w:r w:rsidR="000618D3" w:rsidRPr="00B20DF6">
        <w:t>e</w:t>
      </w:r>
      <w:r w:rsidR="009971E2" w:rsidRPr="00B20DF6">
        <w:t xml:space="preserve">s pour compte et </w:t>
      </w:r>
      <w:r w:rsidR="0092088E" w:rsidRPr="00B20DF6">
        <w:t xml:space="preserve">sur le </w:t>
      </w:r>
      <w:r w:rsidR="009971E2" w:rsidRPr="00B20DF6">
        <w:t xml:space="preserve">message envoyé par la </w:t>
      </w:r>
      <w:r w:rsidR="00EF0D39" w:rsidRPr="00B20DF6">
        <w:t>C</w:t>
      </w:r>
      <w:r w:rsidR="009971E2" w:rsidRPr="00B20DF6">
        <w:t>onférence.</w:t>
      </w:r>
    </w:p>
    <w:p w14:paraId="64CB1A09" w14:textId="62F71537" w:rsidR="004C45B5" w:rsidRPr="00B20DF6" w:rsidRDefault="004C45B5" w:rsidP="00945ED9">
      <w:r w:rsidRPr="00B20DF6">
        <w:t>2.12</w:t>
      </w:r>
      <w:r w:rsidRPr="00B20DF6">
        <w:tab/>
      </w:r>
      <w:r w:rsidR="00685986" w:rsidRPr="00B20DF6">
        <w:t xml:space="preserve">La </w:t>
      </w:r>
      <w:r w:rsidR="00685986" w:rsidRPr="00B20DF6">
        <w:rPr>
          <w:b/>
          <w:bCs/>
        </w:rPr>
        <w:t xml:space="preserve">déléguée du Qatar </w:t>
      </w:r>
      <w:r w:rsidR="00685986" w:rsidRPr="00B20DF6">
        <w:t xml:space="preserve">déclare que son pays </w:t>
      </w:r>
      <w:r w:rsidR="005B4F45" w:rsidRPr="00B20DF6">
        <w:t xml:space="preserve">est </w:t>
      </w:r>
      <w:r w:rsidR="0092088E" w:rsidRPr="00B20DF6">
        <w:t>d</w:t>
      </w:r>
      <w:r w:rsidR="005B4F45" w:rsidRPr="00B20DF6">
        <w:t>éterminé à renforcer la participation des femmes à l'édification de la société</w:t>
      </w:r>
      <w:r w:rsidR="00F440EB" w:rsidRPr="00B20DF6">
        <w:t xml:space="preserve">. </w:t>
      </w:r>
      <w:r w:rsidR="00C05BEE" w:rsidRPr="00B20DF6">
        <w:t xml:space="preserve">Le pays cherche à </w:t>
      </w:r>
      <w:r w:rsidR="00F440EB" w:rsidRPr="00B20DF6">
        <w:t>protéger les droits des femmes à l'éducation et l'égalité des chances en termes d'emploi,</w:t>
      </w:r>
      <w:r w:rsidR="00DF0CEF" w:rsidRPr="00B20DF6">
        <w:t xml:space="preserve"> </w:t>
      </w:r>
      <w:r w:rsidR="00F440EB" w:rsidRPr="00B20DF6">
        <w:t>convaincu qu'il est important de donner aux femmes les moyens de promouvoir la paix, la stabilité et la croissance économique et de surmonter les difficultés socio-économiques.</w:t>
      </w:r>
      <w:r w:rsidRPr="00B20DF6">
        <w:t xml:space="preserve"> </w:t>
      </w:r>
      <w:r w:rsidR="00147B57" w:rsidRPr="00B20DF6">
        <w:t xml:space="preserve">Globalement, </w:t>
      </w:r>
      <w:r w:rsidR="00C05BEE" w:rsidRPr="00B20DF6">
        <w:t xml:space="preserve">le pays de l'oratrice </w:t>
      </w:r>
      <w:r w:rsidR="00147B57" w:rsidRPr="00B20DF6">
        <w:t xml:space="preserve">s'efforce de </w:t>
      </w:r>
      <w:r w:rsidR="00DF0CEF" w:rsidRPr="00B20DF6">
        <w:t>veiller à ce</w:t>
      </w:r>
      <w:r w:rsidR="00147B57" w:rsidRPr="00B20DF6">
        <w:t xml:space="preserve"> que les femmes au Qatar jouent un rôle de premier plan dans la société et la vie publique. </w:t>
      </w:r>
      <w:r w:rsidR="007F76FF" w:rsidRPr="00B20DF6">
        <w:t>Les femmes</w:t>
      </w:r>
      <w:r w:rsidR="00FF7E79" w:rsidRPr="00B20DF6">
        <w:t xml:space="preserve"> peuvent</w:t>
      </w:r>
      <w:r w:rsidR="00945ED9" w:rsidRPr="00B20DF6">
        <w:t xml:space="preserve"> </w:t>
      </w:r>
      <w:r w:rsidR="007F76FF" w:rsidRPr="00B20DF6">
        <w:t xml:space="preserve">à présent </w:t>
      </w:r>
      <w:r w:rsidR="00FF7E79" w:rsidRPr="00B20DF6">
        <w:t>se mesurer</w:t>
      </w:r>
      <w:r w:rsidR="007F76FF" w:rsidRPr="00B20DF6">
        <w:t xml:space="preserve"> avec les hommes sur le marché du travail. Le Qatar appuie l'égalité hommes-femmes en ce qui concerne les possibilités d'éducation et de formation, afin de promouvoir les compétences des femmes en matière de gestion et de direction</w:t>
      </w:r>
      <w:r w:rsidR="0042555A" w:rsidRPr="00B20DF6">
        <w:t>,</w:t>
      </w:r>
      <w:r w:rsidR="007F76FF" w:rsidRPr="00B20DF6">
        <w:t xml:space="preserve"> et insist</w:t>
      </w:r>
      <w:r w:rsidR="0042555A" w:rsidRPr="00B20DF6">
        <w:t>e</w:t>
      </w:r>
      <w:r w:rsidR="007F76FF" w:rsidRPr="00B20DF6">
        <w:t xml:space="preserve"> sur l'importance d</w:t>
      </w:r>
      <w:r w:rsidR="00236090" w:rsidRPr="00B20DF6">
        <w:t>'autonomiser l</w:t>
      </w:r>
      <w:r w:rsidR="007F76FF" w:rsidRPr="00B20DF6">
        <w:t xml:space="preserve">es femmes et </w:t>
      </w:r>
      <w:r w:rsidR="00674992" w:rsidRPr="00B20DF6">
        <w:t>l</w:t>
      </w:r>
      <w:r w:rsidR="007F76FF" w:rsidRPr="00B20DF6">
        <w:t xml:space="preserve">es jeunes filles, </w:t>
      </w:r>
      <w:r w:rsidR="00674992" w:rsidRPr="00B20DF6">
        <w:t>l</w:t>
      </w:r>
      <w:r w:rsidR="007F76FF" w:rsidRPr="00B20DF6">
        <w:t>es personnes handicapées et toutes les personnes sans exception</w:t>
      </w:r>
      <w:r w:rsidR="0042555A" w:rsidRPr="00B20DF6">
        <w:t>,</w:t>
      </w:r>
      <w:r w:rsidR="007F76FF" w:rsidRPr="00B20DF6">
        <w:t xml:space="preserve"> </w:t>
      </w:r>
      <w:r w:rsidR="00AB60E4" w:rsidRPr="00B20DF6">
        <w:t>ainsi que</w:t>
      </w:r>
      <w:r w:rsidR="007F76FF" w:rsidRPr="00B20DF6">
        <w:t xml:space="preserve"> de garantir un accès universel.</w:t>
      </w:r>
    </w:p>
    <w:p w14:paraId="791E8AE7" w14:textId="682A9866" w:rsidR="00E7415B" w:rsidRPr="00B20DF6" w:rsidRDefault="004C45B5" w:rsidP="00B160C7">
      <w:pPr>
        <w:keepNext/>
        <w:keepLines/>
        <w:tabs>
          <w:tab w:val="clear" w:pos="567"/>
          <w:tab w:val="clear" w:pos="1134"/>
          <w:tab w:val="clear" w:pos="1701"/>
          <w:tab w:val="clear" w:pos="2268"/>
          <w:tab w:val="clear" w:pos="2835"/>
        </w:tabs>
        <w:overflowPunct/>
        <w:autoSpaceDE/>
        <w:autoSpaceDN/>
        <w:adjustRightInd/>
        <w:snapToGrid w:val="0"/>
        <w:textAlignment w:val="auto"/>
        <w:rPr>
          <w:rFonts w:asciiTheme="minorHAnsi" w:eastAsiaTheme="minorHAnsi" w:hAnsiTheme="minorHAnsi" w:cstheme="minorBidi"/>
          <w:szCs w:val="24"/>
        </w:rPr>
      </w:pPr>
      <w:r w:rsidRPr="00B20DF6">
        <w:lastRenderedPageBreak/>
        <w:t>2.13</w:t>
      </w:r>
      <w:r w:rsidRPr="00B20DF6">
        <w:tab/>
      </w:r>
      <w:r w:rsidR="00E7415B" w:rsidRPr="00B20DF6">
        <w:t xml:space="preserve">Le </w:t>
      </w:r>
      <w:r w:rsidR="00E7415B" w:rsidRPr="00B20DF6">
        <w:rPr>
          <w:b/>
          <w:bCs/>
        </w:rPr>
        <w:t>délégué de la Suède</w:t>
      </w:r>
      <w:r w:rsidR="00945ED9" w:rsidRPr="00B20DF6">
        <w:rPr>
          <w:b/>
          <w:bCs/>
        </w:rPr>
        <w:t xml:space="preserve"> </w:t>
      </w:r>
      <w:r w:rsidR="00FF7E79" w:rsidRPr="00B20DF6">
        <w:t>souscrit aux</w:t>
      </w:r>
      <w:r w:rsidR="00945ED9" w:rsidRPr="00B20DF6">
        <w:t xml:space="preserve"> </w:t>
      </w:r>
      <w:r w:rsidR="00E7415B" w:rsidRPr="00B20DF6">
        <w:t>interventions du Danemark et d'autres pays</w:t>
      </w:r>
      <w:r w:rsidR="00FF7E79" w:rsidRPr="00B20DF6">
        <w:t xml:space="preserve"> et</w:t>
      </w:r>
      <w:r w:rsidR="00945ED9" w:rsidRPr="00B20DF6">
        <w:t xml:space="preserve"> </w:t>
      </w:r>
      <w:r w:rsidR="00E7415B" w:rsidRPr="00B20DF6">
        <w:t>demande à tous les pays de reconnaître combien il est important de parvenir à l'égalité hommes</w:t>
      </w:r>
      <w:r w:rsidR="00B160C7" w:rsidRPr="00B20DF6">
        <w:noBreakHyphen/>
      </w:r>
      <w:r w:rsidR="00E7415B" w:rsidRPr="00B20DF6">
        <w:t>femmes</w:t>
      </w:r>
      <w:r w:rsidR="00FF7E79" w:rsidRPr="00B20DF6">
        <w:t>,</w:t>
      </w:r>
      <w:r w:rsidR="00945ED9" w:rsidRPr="00B20DF6">
        <w:t xml:space="preserve"> </w:t>
      </w:r>
      <w:r w:rsidR="00E7415B" w:rsidRPr="00B20DF6">
        <w:t xml:space="preserve">afin de ne laisser personne de côté. La lutte </w:t>
      </w:r>
      <w:r w:rsidR="003B2230" w:rsidRPr="00B20DF6">
        <w:t xml:space="preserve">en faveur </w:t>
      </w:r>
      <w:r w:rsidR="00F14744" w:rsidRPr="00B20DF6">
        <w:t xml:space="preserve">de </w:t>
      </w:r>
      <w:r w:rsidR="00E7415B" w:rsidRPr="00B20DF6">
        <w:t xml:space="preserve">l'égalité des sexes est et devrait être l'une des </w:t>
      </w:r>
      <w:r w:rsidR="00674992" w:rsidRPr="00B20DF6">
        <w:t>grandes</w:t>
      </w:r>
      <w:r w:rsidR="00E7415B" w:rsidRPr="00B20DF6">
        <w:t xml:space="preserve"> priorités</w:t>
      </w:r>
      <w:r w:rsidR="00945ED9" w:rsidRPr="00B20DF6">
        <w:t xml:space="preserve"> </w:t>
      </w:r>
      <w:r w:rsidR="00FF7E79" w:rsidRPr="00B20DF6">
        <w:t>de</w:t>
      </w:r>
      <w:r w:rsidR="00945ED9" w:rsidRPr="00B20DF6">
        <w:t xml:space="preserve"> </w:t>
      </w:r>
      <w:r w:rsidR="00E7415B" w:rsidRPr="00B20DF6">
        <w:t xml:space="preserve">l'UIT, afin de réduire la fracture numérique entre les hommes et les femmes. Il convient également de souligner que les personnes vulnérables ne sont pas des personnes </w:t>
      </w:r>
      <w:proofErr w:type="gramStart"/>
      <w:r w:rsidR="00E7415B" w:rsidRPr="00B20DF6">
        <w:t>dangereuses;</w:t>
      </w:r>
      <w:proofErr w:type="gramEnd"/>
      <w:r w:rsidR="00E7415B" w:rsidRPr="00B20DF6">
        <w:t xml:space="preserve"> </w:t>
      </w:r>
      <w:r w:rsidR="00AA176F" w:rsidRPr="00B20DF6">
        <w:t>il peut s'agir de personnes ordinaires ou exceptionnelles</w:t>
      </w:r>
      <w:r w:rsidR="00300059" w:rsidRPr="00B20DF6">
        <w:t xml:space="preserve">, </w:t>
      </w:r>
      <w:r w:rsidR="00FF7E79" w:rsidRPr="00B20DF6">
        <w:t>qui</w:t>
      </w:r>
      <w:r w:rsidR="00AA176F" w:rsidRPr="00B20DF6">
        <w:t xml:space="preserve"> </w:t>
      </w:r>
      <w:r w:rsidR="00E7415B" w:rsidRPr="00B20DF6">
        <w:t>ne doivent pas être considéré</w:t>
      </w:r>
      <w:r w:rsidR="00702580" w:rsidRPr="00B20DF6">
        <w:t>e</w:t>
      </w:r>
      <w:r w:rsidR="00E7415B" w:rsidRPr="00B20DF6">
        <w:t>s comme dangereu</w:t>
      </w:r>
      <w:r w:rsidR="00702580" w:rsidRPr="00B20DF6">
        <w:t>ses</w:t>
      </w:r>
      <w:r w:rsidR="00E7415B" w:rsidRPr="00B20DF6">
        <w:t>.</w:t>
      </w:r>
    </w:p>
    <w:p w14:paraId="07A88702" w14:textId="461CA95A" w:rsidR="004C45B5" w:rsidRPr="00B20DF6" w:rsidRDefault="004C45B5" w:rsidP="00945ED9">
      <w:pPr>
        <w:rPr>
          <w:rFonts w:asciiTheme="minorHAnsi" w:eastAsiaTheme="minorHAnsi" w:hAnsiTheme="minorHAnsi" w:cstheme="minorBidi"/>
          <w:szCs w:val="24"/>
        </w:rPr>
      </w:pPr>
      <w:r w:rsidRPr="00B20DF6">
        <w:t>2.14</w:t>
      </w:r>
      <w:r w:rsidRPr="00B20DF6">
        <w:tab/>
      </w:r>
      <w:r w:rsidR="00FA6CD2" w:rsidRPr="00B20DF6">
        <w:t xml:space="preserve">La </w:t>
      </w:r>
      <w:r w:rsidR="00FA6CD2" w:rsidRPr="00B20DF6">
        <w:rPr>
          <w:b/>
          <w:bCs/>
        </w:rPr>
        <w:t>déléguée de l'Égypte</w:t>
      </w:r>
      <w:r w:rsidR="00FA6CD2" w:rsidRPr="00B20DF6">
        <w:t xml:space="preserve"> dit que son pays ne ménage aucun effort pour soutenir et autonomiser les femmes et les jeunes filles. L'objectif </w:t>
      </w:r>
      <w:r w:rsidR="00F26EE8" w:rsidRPr="00B20DF6">
        <w:t>est</w:t>
      </w:r>
      <w:r w:rsidR="00FA6CD2" w:rsidRPr="00B20DF6">
        <w:t xml:space="preserve"> </w:t>
      </w:r>
      <w:r w:rsidR="005146A0" w:rsidRPr="00B20DF6">
        <w:t>d</w:t>
      </w:r>
      <w:r w:rsidR="00945ED9" w:rsidRPr="00B20DF6">
        <w:t>'</w:t>
      </w:r>
      <w:r w:rsidR="005146A0" w:rsidRPr="00B20DF6">
        <w:t>assurer l</w:t>
      </w:r>
      <w:r w:rsidR="00945ED9" w:rsidRPr="00B20DF6">
        <w:t>'</w:t>
      </w:r>
      <w:r w:rsidR="005146A0" w:rsidRPr="00B20DF6">
        <w:t xml:space="preserve">inclusion de </w:t>
      </w:r>
      <w:r w:rsidR="00FA6CD2" w:rsidRPr="00B20DF6">
        <w:t>toutes les catégories de personnes, hommes, femmes, jeunes, personnes âgées ou personnes ayant des besoins particuliers, afin de réduire la fracture numérique. La société égyptienne englobe toutes ces personnes et l'</w:t>
      </w:r>
      <w:r w:rsidR="00B907D9" w:rsidRPr="00B20DF6">
        <w:t>É</w:t>
      </w:r>
      <w:r w:rsidR="00FA6CD2" w:rsidRPr="00B20DF6">
        <w:t xml:space="preserve">tat s'efforce de répondre à </w:t>
      </w:r>
      <w:r w:rsidR="009B62F4" w:rsidRPr="00B20DF6">
        <w:t xml:space="preserve">leurs </w:t>
      </w:r>
      <w:r w:rsidR="00FA6CD2" w:rsidRPr="00B20DF6">
        <w:t>besoins. Sa délégation est présente</w:t>
      </w:r>
      <w:r w:rsidR="005146A0" w:rsidRPr="00B20DF6">
        <w:t xml:space="preserve"> ici</w:t>
      </w:r>
      <w:r w:rsidR="00FA6CD2" w:rsidRPr="00B20DF6">
        <w:t>, sous l'égide de l'Union, pour travailler dans l'intérêt des populations, en particulier</w:t>
      </w:r>
      <w:r w:rsidR="005146A0" w:rsidRPr="00B20DF6">
        <w:t xml:space="preserve"> celles</w:t>
      </w:r>
      <w:r w:rsidR="00945ED9" w:rsidRPr="00B20DF6">
        <w:t xml:space="preserve"> </w:t>
      </w:r>
      <w:r w:rsidR="00FA6CD2" w:rsidRPr="00B20DF6">
        <w:t xml:space="preserve">des pays en développement, et cherchera toujours à parvenir à un consensus à </w:t>
      </w:r>
      <w:r w:rsidR="005146A0" w:rsidRPr="00B20DF6">
        <w:t>cette fin</w:t>
      </w:r>
      <w:r w:rsidR="00FA6CD2" w:rsidRPr="00B20DF6">
        <w:t xml:space="preserve">. </w:t>
      </w:r>
      <w:r w:rsidR="006F66D5" w:rsidRPr="00B20DF6">
        <w:t xml:space="preserve">Elle </w:t>
      </w:r>
      <w:r w:rsidR="00FA6CD2" w:rsidRPr="00B20DF6">
        <w:t xml:space="preserve">aurait souhaité trouver un terrain d'entente acceptable pour toutes les parties prenantes sur la question à l'examen, mais la souplesse </w:t>
      </w:r>
      <w:r w:rsidR="005146A0" w:rsidRPr="00B20DF6">
        <w:t>faisait défaut</w:t>
      </w:r>
      <w:r w:rsidR="00FA6CD2" w:rsidRPr="00B20DF6">
        <w:t>. Plutôt que de parvenir à un consensus sur la façon de connecter ceux qui ne le sont pas encore et de réduire la fracture numérique, en tant que concepts fondamentaux applicables à toutes les catégories de personnes, d'autres</w:t>
      </w:r>
      <w:r w:rsidR="00945ED9" w:rsidRPr="00B20DF6">
        <w:t xml:space="preserve"> </w:t>
      </w:r>
      <w:r w:rsidR="00D72EEB" w:rsidRPr="00B20DF6">
        <w:t>ont souhaité</w:t>
      </w:r>
      <w:r w:rsidR="00FA6CD2" w:rsidRPr="00B20DF6">
        <w:t xml:space="preserve"> </w:t>
      </w:r>
      <w:r w:rsidR="00582681" w:rsidRPr="00B20DF6">
        <w:t xml:space="preserve">faire mention </w:t>
      </w:r>
      <w:r w:rsidR="00FA6CD2" w:rsidRPr="00B20DF6">
        <w:t xml:space="preserve">de catégories spécifiques de personnes. L'absence de consensus est décevante pour tous, mais il s'agit d'un échec multilatéral qui ne devrait pas être attribué à certaines parties et non à d'autres. Les femmes, les jeunes et les personnes âgées </w:t>
      </w:r>
      <w:r w:rsidR="004D120F" w:rsidRPr="00B20DF6">
        <w:t xml:space="preserve">sont </w:t>
      </w:r>
      <w:r w:rsidR="00FA6CD2" w:rsidRPr="00B20DF6">
        <w:t>une priorité</w:t>
      </w:r>
      <w:r w:rsidR="00945ED9" w:rsidRPr="00B20DF6">
        <w:t xml:space="preserve"> </w:t>
      </w:r>
      <w:r w:rsidR="005146A0" w:rsidRPr="00B20DF6">
        <w:t>évidente</w:t>
      </w:r>
      <w:r w:rsidR="00945ED9" w:rsidRPr="00B20DF6">
        <w:t xml:space="preserve"> </w:t>
      </w:r>
      <w:r w:rsidR="00FA6CD2" w:rsidRPr="00B20DF6">
        <w:t xml:space="preserve">pour les </w:t>
      </w:r>
      <w:r w:rsidR="00325DD7" w:rsidRPr="00B20DF6">
        <w:t>É</w:t>
      </w:r>
      <w:r w:rsidR="00FA6CD2" w:rsidRPr="00B20DF6">
        <w:t>tats</w:t>
      </w:r>
      <w:r w:rsidR="00B160C7" w:rsidRPr="00B20DF6">
        <w:t> </w:t>
      </w:r>
      <w:r w:rsidR="00FA6CD2" w:rsidRPr="00B20DF6">
        <w:t xml:space="preserve">arabes. </w:t>
      </w:r>
      <w:r w:rsidR="00B907D9" w:rsidRPr="00B20DF6">
        <w:t>À</w:t>
      </w:r>
      <w:r w:rsidR="00FA6CD2" w:rsidRPr="00B20DF6">
        <w:t xml:space="preserve"> cet égard, l'</w:t>
      </w:r>
      <w:r w:rsidR="00B907D9" w:rsidRPr="00B20DF6">
        <w:t>É</w:t>
      </w:r>
      <w:r w:rsidR="00FA6CD2" w:rsidRPr="00B20DF6">
        <w:t xml:space="preserve">gypte s'efforce de réduire la fracture entre ceux qui sont connectés et ceux qui ne le sont pas et prend toutes les mesures nécessaires pour connecter ceux qui ne le sont pas encore dans les zones isolées, y compris toutes les catégories de personnes qui constituent la société. </w:t>
      </w:r>
      <w:r w:rsidR="007A0421" w:rsidRPr="00B20DF6">
        <w:t>L'oratrice</w:t>
      </w:r>
      <w:r w:rsidR="00FA6CD2" w:rsidRPr="00B20DF6">
        <w:t xml:space="preserve"> insiste également sur le rôle important que l'Union doit jouer dans la réduction de la fracture numérique par le biais de ses résolutions et de</w:t>
      </w:r>
      <w:r w:rsidR="007A0421" w:rsidRPr="00B20DF6">
        <w:t>s</w:t>
      </w:r>
      <w:r w:rsidR="00FA6CD2" w:rsidRPr="00B20DF6">
        <w:t xml:space="preserve"> mesures</w:t>
      </w:r>
      <w:r w:rsidR="007A0421" w:rsidRPr="00B20DF6">
        <w:t xml:space="preserve"> qui en découlent</w:t>
      </w:r>
      <w:r w:rsidR="00FA6CD2" w:rsidRPr="00B20DF6">
        <w:t>.</w:t>
      </w:r>
    </w:p>
    <w:p w14:paraId="67501E28" w14:textId="25209A49" w:rsidR="004C45B5" w:rsidRPr="00B20DF6" w:rsidRDefault="004C45B5" w:rsidP="00945ED9">
      <w:r w:rsidRPr="00B20DF6">
        <w:t>2.15</w:t>
      </w:r>
      <w:r w:rsidRPr="00B20DF6">
        <w:tab/>
      </w:r>
      <w:r w:rsidR="00B00EC0" w:rsidRPr="00B20DF6">
        <w:t>Selon le</w:t>
      </w:r>
      <w:r w:rsidR="00D31252" w:rsidRPr="00B20DF6">
        <w:t xml:space="preserve"> </w:t>
      </w:r>
      <w:r w:rsidR="00D31252" w:rsidRPr="00B20DF6">
        <w:rPr>
          <w:b/>
          <w:bCs/>
        </w:rPr>
        <w:t>délégué de l'</w:t>
      </w:r>
      <w:r w:rsidR="00B00EC0" w:rsidRPr="00B20DF6">
        <w:rPr>
          <w:b/>
          <w:bCs/>
        </w:rPr>
        <w:t>Irlande</w:t>
      </w:r>
      <w:r w:rsidR="00B00EC0" w:rsidRPr="00B20DF6">
        <w:t>,</w:t>
      </w:r>
      <w:r w:rsidR="00D31252" w:rsidRPr="00B20DF6">
        <w:t xml:space="preserve"> les statistiques montrent que les </w:t>
      </w:r>
      <w:r w:rsidR="00B27D00" w:rsidRPr="00B20DF6">
        <w:t>groupes</w:t>
      </w:r>
      <w:r w:rsidR="00D31252" w:rsidRPr="00B20DF6">
        <w:t xml:space="preserve"> démographiques examinés</w:t>
      </w:r>
      <w:r w:rsidR="00945ED9" w:rsidRPr="00B20DF6">
        <w:t xml:space="preserve"> </w:t>
      </w:r>
      <w:r w:rsidR="005146A0" w:rsidRPr="00B20DF6">
        <w:t>dans le contexte de</w:t>
      </w:r>
      <w:r w:rsidR="00D31252" w:rsidRPr="00B20DF6">
        <w:t xml:space="preserve"> la Résolution 139 (par exemple les jeunes, les femmes, les jeunes filles, les personnes handicapées, les personnes ayant des besoins particuliers, les personnes âgées et les groupes vulnérables) nécessitent une attention particulière et une démarche ciblée de la part de l'UIT</w:t>
      </w:r>
      <w:r w:rsidR="005146A0" w:rsidRPr="00B20DF6">
        <w:t>,</w:t>
      </w:r>
      <w:r w:rsidR="00D31252" w:rsidRPr="00B20DF6">
        <w:t xml:space="preserve"> pour faire en sorte qu'elles soient connectées. La fracture numérique n'est pas seulement géographique, elle est également démographique et il est regrettable de ne pas </w:t>
      </w:r>
      <w:r w:rsidR="005146A0" w:rsidRPr="00B20DF6">
        <w:t>trouver</w:t>
      </w:r>
      <w:r w:rsidR="00945ED9" w:rsidRPr="00B20DF6">
        <w:t xml:space="preserve"> </w:t>
      </w:r>
      <w:r w:rsidR="00D31252" w:rsidRPr="00B20DF6">
        <w:t>un consensus sur certains éléments de la Résolution 139. L'Irlande est résolument favorable à ces valeurs et est convaincue qu'un effort unifié</w:t>
      </w:r>
      <w:r w:rsidR="00945ED9" w:rsidRPr="00B20DF6">
        <w:t xml:space="preserve"> </w:t>
      </w:r>
      <w:r w:rsidR="005146A0" w:rsidRPr="00B20DF6">
        <w:t>s</w:t>
      </w:r>
      <w:r w:rsidR="00945ED9" w:rsidRPr="00B20DF6">
        <w:t>'</w:t>
      </w:r>
      <w:r w:rsidR="005146A0" w:rsidRPr="00B20DF6">
        <w:t>impose</w:t>
      </w:r>
      <w:r w:rsidR="00945ED9" w:rsidRPr="00B20DF6">
        <w:t xml:space="preserve"> </w:t>
      </w:r>
      <w:r w:rsidR="00D31252" w:rsidRPr="00B20DF6">
        <w:t xml:space="preserve">pour réduire la fracture numérique au niveau mondial et </w:t>
      </w:r>
      <w:r w:rsidR="001C2B8A" w:rsidRPr="00B20DF6">
        <w:t xml:space="preserve">tenir compte de </w:t>
      </w:r>
      <w:r w:rsidR="00D31252" w:rsidRPr="00B20DF6">
        <w:t xml:space="preserve">la fracture numérique entre les hommes et les femmes, qui a des </w:t>
      </w:r>
      <w:r w:rsidR="005146A0" w:rsidRPr="00B20DF6">
        <w:t xml:space="preserve">retombées négatives </w:t>
      </w:r>
      <w:r w:rsidR="00D31252" w:rsidRPr="00B20DF6">
        <w:t xml:space="preserve">directes </w:t>
      </w:r>
      <w:r w:rsidR="00F20034" w:rsidRPr="00B20DF6">
        <w:t xml:space="preserve">sur </w:t>
      </w:r>
      <w:r w:rsidR="00D31252" w:rsidRPr="00B20DF6">
        <w:t>les femmes et les jeunes filles. L'Irlande continuera de promouvoir et de défendre ces valeurs auprès de l'UIT et d'autres instances multilatérales des Nations Unies.</w:t>
      </w:r>
    </w:p>
    <w:p w14:paraId="0DB02026" w14:textId="77777777" w:rsidR="00362E00" w:rsidRDefault="004C45B5" w:rsidP="00945ED9">
      <w:pPr>
        <w:tabs>
          <w:tab w:val="clear" w:pos="567"/>
          <w:tab w:val="clear" w:pos="1134"/>
          <w:tab w:val="clear" w:pos="1701"/>
          <w:tab w:val="clear" w:pos="2268"/>
          <w:tab w:val="clear" w:pos="2835"/>
        </w:tabs>
        <w:overflowPunct/>
        <w:autoSpaceDE/>
        <w:autoSpaceDN/>
        <w:adjustRightInd/>
        <w:snapToGrid w:val="0"/>
        <w:textAlignment w:val="auto"/>
      </w:pPr>
      <w:r w:rsidRPr="00B20DF6">
        <w:t>2.16</w:t>
      </w:r>
      <w:r w:rsidRPr="00B20DF6">
        <w:tab/>
      </w:r>
      <w:r w:rsidR="00C31CBD" w:rsidRPr="00B20DF6">
        <w:t xml:space="preserve">Le </w:t>
      </w:r>
      <w:r w:rsidR="00C31CBD" w:rsidRPr="00B20DF6">
        <w:rPr>
          <w:b/>
          <w:bCs/>
        </w:rPr>
        <w:t>délégué du Kenya</w:t>
      </w:r>
      <w:r w:rsidR="00C31CBD" w:rsidRPr="00B20DF6">
        <w:t xml:space="preserve"> se dit favorable à la reconnaissance du rôle essentiel que jouent les réseaux d'accès complémentaires, y compris les réseaux communautaires, dans la réduction de la fracture numérique. Il s</w:t>
      </w:r>
      <w:r w:rsidR="006B0352" w:rsidRPr="00B20DF6">
        <w:t xml:space="preserve">e </w:t>
      </w:r>
      <w:r w:rsidR="00C31CBD" w:rsidRPr="00B20DF6">
        <w:t>félicit</w:t>
      </w:r>
      <w:r w:rsidR="006B0352" w:rsidRPr="00B20DF6">
        <w:t>e</w:t>
      </w:r>
      <w:r w:rsidR="00C31CBD" w:rsidRPr="00B20DF6">
        <w:t xml:space="preserve"> de l'invitation à partager des informations sur les technologies de réseau ouvertes et interopérables et de leur rôle essentiel dans la promotion de systèmes et de solutions d'accès large bande fiables et résilients. Renforcer le rôle que joue l'UIT en favorisant la mise en place d'environnements propices à des TIC financièrement abordables contribuerait considérablement à réduire les disparités en matière d'accès et d'utilisation, en particulier dans les </w:t>
      </w:r>
      <w:r w:rsidR="00362E00">
        <w:br w:type="page"/>
      </w:r>
    </w:p>
    <w:p w14:paraId="07A1DAD9" w14:textId="4C26F5CA" w:rsidR="004C45B5" w:rsidRPr="00B20DF6" w:rsidRDefault="00C31CBD" w:rsidP="00945ED9">
      <w:pPr>
        <w:tabs>
          <w:tab w:val="clear" w:pos="567"/>
          <w:tab w:val="clear" w:pos="1134"/>
          <w:tab w:val="clear" w:pos="1701"/>
          <w:tab w:val="clear" w:pos="2268"/>
          <w:tab w:val="clear" w:pos="2835"/>
        </w:tabs>
        <w:overflowPunct/>
        <w:autoSpaceDE/>
        <w:autoSpaceDN/>
        <w:adjustRightInd/>
        <w:snapToGrid w:val="0"/>
        <w:textAlignment w:val="auto"/>
        <w:rPr>
          <w:rFonts w:asciiTheme="minorHAnsi" w:eastAsiaTheme="minorHAnsi" w:hAnsiTheme="minorHAnsi" w:cstheme="minorBidi"/>
          <w:szCs w:val="24"/>
        </w:rPr>
      </w:pPr>
      <w:proofErr w:type="gramStart"/>
      <w:r w:rsidRPr="00B20DF6">
        <w:lastRenderedPageBreak/>
        <w:t>pays</w:t>
      </w:r>
      <w:proofErr w:type="gramEnd"/>
      <w:r w:rsidRPr="00B20DF6">
        <w:t xml:space="preserve"> en développement. Les efforts déployés pour connecter les femmes, les jeunes filles, les jeunes, les personnes âgées, les personnes handicapées et les personnes ayant des besoins particuliers devraient s'inscrire dans </w:t>
      </w:r>
      <w:r w:rsidR="00A4333A" w:rsidRPr="00B20DF6">
        <w:t>une démarche</w:t>
      </w:r>
      <w:r w:rsidRPr="00B20DF6">
        <w:t xml:space="preserve"> soutenu</w:t>
      </w:r>
      <w:r w:rsidR="00A4333A" w:rsidRPr="00B20DF6">
        <w:t>e</w:t>
      </w:r>
      <w:r w:rsidRPr="00B20DF6">
        <w:t xml:space="preserve"> et déterminé</w:t>
      </w:r>
      <w:r w:rsidR="00A4333A" w:rsidRPr="00B20DF6">
        <w:t>e</w:t>
      </w:r>
      <w:r w:rsidRPr="00B20DF6">
        <w:t>, compte tenu de la diversité de tou</w:t>
      </w:r>
      <w:r w:rsidR="00C525AD" w:rsidRPr="00B20DF6">
        <w:t>te</w:t>
      </w:r>
      <w:r w:rsidRPr="00B20DF6">
        <w:t xml:space="preserve">s les </w:t>
      </w:r>
      <w:r w:rsidR="00C525AD" w:rsidRPr="00B20DF6">
        <w:t>catégories de population</w:t>
      </w:r>
      <w:r w:rsidRPr="00B20DF6">
        <w:t>.</w:t>
      </w:r>
    </w:p>
    <w:p w14:paraId="6755630A" w14:textId="2E01845C" w:rsidR="004C45B5" w:rsidRPr="00B20DF6" w:rsidRDefault="004C45B5" w:rsidP="00945ED9">
      <w:pPr>
        <w:tabs>
          <w:tab w:val="clear" w:pos="567"/>
          <w:tab w:val="clear" w:pos="1134"/>
          <w:tab w:val="clear" w:pos="1701"/>
          <w:tab w:val="clear" w:pos="2268"/>
          <w:tab w:val="clear" w:pos="2835"/>
        </w:tabs>
        <w:overflowPunct/>
        <w:autoSpaceDE/>
        <w:autoSpaceDN/>
        <w:adjustRightInd/>
        <w:snapToGrid w:val="0"/>
        <w:textAlignment w:val="auto"/>
      </w:pPr>
      <w:r w:rsidRPr="00B20DF6">
        <w:t>2.17</w:t>
      </w:r>
      <w:r w:rsidRPr="00B20DF6">
        <w:tab/>
      </w:r>
      <w:r w:rsidR="00B93417" w:rsidRPr="00B20DF6">
        <w:t xml:space="preserve">Le </w:t>
      </w:r>
      <w:r w:rsidR="00B93417" w:rsidRPr="00B20DF6">
        <w:rPr>
          <w:b/>
          <w:bCs/>
        </w:rPr>
        <w:t>délégué de l'Arabie saoudite</w:t>
      </w:r>
      <w:r w:rsidR="00945ED9" w:rsidRPr="00B20DF6">
        <w:t xml:space="preserve"> </w:t>
      </w:r>
      <w:r w:rsidR="00A4333A" w:rsidRPr="00B20DF6">
        <w:t xml:space="preserve">indique </w:t>
      </w:r>
      <w:r w:rsidR="00B93417" w:rsidRPr="00B20DF6">
        <w:t>qu'il ne semble pas y avoir de désaccord entre les délégations quant à l'importance de l'autonomisation des jeunes et des femmes. En Arabie</w:t>
      </w:r>
      <w:r w:rsidR="007067E3" w:rsidRPr="00B20DF6">
        <w:t> </w:t>
      </w:r>
      <w:r w:rsidR="00B93417" w:rsidRPr="00B20DF6">
        <w:t xml:space="preserve">saoudite, les jeunes </w:t>
      </w:r>
      <w:r w:rsidR="00D55FC5" w:rsidRPr="00B20DF6">
        <w:t>comptent pour</w:t>
      </w:r>
      <w:r w:rsidR="00B93417" w:rsidRPr="00B20DF6">
        <w:t xml:space="preserve"> 40% de la population et </w:t>
      </w:r>
      <w:r w:rsidR="00A4333A" w:rsidRPr="00B20DF6">
        <w:t>représentent la</w:t>
      </w:r>
      <w:r w:rsidR="00945ED9" w:rsidRPr="00B20DF6">
        <w:t xml:space="preserve"> </w:t>
      </w:r>
      <w:r w:rsidR="00D55FC5" w:rsidRPr="00B20DF6">
        <w:t>majorité</w:t>
      </w:r>
      <w:r w:rsidR="00B93417" w:rsidRPr="00B20DF6">
        <w:t xml:space="preserve"> </w:t>
      </w:r>
      <w:r w:rsidR="00A4333A" w:rsidRPr="00B20DF6">
        <w:t xml:space="preserve">de </w:t>
      </w:r>
      <w:r w:rsidR="008821D1" w:rsidRPr="00B20DF6">
        <w:t>l</w:t>
      </w:r>
      <w:r w:rsidR="00B93417" w:rsidRPr="00B20DF6">
        <w:t xml:space="preserve">a délégation </w:t>
      </w:r>
      <w:r w:rsidR="008821D1" w:rsidRPr="00B20DF6">
        <w:t xml:space="preserve">du pays </w:t>
      </w:r>
      <w:r w:rsidR="00B93417" w:rsidRPr="00B20DF6">
        <w:t>à la Conférence de plénipotentiaires. Les femmes représentent environ 30% de la main-d'œuvre du secteur des TIC en Arabie saoudite, soit un pourcentage plus élevé que celui de l'Union européenne ou</w:t>
      </w:r>
      <w:r w:rsidR="00945ED9" w:rsidRPr="00B20DF6">
        <w:t xml:space="preserve"> </w:t>
      </w:r>
      <w:r w:rsidR="00A4333A" w:rsidRPr="00B20DF6">
        <w:t>du</w:t>
      </w:r>
      <w:r w:rsidR="00945ED9" w:rsidRPr="00B20DF6">
        <w:t xml:space="preserve"> </w:t>
      </w:r>
      <w:r w:rsidR="00A4333A" w:rsidRPr="00B20DF6">
        <w:t>Groupe des Vingt</w:t>
      </w:r>
      <w:r w:rsidR="00945ED9" w:rsidRPr="00B20DF6">
        <w:t xml:space="preserve"> </w:t>
      </w:r>
      <w:r w:rsidR="00B93417" w:rsidRPr="00B20DF6">
        <w:t xml:space="preserve">(G20). Il ne fait aucun doute que le Groupe des </w:t>
      </w:r>
      <w:r w:rsidR="008821D1" w:rsidRPr="00B20DF6">
        <w:t>É</w:t>
      </w:r>
      <w:r w:rsidR="00B93417" w:rsidRPr="00B20DF6">
        <w:t>tats arabes et tous ceux qui sont présents à la</w:t>
      </w:r>
      <w:r w:rsidR="00945ED9" w:rsidRPr="00B20DF6">
        <w:t xml:space="preserve"> </w:t>
      </w:r>
      <w:r w:rsidR="00A4333A" w:rsidRPr="00B20DF6">
        <w:t xml:space="preserve">conférence </w:t>
      </w:r>
      <w:r w:rsidR="00B93417" w:rsidRPr="00B20DF6">
        <w:t>s'emploieront à faire progresser la réalisation des Objectifs de développement durable, notamment en autonomisant les jeunes et les femmes, en lutt</w:t>
      </w:r>
      <w:r w:rsidR="003B69A4" w:rsidRPr="00B20DF6">
        <w:t>ant</w:t>
      </w:r>
      <w:r w:rsidR="00B93417" w:rsidRPr="00B20DF6">
        <w:t xml:space="preserve"> contre la pauvreté et en garantissant une vie décente pour tous.</w:t>
      </w:r>
    </w:p>
    <w:p w14:paraId="51C556EA" w14:textId="2FE5C63A" w:rsidR="004C45B5" w:rsidRPr="00B20DF6" w:rsidRDefault="004C45B5" w:rsidP="00945ED9">
      <w:r w:rsidRPr="00B20DF6">
        <w:t>2.18</w:t>
      </w:r>
      <w:r w:rsidRPr="00B20DF6">
        <w:tab/>
      </w:r>
      <w:r w:rsidR="00E60EBC" w:rsidRPr="00B20DF6">
        <w:t xml:space="preserve">Le </w:t>
      </w:r>
      <w:r w:rsidR="00E60EBC" w:rsidRPr="00B20DF6">
        <w:rPr>
          <w:b/>
          <w:bCs/>
        </w:rPr>
        <w:t>délégu</w:t>
      </w:r>
      <w:r w:rsidR="00C87E2C" w:rsidRPr="00B20DF6">
        <w:rPr>
          <w:b/>
          <w:bCs/>
        </w:rPr>
        <w:t>é</w:t>
      </w:r>
      <w:r w:rsidR="00E60EBC" w:rsidRPr="00B20DF6">
        <w:rPr>
          <w:b/>
          <w:bCs/>
        </w:rPr>
        <w:t xml:space="preserve"> de la </w:t>
      </w:r>
      <w:r w:rsidR="00CB741D" w:rsidRPr="00B20DF6">
        <w:rPr>
          <w:b/>
          <w:bCs/>
        </w:rPr>
        <w:t>Papouasie-Nouvelle-Guinée</w:t>
      </w:r>
      <w:r w:rsidR="00945ED9" w:rsidRPr="00B20DF6">
        <w:t xml:space="preserve"> </w:t>
      </w:r>
      <w:r w:rsidR="00A4333A" w:rsidRPr="00B20DF6">
        <w:t xml:space="preserve">prononce la déclaration </w:t>
      </w:r>
      <w:proofErr w:type="gramStart"/>
      <w:r w:rsidR="00A4333A" w:rsidRPr="00B20DF6">
        <w:t>suivante</w:t>
      </w:r>
      <w:r w:rsidR="00CB741D" w:rsidRPr="00B20DF6">
        <w:t>:</w:t>
      </w:r>
      <w:proofErr w:type="gramEnd"/>
    </w:p>
    <w:p w14:paraId="64AA08BE" w14:textId="39E35995" w:rsidR="00C97928" w:rsidRPr="00B20DF6" w:rsidRDefault="00C97928" w:rsidP="00945ED9">
      <w:pPr>
        <w:tabs>
          <w:tab w:val="clear" w:pos="567"/>
          <w:tab w:val="clear" w:pos="1134"/>
          <w:tab w:val="clear" w:pos="1701"/>
          <w:tab w:val="clear" w:pos="2268"/>
          <w:tab w:val="clear" w:pos="2835"/>
        </w:tabs>
        <w:overflowPunct/>
        <w:autoSpaceDE/>
        <w:autoSpaceDN/>
        <w:adjustRightInd/>
        <w:snapToGrid w:val="0"/>
        <w:textAlignment w:val="auto"/>
        <w:rPr>
          <w:rFonts w:asciiTheme="minorHAnsi" w:eastAsiaTheme="minorHAnsi" w:hAnsiTheme="minorHAnsi" w:cstheme="minorBidi"/>
          <w:szCs w:val="24"/>
        </w:rPr>
      </w:pPr>
      <w:r w:rsidRPr="00B20DF6">
        <w:t xml:space="preserve">"La Papouasie-Nouvelle-Guinée s'associe aux autres États Membres pour exprimer sa déception </w:t>
      </w:r>
      <w:r w:rsidR="00866201" w:rsidRPr="00B20DF6">
        <w:t>en ce qui concerne</w:t>
      </w:r>
      <w:r w:rsidRPr="00B20DF6">
        <w:t xml:space="preserve"> l'exclusion des femmes, des jeunes filles, des personnes handicapées, des personnes âgées, des peuples autochtones et des autres groupes vulnérables ainsi qu</w:t>
      </w:r>
      <w:r w:rsidR="00C819F8" w:rsidRPr="00B20DF6">
        <w:t>e des</w:t>
      </w:r>
      <w:r w:rsidRPr="00B20DF6">
        <w:t xml:space="preserve"> personnes ayant des besoins particuliers dans la Résolution 139 sur la réduction de la fracture numérique. Nous</w:t>
      </w:r>
      <w:r w:rsidR="00A4333A" w:rsidRPr="00B20DF6">
        <w:t xml:space="preserve"> étions favorables</w:t>
      </w:r>
      <w:r w:rsidR="00945ED9" w:rsidRPr="00B20DF6">
        <w:t xml:space="preserve"> </w:t>
      </w:r>
      <w:r w:rsidRPr="00B20DF6">
        <w:t xml:space="preserve">au texte proposé de façon à inclure </w:t>
      </w:r>
      <w:r w:rsidR="00A4333A" w:rsidRPr="00B20DF6">
        <w:t xml:space="preserve">expressément </w:t>
      </w:r>
      <w:r w:rsidRPr="00B20DF6">
        <w:t>les femmes, les jeunes filles, les personnes handicapées, les personnes âgées, les peuples autochtones, les autres groupes vulnérables et les personnes ayant des besoins particuliers</w:t>
      </w:r>
      <w:r w:rsidR="00444C98" w:rsidRPr="00B20DF6">
        <w:t>,</w:t>
      </w:r>
      <w:r w:rsidRPr="00B20DF6">
        <w:t xml:space="preserve"> qui reflète les politiques nationales des pays qui </w:t>
      </w:r>
      <w:r w:rsidR="00A4333A" w:rsidRPr="00B20DF6">
        <w:t>s</w:t>
      </w:r>
      <w:r w:rsidR="00945ED9" w:rsidRPr="00B20DF6">
        <w:t>'</w:t>
      </w:r>
      <w:r w:rsidR="00A4333A" w:rsidRPr="00B20DF6">
        <w:t>efforcent de</w:t>
      </w:r>
      <w:r w:rsidRPr="00B20DF6">
        <w:t xml:space="preserve"> réduire la fracture numérique et les disparités </w:t>
      </w:r>
      <w:r w:rsidR="00A4333A" w:rsidRPr="00B20DF6">
        <w:t xml:space="preserve">grandissantes </w:t>
      </w:r>
      <w:r w:rsidRPr="00B20DF6">
        <w:t>en matière d'inclusion numérique</w:t>
      </w:r>
      <w:r w:rsidR="00945ED9" w:rsidRPr="00B20DF6">
        <w:t xml:space="preserve"> </w:t>
      </w:r>
      <w:r w:rsidRPr="00B20DF6">
        <w:t>au sein de ces groupes de population. Il est vrai</w:t>
      </w:r>
      <w:r w:rsidR="00CC106D" w:rsidRPr="00B20DF6">
        <w:t>ment</w:t>
      </w:r>
      <w:r w:rsidRPr="00B20DF6">
        <w:t xml:space="preserve"> </w:t>
      </w:r>
      <w:r w:rsidR="0061592B" w:rsidRPr="00B20DF6">
        <w:t xml:space="preserve">regrettable </w:t>
      </w:r>
      <w:r w:rsidRPr="00B20DF6">
        <w:t>que cet aspect de la réduction de la fracture numérique</w:t>
      </w:r>
      <w:r w:rsidR="00945ED9" w:rsidRPr="00B20DF6">
        <w:t xml:space="preserve"> </w:t>
      </w:r>
      <w:r w:rsidR="00A4333A" w:rsidRPr="00B20DF6">
        <w:t>n</w:t>
      </w:r>
      <w:r w:rsidR="00945ED9" w:rsidRPr="00B20DF6">
        <w:t>'</w:t>
      </w:r>
      <w:r w:rsidR="00A4333A" w:rsidRPr="00B20DF6">
        <w:t>ait</w:t>
      </w:r>
      <w:r w:rsidR="0061592B" w:rsidRPr="00B20DF6">
        <w:t xml:space="preserve"> </w:t>
      </w:r>
      <w:r w:rsidRPr="00B20DF6">
        <w:t xml:space="preserve">pas </w:t>
      </w:r>
      <w:r w:rsidR="00A4333A" w:rsidRPr="00B20DF6">
        <w:t xml:space="preserve">pu </w:t>
      </w:r>
      <w:r w:rsidRPr="00B20DF6">
        <w:t xml:space="preserve">être inclus dans la Résolution 139 </w:t>
      </w:r>
      <w:r w:rsidR="0061592B" w:rsidRPr="00B20DF6">
        <w:t xml:space="preserve">ni être </w:t>
      </w:r>
      <w:r w:rsidRPr="00B20DF6">
        <w:t>reconnu lors de la conférence</w:t>
      </w:r>
      <w:r w:rsidR="00A4333A" w:rsidRPr="00B20DF6">
        <w:t>, qui est</w:t>
      </w:r>
      <w:r w:rsidR="00945ED9" w:rsidRPr="00B20DF6">
        <w:t xml:space="preserve"> </w:t>
      </w:r>
      <w:r w:rsidR="00DE7AA1" w:rsidRPr="00B20DF6">
        <w:t xml:space="preserve">l'organe suprême de </w:t>
      </w:r>
      <w:r w:rsidRPr="00B20DF6">
        <w:t>l'UIT. Cela va à l'encontre d</w:t>
      </w:r>
      <w:r w:rsidR="000A3D1B" w:rsidRPr="00B20DF6">
        <w:t>e l'objectif plus global</w:t>
      </w:r>
      <w:r w:rsidRPr="00B20DF6">
        <w:t xml:space="preserve"> </w:t>
      </w:r>
      <w:r w:rsidR="0003036E" w:rsidRPr="00B20DF6">
        <w:t>de</w:t>
      </w:r>
      <w:r w:rsidRPr="00B20DF6">
        <w:t xml:space="preserve"> l'UIT </w:t>
      </w:r>
      <w:r w:rsidR="0003036E" w:rsidRPr="00B20DF6">
        <w:t>visant à</w:t>
      </w:r>
      <w:r w:rsidR="00945ED9" w:rsidRPr="00B20DF6">
        <w:t xml:space="preserve"> </w:t>
      </w:r>
      <w:r w:rsidR="00716B8D" w:rsidRPr="00B20DF6">
        <w:t>"</w:t>
      </w:r>
      <w:r w:rsidR="0003036E" w:rsidRPr="00B20DF6">
        <w:t xml:space="preserve">ne laisser personne </w:t>
      </w:r>
      <w:r w:rsidR="00716B8D" w:rsidRPr="00B20DF6">
        <w:t>de côté"</w:t>
      </w:r>
      <w:r w:rsidRPr="00B20DF6">
        <w:t xml:space="preserve">. La Papouasie-Nouvelle-Guinée continuera de </w:t>
      </w:r>
      <w:r w:rsidR="000106C9" w:rsidRPr="00B20DF6">
        <w:t xml:space="preserve">collaborer étroitement </w:t>
      </w:r>
      <w:r w:rsidRPr="00B20DF6">
        <w:t xml:space="preserve">avec les </w:t>
      </w:r>
      <w:r w:rsidR="00325DD7" w:rsidRPr="00B20DF6">
        <w:t>É</w:t>
      </w:r>
      <w:r w:rsidRPr="00B20DF6">
        <w:t>tats Membres qui reconnaissent</w:t>
      </w:r>
      <w:r w:rsidR="00945ED9" w:rsidRPr="00B20DF6">
        <w:t xml:space="preserve"> </w:t>
      </w:r>
      <w:r w:rsidRPr="00B20DF6">
        <w:t>la fracture numérique</w:t>
      </w:r>
      <w:r w:rsidR="00945ED9" w:rsidRPr="00B20DF6">
        <w:t xml:space="preserve"> </w:t>
      </w:r>
      <w:r w:rsidR="00A4333A" w:rsidRPr="00B20DF6">
        <w:t>grandissante</w:t>
      </w:r>
      <w:r w:rsidR="00945ED9" w:rsidRPr="00B20DF6">
        <w:t xml:space="preserve"> </w:t>
      </w:r>
      <w:r w:rsidRPr="00B20DF6">
        <w:t xml:space="preserve">pour ces groupes de population et </w:t>
      </w:r>
      <w:r w:rsidR="007C23F6" w:rsidRPr="00B20DF6">
        <w:t xml:space="preserve">qui </w:t>
      </w:r>
      <w:r w:rsidR="00A4333A" w:rsidRPr="00B20DF6">
        <w:t>souhaitent</w:t>
      </w:r>
      <w:r w:rsidRPr="00B20DF6">
        <w:t xml:space="preserve"> que l'UIT reconnaisse dans un avenir proche les travaux </w:t>
      </w:r>
      <w:r w:rsidR="00680D71" w:rsidRPr="00B20DF6">
        <w:t xml:space="preserve">que nous menons </w:t>
      </w:r>
      <w:r w:rsidRPr="00B20DF6">
        <w:t>sur cette question."</w:t>
      </w:r>
    </w:p>
    <w:p w14:paraId="2918A37A" w14:textId="315FC5FA" w:rsidR="004C45B5" w:rsidRPr="00B20DF6" w:rsidRDefault="004C45B5" w:rsidP="00945ED9">
      <w:pPr>
        <w:tabs>
          <w:tab w:val="clear" w:pos="567"/>
          <w:tab w:val="clear" w:pos="1134"/>
          <w:tab w:val="clear" w:pos="1701"/>
          <w:tab w:val="clear" w:pos="2268"/>
          <w:tab w:val="clear" w:pos="2835"/>
        </w:tabs>
        <w:overflowPunct/>
        <w:autoSpaceDE/>
        <w:autoSpaceDN/>
        <w:adjustRightInd/>
        <w:snapToGrid w:val="0"/>
        <w:textAlignment w:val="auto"/>
      </w:pPr>
      <w:r w:rsidRPr="00B20DF6">
        <w:t>2.19</w:t>
      </w:r>
      <w:r w:rsidRPr="00B20DF6">
        <w:tab/>
      </w:r>
      <w:r w:rsidR="00786AF5" w:rsidRPr="00B20DF6">
        <w:t xml:space="preserve">Le </w:t>
      </w:r>
      <w:r w:rsidR="00786AF5" w:rsidRPr="00B20DF6">
        <w:rPr>
          <w:b/>
          <w:bCs/>
        </w:rPr>
        <w:t>délégué de la Thaïlande</w:t>
      </w:r>
      <w:r w:rsidR="00945ED9" w:rsidRPr="00B20DF6">
        <w:rPr>
          <w:b/>
          <w:bCs/>
        </w:rPr>
        <w:t xml:space="preserve"> </w:t>
      </w:r>
      <w:r w:rsidR="00786AF5" w:rsidRPr="00B20DF6">
        <w:t>exprim</w:t>
      </w:r>
      <w:r w:rsidR="00A4333A" w:rsidRPr="00B20DF6">
        <w:t>e</w:t>
      </w:r>
      <w:r w:rsidR="00945ED9" w:rsidRPr="00B20DF6">
        <w:t xml:space="preserve"> </w:t>
      </w:r>
      <w:r w:rsidR="00786AF5" w:rsidRPr="00B20DF6">
        <w:t>le soutien de son pays</w:t>
      </w:r>
      <w:r w:rsidR="00945ED9" w:rsidRPr="00B20DF6">
        <w:t xml:space="preserve"> </w:t>
      </w:r>
      <w:r w:rsidR="00FF26E0" w:rsidRPr="00B20DF6">
        <w:t xml:space="preserve">en faveur de </w:t>
      </w:r>
      <w:r w:rsidR="00786AF5" w:rsidRPr="00B20DF6">
        <w:t>la déclaration du Danemark</w:t>
      </w:r>
      <w:r w:rsidR="00FF26E0" w:rsidRPr="00B20DF6">
        <w:t xml:space="preserve"> et</w:t>
      </w:r>
      <w:r w:rsidR="00945ED9" w:rsidRPr="00B20DF6">
        <w:t xml:space="preserve"> </w:t>
      </w:r>
      <w:r w:rsidR="00786AF5" w:rsidRPr="00B20DF6">
        <w:t xml:space="preserve">réaffirme l'importance des questions de genre, qui s'étendent à d'autres groupes vulnérables, comme les personnes handicapées. </w:t>
      </w:r>
      <w:r w:rsidR="0047341F" w:rsidRPr="00B20DF6">
        <w:t>L</w:t>
      </w:r>
      <w:r w:rsidR="00786AF5" w:rsidRPr="00B20DF6">
        <w:t xml:space="preserve">a Thaïlande respecte différents avis et accepte la décision de consensus, </w:t>
      </w:r>
      <w:r w:rsidR="00003927" w:rsidRPr="00B20DF6">
        <w:t xml:space="preserve">mais </w:t>
      </w:r>
      <w:r w:rsidR="00786AF5" w:rsidRPr="00B20DF6">
        <w:t>il est à espérer que les conférences futures aboutiront à de</w:t>
      </w:r>
      <w:r w:rsidR="00003927" w:rsidRPr="00B20DF6">
        <w:t>s</w:t>
      </w:r>
      <w:r w:rsidR="00786AF5" w:rsidRPr="00B20DF6">
        <w:t xml:space="preserve"> résultats</w:t>
      </w:r>
      <w:r w:rsidR="00003927" w:rsidRPr="00B20DF6">
        <w:t xml:space="preserve"> plus concrets</w:t>
      </w:r>
      <w:r w:rsidR="00786AF5" w:rsidRPr="00B20DF6">
        <w:t>. Si les questions liées à la réduction de la fracture numérique et à l'édification d'une société de l'information inclusive ne sont pas traitées lors de ces</w:t>
      </w:r>
      <w:r w:rsidR="00945ED9" w:rsidRPr="00B20DF6">
        <w:t xml:space="preserve"> </w:t>
      </w:r>
      <w:r w:rsidR="00FF26E0" w:rsidRPr="00B20DF6">
        <w:t>manifestations</w:t>
      </w:r>
      <w:r w:rsidR="00945ED9" w:rsidRPr="00B20DF6">
        <w:t xml:space="preserve"> </w:t>
      </w:r>
      <w:r w:rsidR="00786AF5" w:rsidRPr="00B20DF6">
        <w:t xml:space="preserve">par les représentants présents, l'orateur se demande quand elles </w:t>
      </w:r>
      <w:r w:rsidR="008B1862" w:rsidRPr="00B20DF6">
        <w:t xml:space="preserve">le </w:t>
      </w:r>
      <w:r w:rsidR="00786AF5" w:rsidRPr="00B20DF6">
        <w:t>seront</w:t>
      </w:r>
      <w:r w:rsidR="008B1862" w:rsidRPr="00B20DF6">
        <w:t>,</w:t>
      </w:r>
      <w:r w:rsidR="00786AF5" w:rsidRPr="00B20DF6">
        <w:t xml:space="preserve"> et par qui.</w:t>
      </w:r>
    </w:p>
    <w:p w14:paraId="31444767" w14:textId="2257C0A2" w:rsidR="004C45B5" w:rsidRPr="00B20DF6" w:rsidRDefault="004C45B5" w:rsidP="00945ED9">
      <w:r w:rsidRPr="00B20DF6">
        <w:t>2.20</w:t>
      </w:r>
      <w:r w:rsidRPr="00B20DF6">
        <w:tab/>
      </w:r>
      <w:r w:rsidR="007C262A" w:rsidRPr="00B20DF6">
        <w:t xml:space="preserve">Selon le </w:t>
      </w:r>
      <w:r w:rsidR="007C262A" w:rsidRPr="00B20DF6">
        <w:rPr>
          <w:b/>
          <w:bCs/>
        </w:rPr>
        <w:t>délégué de la Chine</w:t>
      </w:r>
      <w:r w:rsidR="007C262A" w:rsidRPr="00B20DF6">
        <w:t xml:space="preserve">, l'UIT a mené de nombreuses activités efficaces pour réduire la fracture numérique. Un consensus de haut niveau a été trouvé sur d'autres résolutions pertinentes essentielles, de sorte que, bien qu'aucun consensus n'ait été trouvé sur certains éléments de la Résolution 139, cela ne signifie pas que les </w:t>
      </w:r>
      <w:r w:rsidR="00325DD7" w:rsidRPr="00B20DF6">
        <w:t>É</w:t>
      </w:r>
      <w:r w:rsidR="007C262A" w:rsidRPr="00B20DF6">
        <w:t>tats Membres de l'UIT ont des avis différents sur la réduction de la fracture numérique. La Chine a appelé tous les pays à unir leurs efforts pour promouvoir la connectivité pour tous.</w:t>
      </w:r>
    </w:p>
    <w:p w14:paraId="35FF0736" w14:textId="77777777" w:rsidR="00362E00" w:rsidRDefault="00362E00" w:rsidP="00945ED9">
      <w:r>
        <w:br w:type="page"/>
      </w:r>
    </w:p>
    <w:p w14:paraId="23740A38" w14:textId="5446AA45" w:rsidR="004C45B5" w:rsidRPr="00B20DF6" w:rsidRDefault="004C45B5" w:rsidP="00945ED9">
      <w:r w:rsidRPr="00B20DF6">
        <w:lastRenderedPageBreak/>
        <w:t>2.21</w:t>
      </w:r>
      <w:r w:rsidRPr="00B20DF6">
        <w:tab/>
      </w:r>
      <w:r w:rsidR="000B5AC0" w:rsidRPr="00B20DF6">
        <w:t xml:space="preserve">La </w:t>
      </w:r>
      <w:r w:rsidR="000B5AC0" w:rsidRPr="00B20DF6">
        <w:rPr>
          <w:b/>
          <w:bCs/>
        </w:rPr>
        <w:t>déléguée de la Fédération de Russie</w:t>
      </w:r>
      <w:r w:rsidR="000B5AC0" w:rsidRPr="00B20DF6">
        <w:t xml:space="preserve"> déclare que son pays est favorable à la réduction de la fracture numérique pour </w:t>
      </w:r>
      <w:r w:rsidR="000974EA" w:rsidRPr="00B20DF6">
        <w:t xml:space="preserve">la totalité des </w:t>
      </w:r>
      <w:r w:rsidR="000B5AC0" w:rsidRPr="00B20DF6">
        <w:t xml:space="preserve">hommes et </w:t>
      </w:r>
      <w:r w:rsidR="000974EA" w:rsidRPr="00B20DF6">
        <w:t xml:space="preserve">des </w:t>
      </w:r>
      <w:r w:rsidR="000B5AC0" w:rsidRPr="00B20DF6">
        <w:t xml:space="preserve">femmes, afin d'améliorer l'accès aux services de télécommunication/TIC et d'améliorer et de développer les </w:t>
      </w:r>
      <w:r w:rsidR="00137B82" w:rsidRPr="00B20DF6">
        <w:t>connaissances</w:t>
      </w:r>
      <w:r w:rsidR="000B5AC0" w:rsidRPr="00B20DF6">
        <w:t xml:space="preserve"> et les compétences numériques des experts. La Fédération de Russie, où l'égalité </w:t>
      </w:r>
      <w:r w:rsidR="00931D5F" w:rsidRPr="00B20DF6">
        <w:t>hommes-femmes</w:t>
      </w:r>
      <w:r w:rsidR="000B5AC0" w:rsidRPr="00B20DF6">
        <w:t xml:space="preserve"> est inscrite dans la Constitution depuis plus d'un siècle, considère cette égalité comme un facteur essentiel du développement pour l'UIT. Il ne faut pas oublier que la PP-18 a donné des instructions précises pour éviter les </w:t>
      </w:r>
      <w:r w:rsidR="00F03138" w:rsidRPr="00B20DF6">
        <w:t>chevauchements entre</w:t>
      </w:r>
      <w:r w:rsidR="000B5AC0" w:rsidRPr="00B20DF6">
        <w:t xml:space="preserve"> les </w:t>
      </w:r>
      <w:r w:rsidR="00033D04" w:rsidRPr="00B20DF6">
        <w:t>r</w:t>
      </w:r>
      <w:r w:rsidR="000B5AC0" w:rsidRPr="00B20DF6">
        <w:t xml:space="preserve">ésolutions de la Conférence de plénipotentiaires et des Secteurs. La délégation de la Fédération de Russie, dans laquelle les femmes, les jeunes femmes, les jeunes, les personnes âgées et les différents groupes ethniques du pays </w:t>
      </w:r>
      <w:r w:rsidR="008205C2" w:rsidRPr="00B20DF6">
        <w:t xml:space="preserve">sont </w:t>
      </w:r>
      <w:r w:rsidR="000B5AC0" w:rsidRPr="00B20DF6">
        <w:t>largement représentés, se félicite des efforts déployés par l'Union en ce qui concerne les Résolutions 70 (Rév. Bucarest, 2022), 198 (Rév. Bucarest, 2022), 184 (Rév. Bucarest, 2022), 175</w:t>
      </w:r>
      <w:r w:rsidR="007067E3" w:rsidRPr="00B20DF6">
        <w:t> </w:t>
      </w:r>
      <w:r w:rsidR="000B5AC0" w:rsidRPr="00B20DF6">
        <w:t>(Rév. Bucarest, 2022) et 30 (Rév. Bucarest, 2022)</w:t>
      </w:r>
      <w:r w:rsidRPr="00B20DF6">
        <w:t>.</w:t>
      </w:r>
    </w:p>
    <w:p w14:paraId="6A4D5E0D" w14:textId="6198F55B" w:rsidR="0038116B" w:rsidRPr="00B20DF6" w:rsidRDefault="004C45B5" w:rsidP="00945ED9">
      <w:pPr>
        <w:tabs>
          <w:tab w:val="clear" w:pos="567"/>
          <w:tab w:val="clear" w:pos="1134"/>
          <w:tab w:val="clear" w:pos="1701"/>
          <w:tab w:val="clear" w:pos="2268"/>
          <w:tab w:val="clear" w:pos="2835"/>
        </w:tabs>
        <w:overflowPunct/>
        <w:autoSpaceDE/>
        <w:autoSpaceDN/>
        <w:adjustRightInd/>
        <w:snapToGrid w:val="0"/>
        <w:textAlignment w:val="auto"/>
        <w:rPr>
          <w:rFonts w:asciiTheme="minorHAnsi" w:eastAsiaTheme="minorHAnsi" w:hAnsiTheme="minorHAnsi" w:cstheme="minorBidi"/>
          <w:szCs w:val="24"/>
        </w:rPr>
      </w:pPr>
      <w:r w:rsidRPr="00B20DF6">
        <w:t>2.22</w:t>
      </w:r>
      <w:r w:rsidRPr="00B20DF6">
        <w:tab/>
      </w:r>
      <w:r w:rsidR="0038116B" w:rsidRPr="00B20DF6">
        <w:t xml:space="preserve">La </w:t>
      </w:r>
      <w:r w:rsidR="0038116B" w:rsidRPr="00B20DF6">
        <w:rPr>
          <w:b/>
          <w:bCs/>
        </w:rPr>
        <w:t>déléguée de l'Algérie</w:t>
      </w:r>
      <w:r w:rsidR="0038116B" w:rsidRPr="00B20DF6">
        <w:t xml:space="preserve"> </w:t>
      </w:r>
      <w:r w:rsidR="004A6CC2" w:rsidRPr="00B20DF6">
        <w:t>affirme</w:t>
      </w:r>
      <w:r w:rsidR="0038116B" w:rsidRPr="00B20DF6">
        <w:t xml:space="preserve"> que son pays </w:t>
      </w:r>
      <w:r w:rsidR="00D7029C" w:rsidRPr="00B20DF6">
        <w:t xml:space="preserve">souscrit aux </w:t>
      </w:r>
      <w:r w:rsidR="0038116B" w:rsidRPr="00B20DF6">
        <w:t xml:space="preserve">commentaires formulés par d'autres délégations en faveur de l'égalité pour toutes les catégories de personnes de la société sans aucune distinction. Pour l'Algérie, tous les individus ont le même statut, </w:t>
      </w:r>
      <w:r w:rsidR="00452FB9" w:rsidRPr="00B20DF6">
        <w:t>quels que soient leur âge ou leur sexe</w:t>
      </w:r>
      <w:r w:rsidR="0038116B" w:rsidRPr="00B20DF6">
        <w:t xml:space="preserve">. Par conséquent, </w:t>
      </w:r>
      <w:r w:rsidR="002748C5" w:rsidRPr="00B20DF6">
        <w:t>le pays</w:t>
      </w:r>
      <w:r w:rsidR="0038116B" w:rsidRPr="00B20DF6">
        <w:t xml:space="preserve"> a </w:t>
      </w:r>
      <w:r w:rsidR="002748C5" w:rsidRPr="00B20DF6">
        <w:t xml:space="preserve">cherché à </w:t>
      </w:r>
      <w:r w:rsidR="00CD1DB2" w:rsidRPr="00B20DF6">
        <w:t xml:space="preserve">parvenir à </w:t>
      </w:r>
      <w:r w:rsidR="00214A8D" w:rsidRPr="00B20DF6">
        <w:t>l</w:t>
      </w:r>
      <w:r w:rsidR="0038116B" w:rsidRPr="00B20DF6">
        <w:t xml:space="preserve">'inclusion numérique, </w:t>
      </w:r>
      <w:r w:rsidR="00E11E88" w:rsidRPr="00B20DF6">
        <w:t xml:space="preserve">au sens global et complet, </w:t>
      </w:r>
      <w:r w:rsidR="0038116B" w:rsidRPr="00B20DF6">
        <w:t xml:space="preserve">sans distinction, </w:t>
      </w:r>
      <w:r w:rsidR="00C9543E" w:rsidRPr="00B20DF6">
        <w:t xml:space="preserve">car </w:t>
      </w:r>
      <w:r w:rsidR="00B82936" w:rsidRPr="00B20DF6">
        <w:t>identifi</w:t>
      </w:r>
      <w:r w:rsidR="00C458B9" w:rsidRPr="00B20DF6">
        <w:t>er</w:t>
      </w:r>
      <w:r w:rsidR="00B82936" w:rsidRPr="00B20DF6">
        <w:t xml:space="preserve"> certains </w:t>
      </w:r>
      <w:r w:rsidR="0038116B" w:rsidRPr="00B20DF6">
        <w:t>groupes</w:t>
      </w:r>
      <w:r w:rsidR="00945ED9" w:rsidRPr="00B20DF6">
        <w:t xml:space="preserve"> </w:t>
      </w:r>
      <w:r w:rsidR="00673263" w:rsidRPr="00B20DF6">
        <w:t>risque</w:t>
      </w:r>
      <w:r w:rsidR="00FF26E0" w:rsidRPr="00B20DF6">
        <w:t xml:space="preserve"> d</w:t>
      </w:r>
      <w:r w:rsidR="00945ED9" w:rsidRPr="00B20DF6">
        <w:t>'</w:t>
      </w:r>
      <w:r w:rsidR="00FF26E0" w:rsidRPr="00B20DF6">
        <w:t>avoi</w:t>
      </w:r>
      <w:r w:rsidR="00673263" w:rsidRPr="00B20DF6">
        <w:t>r</w:t>
      </w:r>
      <w:r w:rsidR="00465BCD" w:rsidRPr="00B20DF6">
        <w:t xml:space="preserve"> </w:t>
      </w:r>
      <w:r w:rsidR="00FF26E0" w:rsidRPr="00B20DF6">
        <w:t xml:space="preserve">pour conséquence </w:t>
      </w:r>
      <w:r w:rsidR="0038116B" w:rsidRPr="00B20DF6">
        <w:t>d'</w:t>
      </w:r>
      <w:r w:rsidR="00395D96" w:rsidRPr="00B20DF6">
        <w:t xml:space="preserve">en </w:t>
      </w:r>
      <w:r w:rsidR="007D7346" w:rsidRPr="00B20DF6">
        <w:t>omettre</w:t>
      </w:r>
      <w:r w:rsidR="00945ED9" w:rsidRPr="00B20DF6">
        <w:t xml:space="preserve"> </w:t>
      </w:r>
      <w:r w:rsidR="00FF26E0" w:rsidRPr="00B20DF6">
        <w:t>d</w:t>
      </w:r>
      <w:r w:rsidR="00945ED9" w:rsidRPr="00B20DF6">
        <w:t>'</w:t>
      </w:r>
      <w:r w:rsidR="0038116B" w:rsidRPr="00B20DF6">
        <w:t>autres.</w:t>
      </w:r>
    </w:p>
    <w:p w14:paraId="0D4FC159" w14:textId="00B96725" w:rsidR="004C45B5" w:rsidRPr="00B20DF6" w:rsidRDefault="004C45B5" w:rsidP="00945ED9">
      <w:bookmarkStart w:id="7" w:name="_Hlk118188112"/>
      <w:r w:rsidRPr="00B20DF6">
        <w:t>2.23</w:t>
      </w:r>
      <w:r w:rsidRPr="00B20DF6">
        <w:tab/>
      </w:r>
      <w:r w:rsidR="00325095" w:rsidRPr="00B20DF6">
        <w:t xml:space="preserve">Le </w:t>
      </w:r>
      <w:r w:rsidR="00325095" w:rsidRPr="00B20DF6">
        <w:rPr>
          <w:b/>
          <w:bCs/>
        </w:rPr>
        <w:t>Président</w:t>
      </w:r>
      <w:r w:rsidR="00325095" w:rsidRPr="00B20DF6">
        <w:t xml:space="preserve"> note que toutes les déclarations et interventions faites seront consignées dans le procès-verbal et souhaite apporter des éclaircissements sur les méthodes de travail de la </w:t>
      </w:r>
      <w:r w:rsidR="00673263" w:rsidRPr="00B20DF6">
        <w:t>C</w:t>
      </w:r>
      <w:r w:rsidR="00325095" w:rsidRPr="00B20DF6">
        <w:t xml:space="preserve">onférence. Tout représentant d'un </w:t>
      </w:r>
      <w:r w:rsidR="00B907D9" w:rsidRPr="00B20DF6">
        <w:t>É</w:t>
      </w:r>
      <w:r w:rsidR="00325095" w:rsidRPr="00B20DF6">
        <w:t xml:space="preserve">tat Membre est habilité à soulever des questions et à </w:t>
      </w:r>
      <w:r w:rsidR="00C06AF0" w:rsidRPr="00B20DF6">
        <w:t>soumettre</w:t>
      </w:r>
      <w:r w:rsidR="00325095" w:rsidRPr="00B20DF6">
        <w:t xml:space="preserve"> des propositions sur des sujets émanant du Groupe de travail de la plénière ou d'une </w:t>
      </w:r>
      <w:r w:rsidR="006930A7" w:rsidRPr="00B20DF6">
        <w:t>c</w:t>
      </w:r>
      <w:r w:rsidR="00325095" w:rsidRPr="00B20DF6">
        <w:t xml:space="preserve">ommission. Toutefois, il a été décidé </w:t>
      </w:r>
      <w:r w:rsidR="002C70DC" w:rsidRPr="00B20DF6">
        <w:t>en</w:t>
      </w:r>
      <w:r w:rsidR="00325095" w:rsidRPr="00B20DF6">
        <w:t xml:space="preserve"> plénière de ne pas rouvrir le débat sur les questions pour lesquelles un consensus a été trouvé. Cette politique ne constitue en aucun cas une règle, mais plutôt une approche convenue qui a jusqu'ici </w:t>
      </w:r>
      <w:r w:rsidR="00A308FD" w:rsidRPr="00B20DF6">
        <w:t xml:space="preserve">permis </w:t>
      </w:r>
      <w:r w:rsidR="00325095" w:rsidRPr="00B20DF6">
        <w:t>à la Conférence d</w:t>
      </w:r>
      <w:r w:rsidR="00CF548B" w:rsidRPr="00B20DF6">
        <w:t>'être couronnée de succès</w:t>
      </w:r>
      <w:r w:rsidR="00325095" w:rsidRPr="00B20DF6">
        <w:t>.</w:t>
      </w:r>
    </w:p>
    <w:bookmarkEnd w:id="7"/>
    <w:p w14:paraId="47B935B8" w14:textId="693BEACB" w:rsidR="004C45B5" w:rsidRPr="00B20DF6" w:rsidRDefault="004C45B5" w:rsidP="00945ED9">
      <w:pPr>
        <w:pStyle w:val="Heading1"/>
      </w:pPr>
      <w:r w:rsidRPr="00B20DF6">
        <w:t>3</w:t>
      </w:r>
      <w:r w:rsidRPr="00B20DF6">
        <w:tab/>
      </w:r>
      <w:r w:rsidR="006475BB" w:rsidRPr="00B20DF6">
        <w:t xml:space="preserve">Vingt-cinquième série de textes soumis par la Commission de rédaction en première lecture </w:t>
      </w:r>
      <w:r w:rsidRPr="00B20DF6">
        <w:t xml:space="preserve">(B25) (Document </w:t>
      </w:r>
      <w:hyperlink r:id="rId14" w:history="1">
        <w:r w:rsidRPr="00B20DF6">
          <w:rPr>
            <w:rStyle w:val="Hyperlink"/>
            <w:bCs/>
          </w:rPr>
          <w:t>195</w:t>
        </w:r>
      </w:hyperlink>
      <w:r w:rsidRPr="00B20DF6">
        <w:t>)</w:t>
      </w:r>
    </w:p>
    <w:p w14:paraId="274EAB23" w14:textId="7A35F7FF" w:rsidR="004C45B5" w:rsidRPr="00B20DF6" w:rsidRDefault="004C45B5" w:rsidP="00945ED9">
      <w:r w:rsidRPr="00B20DF6">
        <w:t>3.1</w:t>
      </w:r>
      <w:r w:rsidRPr="00B20DF6">
        <w:tab/>
      </w:r>
      <w:r w:rsidR="006475BB" w:rsidRPr="00B20DF6">
        <w:t xml:space="preserve">La </w:t>
      </w:r>
      <w:r w:rsidR="006475BB" w:rsidRPr="00B20DF6">
        <w:rPr>
          <w:b/>
        </w:rPr>
        <w:t xml:space="preserve">Présidente de la Commission de rédaction </w:t>
      </w:r>
      <w:r w:rsidR="006475BB" w:rsidRPr="00B20DF6">
        <w:t xml:space="preserve">attire l'attention sur le fait que le projet de Résolution </w:t>
      </w:r>
      <w:r w:rsidR="006444B6" w:rsidRPr="00B20DF6">
        <w:t xml:space="preserve">2 </w:t>
      </w:r>
      <w:r w:rsidR="006475BB" w:rsidRPr="00B20DF6">
        <w:t xml:space="preserve">(Rév. </w:t>
      </w:r>
      <w:r w:rsidR="00A63ED7" w:rsidRPr="00B20DF6">
        <w:t>Bucarest</w:t>
      </w:r>
      <w:r w:rsidR="006475BB" w:rsidRPr="00B20DF6">
        <w:t xml:space="preserve">, </w:t>
      </w:r>
      <w:r w:rsidR="00A63ED7" w:rsidRPr="00B20DF6">
        <w:t>2022</w:t>
      </w:r>
      <w:r w:rsidR="006475BB" w:rsidRPr="00B20DF6">
        <w:t xml:space="preserve">) </w:t>
      </w:r>
      <w:r w:rsidR="00A63ED7" w:rsidRPr="00B20DF6">
        <w:t xml:space="preserve">et le projet de Résolution 77 (Rév. Bucarest, 2022) </w:t>
      </w:r>
      <w:r w:rsidR="008F2F6B" w:rsidRPr="00B20DF6">
        <w:t>contiennent</w:t>
      </w:r>
      <w:r w:rsidR="006475BB" w:rsidRPr="00B20DF6">
        <w:t xml:space="preserve">, </w:t>
      </w:r>
      <w:r w:rsidR="008F2F6B" w:rsidRPr="00B20DF6">
        <w:t>respectivement</w:t>
      </w:r>
      <w:r w:rsidR="009E3C42" w:rsidRPr="00B20DF6">
        <w:t xml:space="preserve"> au</w:t>
      </w:r>
      <w:r w:rsidR="006475BB" w:rsidRPr="00B20DF6">
        <w:t xml:space="preserve"> point </w:t>
      </w:r>
      <w:r w:rsidR="00663B1B" w:rsidRPr="00B20DF6">
        <w:t xml:space="preserve">1 du </w:t>
      </w:r>
      <w:r w:rsidR="00663B1B" w:rsidRPr="00B20DF6">
        <w:rPr>
          <w:i/>
          <w:iCs/>
        </w:rPr>
        <w:t>décide</w:t>
      </w:r>
      <w:r w:rsidR="008F2F6B" w:rsidRPr="00B20DF6">
        <w:rPr>
          <w:i/>
          <w:iCs/>
        </w:rPr>
        <w:t xml:space="preserve"> </w:t>
      </w:r>
      <w:r w:rsidR="008F2F6B" w:rsidRPr="00B20DF6">
        <w:t xml:space="preserve">et </w:t>
      </w:r>
      <w:r w:rsidR="009E3C42" w:rsidRPr="00B20DF6">
        <w:t>au</w:t>
      </w:r>
      <w:r w:rsidR="008F2F6B" w:rsidRPr="00B20DF6">
        <w:t xml:space="preserve"> point 5.4 du </w:t>
      </w:r>
      <w:r w:rsidR="008F2F6B" w:rsidRPr="00B20DF6">
        <w:rPr>
          <w:i/>
          <w:iCs/>
        </w:rPr>
        <w:t>décide</w:t>
      </w:r>
      <w:r w:rsidR="006475BB" w:rsidRPr="00B20DF6">
        <w:t>,</w:t>
      </w:r>
      <w:r w:rsidR="00945ED9" w:rsidRPr="00B20DF6">
        <w:t xml:space="preserve"> </w:t>
      </w:r>
      <w:r w:rsidR="00FF26E0" w:rsidRPr="00B20DF6">
        <w:t>un</w:t>
      </w:r>
      <w:r w:rsidR="00945ED9" w:rsidRPr="00B20DF6">
        <w:t xml:space="preserve"> </w:t>
      </w:r>
      <w:r w:rsidR="006475BB" w:rsidRPr="00B20DF6">
        <w:t xml:space="preserve">texte figurant entre </w:t>
      </w:r>
      <w:proofErr w:type="gramStart"/>
      <w:r w:rsidR="006475BB" w:rsidRPr="00B20DF6">
        <w:t>crochets</w:t>
      </w:r>
      <w:r w:rsidR="009E3C42" w:rsidRPr="00B20DF6">
        <w:t>;</w:t>
      </w:r>
      <w:proofErr w:type="gramEnd"/>
      <w:r w:rsidR="009E3C42" w:rsidRPr="00B20DF6">
        <w:t xml:space="preserve"> le</w:t>
      </w:r>
      <w:r w:rsidR="00792AA8" w:rsidRPr="00B20DF6">
        <w:t xml:space="preserve"> texte en question est donc soumis à la plénière pour examen.</w:t>
      </w:r>
    </w:p>
    <w:p w14:paraId="100828A5" w14:textId="63B6B18F" w:rsidR="004C45B5" w:rsidRPr="00B20DF6" w:rsidRDefault="004C45B5" w:rsidP="00945ED9">
      <w:r w:rsidRPr="00B20DF6">
        <w:t>3.2</w:t>
      </w:r>
      <w:r w:rsidRPr="00B20DF6">
        <w:tab/>
      </w:r>
      <w:r w:rsidR="004F52B5" w:rsidRPr="00B20DF6">
        <w:t xml:space="preserve">Selon le </w:t>
      </w:r>
      <w:r w:rsidR="004F52B5" w:rsidRPr="00B20DF6">
        <w:rPr>
          <w:b/>
          <w:bCs/>
        </w:rPr>
        <w:t>Président</w:t>
      </w:r>
      <w:r w:rsidR="004F52B5" w:rsidRPr="00B20DF6">
        <w:t xml:space="preserve">, </w:t>
      </w:r>
      <w:r w:rsidR="008D0B4B" w:rsidRPr="00B20DF6">
        <w:t>d</w:t>
      </w:r>
      <w:r w:rsidR="004F52B5" w:rsidRPr="00B20DF6">
        <w:t xml:space="preserve">es consultations informelles ont abouti à un accord selon lequel le texte entre crochets sera supprimé des deux projets de résolution, étant entendu que le procès-verbal de la plénière comprendra l'instruction </w:t>
      </w:r>
      <w:proofErr w:type="gramStart"/>
      <w:r w:rsidR="004F52B5" w:rsidRPr="00B20DF6">
        <w:t>suivante:</w:t>
      </w:r>
      <w:proofErr w:type="gramEnd"/>
    </w:p>
    <w:p w14:paraId="240C0DFF" w14:textId="72C6A0DA" w:rsidR="004C45B5" w:rsidRPr="00B20DF6" w:rsidRDefault="004C45B5" w:rsidP="00945ED9">
      <w:r w:rsidRPr="00B20DF6">
        <w:tab/>
      </w:r>
      <w:r w:rsidR="00BA3978" w:rsidRPr="00B20DF6">
        <w:t>"La Conférence de plénipotentiaires charge le Conseil de l'UIT de planifier un FMPT en 2026."</w:t>
      </w:r>
    </w:p>
    <w:p w14:paraId="7D81B11F" w14:textId="2CEFC68F" w:rsidR="004C45B5" w:rsidRPr="00B20DF6" w:rsidRDefault="004C45B5" w:rsidP="00945ED9">
      <w:r w:rsidRPr="00B20DF6">
        <w:t>3.3</w:t>
      </w:r>
      <w:r w:rsidRPr="00B20DF6">
        <w:tab/>
      </w:r>
      <w:r w:rsidR="006475BB" w:rsidRPr="00B20DF6">
        <w:t xml:space="preserve">Le </w:t>
      </w:r>
      <w:r w:rsidR="006475BB" w:rsidRPr="00B20DF6">
        <w:rPr>
          <w:b/>
        </w:rPr>
        <w:t>Président</w:t>
      </w:r>
      <w:r w:rsidR="006475BB" w:rsidRPr="00B20DF6">
        <w:t xml:space="preserve"> considère que la Conférence</w:t>
      </w:r>
      <w:r w:rsidR="00945ED9" w:rsidRPr="00B20DF6">
        <w:t xml:space="preserve"> </w:t>
      </w:r>
      <w:r w:rsidR="00FF26E0" w:rsidRPr="00B20DF6">
        <w:t xml:space="preserve">approuve </w:t>
      </w:r>
      <w:r w:rsidR="006475BB" w:rsidRPr="00B20DF6">
        <w:t>ces mesures</w:t>
      </w:r>
      <w:r w:rsidRPr="00B20DF6">
        <w:t>.</w:t>
      </w:r>
    </w:p>
    <w:p w14:paraId="7374E905" w14:textId="69BD2A76" w:rsidR="004C45B5" w:rsidRPr="00B20DF6" w:rsidRDefault="004C45B5" w:rsidP="00945ED9">
      <w:r w:rsidRPr="00B20DF6">
        <w:t>3.4</w:t>
      </w:r>
      <w:r w:rsidRPr="00B20DF6">
        <w:tab/>
      </w:r>
      <w:bookmarkStart w:id="8" w:name="lt_pId067"/>
      <w:r w:rsidR="006475BB" w:rsidRPr="00B20DF6">
        <w:t xml:space="preserve">Il en est ainsi </w:t>
      </w:r>
      <w:r w:rsidR="006475BB" w:rsidRPr="00B20DF6">
        <w:rPr>
          <w:b/>
          <w:bCs/>
        </w:rPr>
        <w:t>décidé</w:t>
      </w:r>
      <w:r w:rsidR="006475BB" w:rsidRPr="00B20DF6">
        <w:t>.</w:t>
      </w:r>
      <w:bookmarkEnd w:id="8"/>
    </w:p>
    <w:p w14:paraId="671C6145" w14:textId="66FDA911" w:rsidR="004C45B5" w:rsidRPr="00B20DF6" w:rsidRDefault="006475BB" w:rsidP="0087180E">
      <w:pPr>
        <w:pStyle w:val="Headingb"/>
        <w:keepNext w:val="0"/>
        <w:keepLines w:val="0"/>
        <w:spacing w:before="140"/>
        <w:ind w:left="0" w:firstLine="0"/>
      </w:pPr>
      <w:r w:rsidRPr="00B20DF6">
        <w:t xml:space="preserve">Projet de </w:t>
      </w:r>
      <w:r w:rsidR="004C45B5" w:rsidRPr="00B20DF6">
        <w:t>R</w:t>
      </w:r>
      <w:r w:rsidRPr="00B20DF6">
        <w:t>é</w:t>
      </w:r>
      <w:r w:rsidR="004C45B5" w:rsidRPr="00B20DF6">
        <w:t>solution 2 (R</w:t>
      </w:r>
      <w:r w:rsidRPr="00B20DF6">
        <w:t>é</w:t>
      </w:r>
      <w:r w:rsidR="004C45B5" w:rsidRPr="00B20DF6">
        <w:t xml:space="preserve">v. Bucarest, 2022) </w:t>
      </w:r>
      <w:r w:rsidRPr="00B20DF6">
        <w:t>–</w:t>
      </w:r>
      <w:r w:rsidR="004C45B5" w:rsidRPr="00B20DF6">
        <w:t xml:space="preserve"> </w:t>
      </w:r>
      <w:bookmarkStart w:id="9" w:name="_Toc407016182"/>
      <w:bookmarkStart w:id="10" w:name="_Toc536017920"/>
      <w:bookmarkStart w:id="11" w:name="_Hlk116209679"/>
      <w:r w:rsidRPr="00B20DF6">
        <w:t>Forum mondial des politiques de télécommunication et des technologies de l'information et des communications</w:t>
      </w:r>
      <w:bookmarkEnd w:id="9"/>
      <w:bookmarkEnd w:id="10"/>
      <w:bookmarkEnd w:id="11"/>
    </w:p>
    <w:p w14:paraId="46CC8908" w14:textId="604EE615" w:rsidR="004C45B5" w:rsidRPr="00B20DF6" w:rsidRDefault="004C45B5" w:rsidP="0087180E">
      <w:r w:rsidRPr="00B20DF6">
        <w:t>3.5</w:t>
      </w:r>
      <w:r w:rsidRPr="00B20DF6">
        <w:tab/>
      </w:r>
      <w:r w:rsidR="008B65BB" w:rsidRPr="00B20DF6">
        <w:t xml:space="preserve">Compte tenu de ce qui est indiqué dans le </w:t>
      </w:r>
      <w:r w:rsidRPr="00B20DF6">
        <w:t xml:space="preserve">§ 3.2 </w:t>
      </w:r>
      <w:r w:rsidR="007B798D" w:rsidRPr="00B20DF6">
        <w:t>ci-dessus</w:t>
      </w:r>
      <w:r w:rsidRPr="00B20DF6">
        <w:t xml:space="preserve">, </w:t>
      </w:r>
      <w:r w:rsidR="007C4FBB" w:rsidRPr="00B20DF6">
        <w:t xml:space="preserve">le projet </w:t>
      </w:r>
      <w:r w:rsidR="006475BB" w:rsidRPr="00B20DF6">
        <w:t>de Résolution 2 (Rév.</w:t>
      </w:r>
      <w:r w:rsidR="007067E3" w:rsidRPr="00B20DF6">
        <w:t> </w:t>
      </w:r>
      <w:r w:rsidR="006475BB" w:rsidRPr="00B20DF6">
        <w:t>Bucarest, 2022), sur le Forum mondial des politiques de télécommunication et des technologies de l'information et des communications</w:t>
      </w:r>
      <w:r w:rsidRPr="00B20DF6">
        <w:t xml:space="preserve"> (</w:t>
      </w:r>
      <w:r w:rsidR="00243631" w:rsidRPr="00B20DF6">
        <w:t>FMPT</w:t>
      </w:r>
      <w:r w:rsidRPr="00B20DF6">
        <w:t>),</w:t>
      </w:r>
      <w:r w:rsidR="00945ED9" w:rsidRPr="00B20DF6">
        <w:t xml:space="preserve"> </w:t>
      </w:r>
      <w:r w:rsidR="00FF26E0" w:rsidRPr="00B20DF6">
        <w:t>ainsi</w:t>
      </w:r>
      <w:r w:rsidR="00B2051D" w:rsidRPr="00B20DF6">
        <w:t xml:space="preserve"> modifié, est </w:t>
      </w:r>
      <w:r w:rsidR="00B2051D" w:rsidRPr="00B20DF6">
        <w:rPr>
          <w:b/>
          <w:bCs/>
        </w:rPr>
        <w:t>adopté</w:t>
      </w:r>
      <w:r w:rsidRPr="00B20DF6">
        <w:t>.</w:t>
      </w:r>
    </w:p>
    <w:p w14:paraId="2FB1C023" w14:textId="56F7E7D9" w:rsidR="004C45B5" w:rsidRPr="00B20DF6" w:rsidRDefault="006475BB" w:rsidP="0087180E">
      <w:pPr>
        <w:pStyle w:val="Headingb"/>
        <w:ind w:left="0" w:firstLine="0"/>
      </w:pPr>
      <w:r w:rsidRPr="00B20DF6">
        <w:lastRenderedPageBreak/>
        <w:t xml:space="preserve">Projet de Résolution </w:t>
      </w:r>
      <w:r w:rsidR="004C45B5" w:rsidRPr="00B20DF6">
        <w:t>77 (</w:t>
      </w:r>
      <w:r w:rsidRPr="00B20DF6">
        <w:t>Rév. Bucarest, 2022</w:t>
      </w:r>
      <w:r w:rsidR="004C45B5" w:rsidRPr="00B20DF6">
        <w:t>)</w:t>
      </w:r>
      <w:r w:rsidRPr="00B20DF6">
        <w:t xml:space="preserve"> – Planification et durée des conférences, forums, assemblées et sessions du Conseil de l'Union (2023-2027)</w:t>
      </w:r>
    </w:p>
    <w:p w14:paraId="5124DC73" w14:textId="0EAF79DE" w:rsidR="004C45B5" w:rsidRPr="00B20DF6" w:rsidRDefault="004C45B5" w:rsidP="00945ED9">
      <w:r w:rsidRPr="00B20DF6">
        <w:t>3.6</w:t>
      </w:r>
      <w:r w:rsidRPr="00B20DF6">
        <w:tab/>
      </w:r>
      <w:r w:rsidR="00D67771" w:rsidRPr="00B20DF6">
        <w:t>De même, le projet de Résolution 77 (Rév. Bucarest, 2022) sur la planification et la durée des conférences, forums, assemblées et sessions du Conseil de l'Union (2023-2027),</w:t>
      </w:r>
      <w:r w:rsidR="00945ED9" w:rsidRPr="00B20DF6">
        <w:t xml:space="preserve"> </w:t>
      </w:r>
      <w:r w:rsidR="00FF26E0" w:rsidRPr="00B20DF6">
        <w:t>ainsi</w:t>
      </w:r>
      <w:r w:rsidR="00D67771" w:rsidRPr="00B20DF6">
        <w:t xml:space="preserve"> modifié, est </w:t>
      </w:r>
      <w:r w:rsidR="00D67771" w:rsidRPr="00B20DF6">
        <w:rPr>
          <w:b/>
          <w:bCs/>
        </w:rPr>
        <w:t>adopté</w:t>
      </w:r>
      <w:r w:rsidR="00D67771" w:rsidRPr="00B20DF6">
        <w:t>.</w:t>
      </w:r>
    </w:p>
    <w:p w14:paraId="0E2A0A89" w14:textId="7A4F9C81" w:rsidR="004C45B5" w:rsidRPr="00B20DF6" w:rsidRDefault="004C45B5" w:rsidP="00945ED9">
      <w:r w:rsidRPr="00B20DF6">
        <w:t>3.7</w:t>
      </w:r>
      <w:r w:rsidRPr="00B20DF6">
        <w:tab/>
      </w:r>
      <w:bookmarkStart w:id="12" w:name="lt_pId071"/>
      <w:r w:rsidR="008B62FB" w:rsidRPr="00B20DF6">
        <w:t>La vingt-cinquième série de textes soumis par la Commission de rédaction en première lecture (B25),</w:t>
      </w:r>
      <w:r w:rsidR="00945ED9" w:rsidRPr="00B20DF6">
        <w:t xml:space="preserve"> </w:t>
      </w:r>
      <w:r w:rsidR="00FF26E0" w:rsidRPr="00B20DF6">
        <w:t>ainsi</w:t>
      </w:r>
      <w:r w:rsidR="008B62FB" w:rsidRPr="00B20DF6">
        <w:t xml:space="preserve"> modifiée, est </w:t>
      </w:r>
      <w:r w:rsidR="008B62FB" w:rsidRPr="00B20DF6">
        <w:rPr>
          <w:b/>
          <w:bCs/>
        </w:rPr>
        <w:t>approuvée</w:t>
      </w:r>
      <w:r w:rsidR="008B62FB" w:rsidRPr="00B20DF6">
        <w:t>.</w:t>
      </w:r>
      <w:bookmarkEnd w:id="12"/>
    </w:p>
    <w:p w14:paraId="7DE2ECAD" w14:textId="41D9C877" w:rsidR="004C45B5" w:rsidRPr="00B20DF6" w:rsidRDefault="004C45B5" w:rsidP="00945ED9">
      <w:pPr>
        <w:pStyle w:val="Heading1"/>
      </w:pPr>
      <w:r w:rsidRPr="00B20DF6">
        <w:t>4</w:t>
      </w:r>
      <w:r w:rsidRPr="00B20DF6">
        <w:tab/>
      </w:r>
      <w:r w:rsidR="008B62FB" w:rsidRPr="00B20DF6">
        <w:t xml:space="preserve">Vingt-cinquième série de textes soumis par la Commission de rédaction – seconde lecture </w:t>
      </w:r>
      <w:r w:rsidRPr="00B20DF6">
        <w:t xml:space="preserve">(Document </w:t>
      </w:r>
      <w:hyperlink r:id="rId15" w:history="1">
        <w:r w:rsidRPr="00B20DF6">
          <w:rPr>
            <w:rStyle w:val="Hyperlink"/>
            <w:bCs/>
          </w:rPr>
          <w:t>195</w:t>
        </w:r>
      </w:hyperlink>
      <w:r w:rsidRPr="00B20DF6">
        <w:t>)</w:t>
      </w:r>
    </w:p>
    <w:p w14:paraId="059EB0EC" w14:textId="67B978D1" w:rsidR="004C45B5" w:rsidRPr="00B20DF6" w:rsidRDefault="004C45B5" w:rsidP="00945ED9">
      <w:r w:rsidRPr="00B20DF6">
        <w:t>4.1</w:t>
      </w:r>
      <w:r w:rsidRPr="00B20DF6">
        <w:tab/>
      </w:r>
      <w:r w:rsidR="00E12F56" w:rsidRPr="00B20DF6">
        <w:t>La vingt-cinquième série de textes soumis par la Co</w:t>
      </w:r>
      <w:r w:rsidR="0087180E">
        <w:t>mmission de rédaction (Document</w:t>
      </w:r>
      <w:r w:rsidR="00E12F56" w:rsidRPr="00B20DF6">
        <w:t xml:space="preserve"> 195), telle que modifiée en première lecture, est </w:t>
      </w:r>
      <w:r w:rsidR="00E12F56" w:rsidRPr="00B20DF6">
        <w:rPr>
          <w:b/>
          <w:bCs/>
        </w:rPr>
        <w:t xml:space="preserve">approuvée </w:t>
      </w:r>
      <w:r w:rsidR="00E12F56" w:rsidRPr="00B20DF6">
        <w:t>en deuxième lecture.</w:t>
      </w:r>
    </w:p>
    <w:p w14:paraId="33F5FBD1" w14:textId="47998FB0" w:rsidR="004C45B5" w:rsidRPr="00B20DF6" w:rsidRDefault="004C45B5" w:rsidP="00945ED9">
      <w:pPr>
        <w:pStyle w:val="Heading1"/>
      </w:pPr>
      <w:r w:rsidRPr="00B20DF6">
        <w:t>5</w:t>
      </w:r>
      <w:r w:rsidRPr="00B20DF6">
        <w:tab/>
      </w:r>
      <w:r w:rsidR="005525AE" w:rsidRPr="00B20DF6">
        <w:t>Rapport verbal du Président de la Commission 5</w:t>
      </w:r>
      <w:r w:rsidR="004612A5" w:rsidRPr="00B20DF6">
        <w:t xml:space="preserve"> sur le RTI</w:t>
      </w:r>
      <w:r w:rsidRPr="00B20DF6">
        <w:t xml:space="preserve"> (Document </w:t>
      </w:r>
      <w:hyperlink r:id="rId16" w:history="1">
        <w:r w:rsidRPr="00B20DF6">
          <w:rPr>
            <w:rStyle w:val="Hyperlink"/>
            <w:bCs/>
          </w:rPr>
          <w:t>DT/83</w:t>
        </w:r>
      </w:hyperlink>
      <w:r w:rsidRPr="00B20DF6">
        <w:t>)</w:t>
      </w:r>
    </w:p>
    <w:p w14:paraId="7ECA4F99" w14:textId="3D0C78E9" w:rsidR="004C45B5" w:rsidRPr="00B20DF6" w:rsidRDefault="004C45B5" w:rsidP="00945ED9">
      <w:r w:rsidRPr="00B20DF6">
        <w:t>5.1</w:t>
      </w:r>
      <w:r w:rsidRPr="00B20DF6">
        <w:tab/>
      </w:r>
      <w:r w:rsidR="00F322E1" w:rsidRPr="00B20DF6">
        <w:t xml:space="preserve">Selon le </w:t>
      </w:r>
      <w:r w:rsidR="00F322E1" w:rsidRPr="00B20DF6">
        <w:rPr>
          <w:b/>
          <w:bCs/>
        </w:rPr>
        <w:t>Président</w:t>
      </w:r>
      <w:r w:rsidR="000E36C5" w:rsidRPr="00B20DF6">
        <w:t xml:space="preserve">, le Président de la Commission 5 </w:t>
      </w:r>
      <w:r w:rsidR="003400DD" w:rsidRPr="00B20DF6">
        <w:t xml:space="preserve">n'a plus besoin d'un rapport </w:t>
      </w:r>
      <w:r w:rsidR="00AA7F6A" w:rsidRPr="00B20DF6">
        <w:t>verbal</w:t>
      </w:r>
      <w:r w:rsidR="003400DD" w:rsidRPr="00B20DF6">
        <w:t xml:space="preserve"> sur </w:t>
      </w:r>
      <w:r w:rsidR="000E36C5" w:rsidRPr="00B20DF6">
        <w:t xml:space="preserve">le </w:t>
      </w:r>
      <w:r w:rsidR="00782648" w:rsidRPr="00B20DF6">
        <w:t>Règlement des télécommunications internationales (RTI)</w:t>
      </w:r>
      <w:r w:rsidRPr="00B20DF6">
        <w:t xml:space="preserve">, </w:t>
      </w:r>
      <w:r w:rsidR="003400DD" w:rsidRPr="00B20DF6">
        <w:t>étant donné qu'un accord a été trouvé entre temps sur la marche à suivre</w:t>
      </w:r>
      <w:r w:rsidRPr="00B20DF6">
        <w:t xml:space="preserve">. </w:t>
      </w:r>
      <w:r w:rsidR="008D37A7" w:rsidRPr="00B20DF6">
        <w:t xml:space="preserve">Un projet de révision de la Résolution 146 (Rév. Dubaï, 2018) sur </w:t>
      </w:r>
      <w:r w:rsidR="00FF26E0" w:rsidRPr="00B20DF6">
        <w:t xml:space="preserve">l'examen </w:t>
      </w:r>
      <w:r w:rsidR="008D37A7" w:rsidRPr="00B20DF6">
        <w:t xml:space="preserve">périodique du RTI </w:t>
      </w:r>
      <w:r w:rsidR="00AA7F6A" w:rsidRPr="00B20DF6">
        <w:t>(</w:t>
      </w:r>
      <w:r w:rsidR="008D37A7" w:rsidRPr="00B20DF6">
        <w:t>Document DT/83</w:t>
      </w:r>
      <w:r w:rsidR="00AA7F6A" w:rsidRPr="00B20DF6">
        <w:t>)</w:t>
      </w:r>
      <w:r w:rsidR="008D37A7" w:rsidRPr="00B20DF6">
        <w:t xml:space="preserve"> est soumis à la plénière par toutes les régions en tant que proposition commune d'adoption. </w:t>
      </w:r>
      <w:r w:rsidR="00552EFD" w:rsidRPr="00B20DF6">
        <w:t>Il se félicite des efforts considérables déployés par les États Membres pour parvenir à un consensus.</w:t>
      </w:r>
    </w:p>
    <w:p w14:paraId="325C9625" w14:textId="1FADF8A0" w:rsidR="004C45B5" w:rsidRPr="00B20DF6" w:rsidRDefault="004C45B5" w:rsidP="00945ED9">
      <w:r w:rsidRPr="00B20DF6">
        <w:t>5.2</w:t>
      </w:r>
      <w:r w:rsidRPr="00B20DF6">
        <w:tab/>
      </w:r>
      <w:r w:rsidR="00062561" w:rsidRPr="00B20DF6">
        <w:t xml:space="preserve">Le </w:t>
      </w:r>
      <w:r w:rsidR="00062561" w:rsidRPr="00B20DF6">
        <w:rPr>
          <w:b/>
          <w:bCs/>
        </w:rPr>
        <w:t>délégué de la Jordanie</w:t>
      </w:r>
      <w:r w:rsidR="00062561" w:rsidRPr="00B20DF6">
        <w:t xml:space="preserve"> demande si le document a été publié dans les six langues officielles de l'Union et, dans la négative, s'il convient de l'approuver en anglais seulement.</w:t>
      </w:r>
    </w:p>
    <w:p w14:paraId="24F8E322" w14:textId="3D884E19" w:rsidR="004C45B5" w:rsidRPr="00B20DF6" w:rsidRDefault="004C45B5" w:rsidP="00945ED9">
      <w:r w:rsidRPr="00B20DF6">
        <w:t>5.3</w:t>
      </w:r>
      <w:r w:rsidRPr="00B20DF6">
        <w:tab/>
      </w:r>
      <w:r w:rsidR="00417DCA" w:rsidRPr="00B20DF6">
        <w:t xml:space="preserve">Le </w:t>
      </w:r>
      <w:r w:rsidR="00417DCA" w:rsidRPr="00B20DF6">
        <w:rPr>
          <w:b/>
          <w:bCs/>
        </w:rPr>
        <w:t>Président</w:t>
      </w:r>
      <w:r w:rsidR="00945ED9" w:rsidRPr="00B20DF6">
        <w:t xml:space="preserve"> </w:t>
      </w:r>
      <w:r w:rsidR="00341A0B" w:rsidRPr="00B20DF6">
        <w:t xml:space="preserve">précise </w:t>
      </w:r>
      <w:r w:rsidR="00417DCA" w:rsidRPr="00B20DF6">
        <w:t xml:space="preserve">que, comme </w:t>
      </w:r>
      <w:r w:rsidR="00594CD1" w:rsidRPr="00B20DF6">
        <w:t xml:space="preserve">pour </w:t>
      </w:r>
      <w:r w:rsidR="00417DCA" w:rsidRPr="00B20DF6">
        <w:t>le Document</w:t>
      </w:r>
      <w:r w:rsidR="0087180E">
        <w:t xml:space="preserve"> 78(Add.</w:t>
      </w:r>
      <w:proofErr w:type="gramStart"/>
      <w:r w:rsidR="0087180E">
        <w:t>9)(</w:t>
      </w:r>
      <w:proofErr w:type="gramEnd"/>
      <w:r w:rsidR="0087180E">
        <w:t>Rév.1) approuvé à la </w:t>
      </w:r>
      <w:r w:rsidR="00417DCA" w:rsidRPr="00B20DF6">
        <w:t>12ème</w:t>
      </w:r>
      <w:r w:rsidR="00B17BC4" w:rsidRPr="00B20DF6">
        <w:t> </w:t>
      </w:r>
      <w:r w:rsidR="00417DCA" w:rsidRPr="00B20DF6">
        <w:t xml:space="preserve">séance plénière, </w:t>
      </w:r>
      <w:r w:rsidR="00341A0B" w:rsidRPr="00B20DF6">
        <w:t>l'objectif</w:t>
      </w:r>
      <w:r w:rsidR="00945ED9" w:rsidRPr="00B20DF6">
        <w:t xml:space="preserve"> </w:t>
      </w:r>
      <w:r w:rsidR="006B431E" w:rsidRPr="00B20DF6">
        <w:t xml:space="preserve">est </w:t>
      </w:r>
      <w:r w:rsidR="00417DCA" w:rsidRPr="00B20DF6">
        <w:t xml:space="preserve">d'examiner le texte en anglais et de le transmettre ensuite à la Commission 4 pour </w:t>
      </w:r>
      <w:r w:rsidR="00456D11" w:rsidRPr="00B20DF6">
        <w:t xml:space="preserve">procéder à des alignements </w:t>
      </w:r>
      <w:r w:rsidR="00417DCA" w:rsidRPr="00B20DF6">
        <w:t>linguistique</w:t>
      </w:r>
      <w:r w:rsidR="00456D11" w:rsidRPr="00B20DF6">
        <w:t>s</w:t>
      </w:r>
      <w:r w:rsidR="00417DCA" w:rsidRPr="00B20DF6">
        <w:t>, si nécessaire.</w:t>
      </w:r>
    </w:p>
    <w:p w14:paraId="7B2E5315" w14:textId="79BA3465" w:rsidR="004C45B5" w:rsidRPr="00B20DF6" w:rsidRDefault="004C45B5" w:rsidP="00945ED9">
      <w:r w:rsidRPr="00B20DF6">
        <w:t>5.4</w:t>
      </w:r>
      <w:r w:rsidRPr="00B20DF6">
        <w:tab/>
      </w:r>
      <w:r w:rsidR="000B05C0" w:rsidRPr="00B20DF6">
        <w:t xml:space="preserve">Le </w:t>
      </w:r>
      <w:r w:rsidR="000B05C0" w:rsidRPr="00B20DF6">
        <w:rPr>
          <w:b/>
          <w:bCs/>
        </w:rPr>
        <w:t>délégué de la Jordanie</w:t>
      </w:r>
      <w:r w:rsidR="000B05C0" w:rsidRPr="00B20DF6">
        <w:t xml:space="preserve"> fait observer que les propositions de révision de la Résolution</w:t>
      </w:r>
      <w:r w:rsidR="00B20DF6" w:rsidRPr="00B20DF6">
        <w:t> </w:t>
      </w:r>
      <w:r w:rsidR="000B05C0" w:rsidRPr="00B20DF6">
        <w:t>125</w:t>
      </w:r>
      <w:r w:rsidR="00B20DF6" w:rsidRPr="00B20DF6">
        <w:t> </w:t>
      </w:r>
      <w:r w:rsidR="000B05C0" w:rsidRPr="00B20DF6">
        <w:t xml:space="preserve">(Rév. Bucarest, 2022) </w:t>
      </w:r>
      <w:r w:rsidR="00DE133E" w:rsidRPr="00B20DF6">
        <w:t xml:space="preserve">étaient </w:t>
      </w:r>
      <w:r w:rsidR="000B05C0" w:rsidRPr="00B20DF6">
        <w:t>disponibles dans les six langues officielles lorsque le Document</w:t>
      </w:r>
      <w:r w:rsidR="00B17BC4" w:rsidRPr="00B20DF6">
        <w:t> </w:t>
      </w:r>
      <w:r w:rsidR="000B05C0" w:rsidRPr="00B20DF6">
        <w:t>78(Add.</w:t>
      </w:r>
      <w:proofErr w:type="gramStart"/>
      <w:r w:rsidR="000B05C0" w:rsidRPr="00B20DF6">
        <w:t>9)(</w:t>
      </w:r>
      <w:proofErr w:type="gramEnd"/>
      <w:r w:rsidR="000B05C0" w:rsidRPr="00B20DF6">
        <w:t>Rév.1) a été soumis à la plénière et demande au Conseiller juridique de fournir des éclaircissements quant</w:t>
      </w:r>
      <w:r w:rsidR="00945ED9" w:rsidRPr="00B20DF6">
        <w:t xml:space="preserve"> </w:t>
      </w:r>
      <w:r w:rsidR="00341A0B" w:rsidRPr="00B20DF6">
        <w:t>au caractère acceptable</w:t>
      </w:r>
      <w:r w:rsidR="000B05C0" w:rsidRPr="00B20DF6">
        <w:t xml:space="preserve"> de la solution proposée.</w:t>
      </w:r>
    </w:p>
    <w:p w14:paraId="3B3654A0" w14:textId="50A7289B" w:rsidR="004C45B5" w:rsidRPr="00B20DF6" w:rsidRDefault="004C45B5" w:rsidP="00945ED9">
      <w:r w:rsidRPr="00B20DF6">
        <w:t>5.5</w:t>
      </w:r>
      <w:r w:rsidRPr="00B20DF6">
        <w:tab/>
      </w:r>
      <w:r w:rsidR="009B61E0" w:rsidRPr="00B20DF6">
        <w:t xml:space="preserve">Le </w:t>
      </w:r>
      <w:r w:rsidR="009B61E0" w:rsidRPr="00B20DF6">
        <w:rPr>
          <w:b/>
          <w:bCs/>
        </w:rPr>
        <w:t>délégué du Canada</w:t>
      </w:r>
      <w:r w:rsidR="009B61E0" w:rsidRPr="00B20DF6">
        <w:t xml:space="preserve"> se félicite </w:t>
      </w:r>
      <w:r w:rsidR="00341A0B" w:rsidRPr="00B20DF6">
        <w:t>de constater</w:t>
      </w:r>
      <w:r w:rsidR="009B61E0" w:rsidRPr="00B20DF6">
        <w:t xml:space="preserve"> qu'un consensus </w:t>
      </w:r>
      <w:r w:rsidR="00341A0B" w:rsidRPr="00B20DF6">
        <w:t>a</w:t>
      </w:r>
      <w:r w:rsidR="00945ED9" w:rsidRPr="00B20DF6">
        <w:t xml:space="preserve"> </w:t>
      </w:r>
      <w:r w:rsidR="009B61E0" w:rsidRPr="00B20DF6">
        <w:t>été trouvé et suggère que les préoccupations éventuelles concernant la version arabe du texte puissent être traitées en consultation avec les délégations arabes qui ont participé étroitement aux négociations.</w:t>
      </w:r>
    </w:p>
    <w:p w14:paraId="2E594BAD" w14:textId="37CDAC09" w:rsidR="004C45B5" w:rsidRPr="00B20DF6" w:rsidRDefault="004C45B5" w:rsidP="00945ED9">
      <w:r w:rsidRPr="00B20DF6">
        <w:t>5.6</w:t>
      </w:r>
      <w:r w:rsidRPr="00B20DF6">
        <w:tab/>
      </w:r>
      <w:r w:rsidR="00A14453" w:rsidRPr="00B20DF6">
        <w:t xml:space="preserve">Le </w:t>
      </w:r>
      <w:r w:rsidR="00A14453" w:rsidRPr="00B20DF6">
        <w:rPr>
          <w:b/>
          <w:bCs/>
        </w:rPr>
        <w:t>Conseiller juridique</w:t>
      </w:r>
      <w:r w:rsidR="00A14453" w:rsidRPr="00B20DF6">
        <w:t xml:space="preserve"> confirme </w:t>
      </w:r>
      <w:r w:rsidR="00341A0B" w:rsidRPr="00B20DF6">
        <w:t>qu</w:t>
      </w:r>
      <w:r w:rsidR="00945ED9" w:rsidRPr="00B20DF6">
        <w:t>'</w:t>
      </w:r>
      <w:r w:rsidR="00A14453" w:rsidRPr="00B20DF6">
        <w:t>aucun obstacle juridique</w:t>
      </w:r>
      <w:r w:rsidR="00341A0B" w:rsidRPr="00B20DF6">
        <w:t xml:space="preserve"> ne s</w:t>
      </w:r>
      <w:r w:rsidR="00945ED9" w:rsidRPr="00B20DF6">
        <w:t>'</w:t>
      </w:r>
      <w:r w:rsidR="00341A0B" w:rsidRPr="00B20DF6">
        <w:t>oppose</w:t>
      </w:r>
      <w:r w:rsidR="00945ED9" w:rsidRPr="00B20DF6">
        <w:t xml:space="preserve"> </w:t>
      </w:r>
      <w:r w:rsidR="00A14453" w:rsidRPr="00B20DF6">
        <w:t>à l'approbation du Document DT/83 dans une seule langue, comme le propose le Président.</w:t>
      </w:r>
    </w:p>
    <w:p w14:paraId="32B9059D" w14:textId="12881F0E" w:rsidR="004C45B5" w:rsidRPr="00B20DF6" w:rsidRDefault="004C45B5" w:rsidP="00945ED9">
      <w:r w:rsidRPr="00B20DF6">
        <w:t>5.7</w:t>
      </w:r>
      <w:r w:rsidRPr="00B20DF6">
        <w:tab/>
      </w:r>
      <w:r w:rsidR="008475C1" w:rsidRPr="00B20DF6">
        <w:t xml:space="preserve">Le projet de révision de la Résolution soumis à la plénière est </w:t>
      </w:r>
      <w:r w:rsidR="008475C1" w:rsidRPr="00B20DF6">
        <w:rPr>
          <w:b/>
          <w:bCs/>
        </w:rPr>
        <w:t>adopté</w:t>
      </w:r>
      <w:r w:rsidR="008475C1" w:rsidRPr="00B20DF6">
        <w:t xml:space="preserve">, et le Document DT/83 est </w:t>
      </w:r>
      <w:r w:rsidR="008475C1" w:rsidRPr="00B20DF6">
        <w:rPr>
          <w:b/>
          <w:bCs/>
        </w:rPr>
        <w:t xml:space="preserve">approuvé </w:t>
      </w:r>
      <w:r w:rsidR="008475C1" w:rsidRPr="00B20DF6">
        <w:t>en première et</w:t>
      </w:r>
      <w:r w:rsidR="00945ED9" w:rsidRPr="00B20DF6">
        <w:t xml:space="preserve"> </w:t>
      </w:r>
      <w:r w:rsidR="00341A0B" w:rsidRPr="00B20DF6">
        <w:t>seconde</w:t>
      </w:r>
      <w:r w:rsidR="008475C1" w:rsidRPr="00B20DF6">
        <w:t xml:space="preserve"> lecture.</w:t>
      </w:r>
    </w:p>
    <w:p w14:paraId="7F1922BC" w14:textId="27A18275" w:rsidR="004C45B5" w:rsidRPr="00B20DF6" w:rsidRDefault="004C45B5" w:rsidP="00945ED9">
      <w:r w:rsidRPr="00B20DF6">
        <w:t>5.8</w:t>
      </w:r>
      <w:r w:rsidRPr="00B20DF6">
        <w:tab/>
      </w:r>
      <w:r w:rsidR="00A413D5" w:rsidRPr="00B20DF6">
        <w:t xml:space="preserve">Selon le </w:t>
      </w:r>
      <w:r w:rsidR="00A413D5" w:rsidRPr="00B20DF6">
        <w:rPr>
          <w:b/>
          <w:bCs/>
        </w:rPr>
        <w:t>délégué de la République islamique d'Iran</w:t>
      </w:r>
      <w:r w:rsidR="00A413D5" w:rsidRPr="00B20DF6">
        <w:t>, parvenir à un consensus sur toutes les questions soumises à la Conférence, y compris</w:t>
      </w:r>
      <w:r w:rsidR="00945ED9" w:rsidRPr="00B20DF6">
        <w:t xml:space="preserve"> </w:t>
      </w:r>
      <w:r w:rsidR="00A413D5" w:rsidRPr="00B20DF6">
        <w:t xml:space="preserve">la Résolution relative au RTI, est un excellent résultat, </w:t>
      </w:r>
      <w:r w:rsidR="00670457" w:rsidRPr="00B20DF6">
        <w:t xml:space="preserve">qui est dû </w:t>
      </w:r>
      <w:r w:rsidR="00A413D5" w:rsidRPr="00B20DF6">
        <w:t xml:space="preserve">en grande partie </w:t>
      </w:r>
      <w:r w:rsidR="007A3569" w:rsidRPr="00B20DF6">
        <w:t>à l'excellent travail accompli</w:t>
      </w:r>
      <w:r w:rsidR="00341A0B" w:rsidRPr="00B20DF6">
        <w:t xml:space="preserve"> par le Président</w:t>
      </w:r>
      <w:r w:rsidR="007A3569" w:rsidRPr="00B20DF6">
        <w:t>.</w:t>
      </w:r>
    </w:p>
    <w:p w14:paraId="02568A2D" w14:textId="07AB5CE6" w:rsidR="004C45B5" w:rsidRPr="00B20DF6" w:rsidRDefault="004C45B5" w:rsidP="00945ED9">
      <w:pPr>
        <w:pStyle w:val="Heading1"/>
      </w:pPr>
      <w:r w:rsidRPr="00B20DF6">
        <w:lastRenderedPageBreak/>
        <w:t>6</w:t>
      </w:r>
      <w:r w:rsidRPr="00B20DF6">
        <w:tab/>
      </w:r>
      <w:r w:rsidR="008475C1" w:rsidRPr="00B20DF6">
        <w:t>Délai pour le dépôt des déclarations</w:t>
      </w:r>
    </w:p>
    <w:p w14:paraId="4CFF87D6" w14:textId="305F1F7F" w:rsidR="004C45B5" w:rsidRPr="00B20DF6" w:rsidRDefault="004C45B5" w:rsidP="00945ED9">
      <w:r w:rsidRPr="00B20DF6">
        <w:rPr>
          <w:bCs/>
        </w:rPr>
        <w:t>6.1</w:t>
      </w:r>
      <w:r w:rsidRPr="00B20DF6">
        <w:rPr>
          <w:bCs/>
        </w:rPr>
        <w:tab/>
      </w:r>
      <w:r w:rsidR="008475C1" w:rsidRPr="00B20DF6">
        <w:rPr>
          <w:bCs/>
        </w:rPr>
        <w:t xml:space="preserve">Le </w:t>
      </w:r>
      <w:r w:rsidR="008475C1" w:rsidRPr="00B20DF6">
        <w:rPr>
          <w:b/>
          <w:bCs/>
        </w:rPr>
        <w:t xml:space="preserve">Président </w:t>
      </w:r>
      <w:r w:rsidR="008475C1" w:rsidRPr="00B20DF6">
        <w:rPr>
          <w:bCs/>
        </w:rPr>
        <w:t xml:space="preserve">annonce que les déclarations sont acceptées </w:t>
      </w:r>
      <w:r w:rsidR="001E66A0" w:rsidRPr="00B20DF6">
        <w:rPr>
          <w:bCs/>
        </w:rPr>
        <w:t>jusqu'à trois heures après la clôture de la séance, soit 19</w:t>
      </w:r>
      <w:r w:rsidR="00A62962" w:rsidRPr="00B20DF6">
        <w:rPr>
          <w:bCs/>
        </w:rPr>
        <w:t> </w:t>
      </w:r>
      <w:r w:rsidR="001E66A0" w:rsidRPr="00B20DF6">
        <w:rPr>
          <w:bCs/>
        </w:rPr>
        <w:t>h</w:t>
      </w:r>
      <w:r w:rsidR="00A62962" w:rsidRPr="00B20DF6">
        <w:rPr>
          <w:bCs/>
        </w:rPr>
        <w:t> </w:t>
      </w:r>
      <w:r w:rsidR="001E66A0" w:rsidRPr="00B20DF6">
        <w:rPr>
          <w:bCs/>
        </w:rPr>
        <w:t>40 le jeudi 13</w:t>
      </w:r>
      <w:r w:rsidR="00A62962" w:rsidRPr="00B20DF6">
        <w:rPr>
          <w:bCs/>
        </w:rPr>
        <w:t> </w:t>
      </w:r>
      <w:r w:rsidR="001E66A0" w:rsidRPr="00B20DF6">
        <w:rPr>
          <w:bCs/>
        </w:rPr>
        <w:t xml:space="preserve">octobre, </w:t>
      </w:r>
      <w:r w:rsidR="008475C1" w:rsidRPr="00B20DF6">
        <w:rPr>
          <w:bCs/>
        </w:rPr>
        <w:t xml:space="preserve">et que la plénière se réunira à </w:t>
      </w:r>
      <w:r w:rsidR="00B12755" w:rsidRPr="00B20DF6">
        <w:rPr>
          <w:bCs/>
        </w:rPr>
        <w:t>8</w:t>
      </w:r>
      <w:r w:rsidR="00A62962" w:rsidRPr="00B20DF6">
        <w:rPr>
          <w:bCs/>
        </w:rPr>
        <w:t> </w:t>
      </w:r>
      <w:r w:rsidR="008475C1" w:rsidRPr="00B20DF6">
        <w:rPr>
          <w:bCs/>
        </w:rPr>
        <w:t>h</w:t>
      </w:r>
      <w:r w:rsidR="00A62962" w:rsidRPr="00B20DF6">
        <w:rPr>
          <w:bCs/>
        </w:rPr>
        <w:t> </w:t>
      </w:r>
      <w:r w:rsidR="00B12755" w:rsidRPr="00B20DF6">
        <w:rPr>
          <w:bCs/>
        </w:rPr>
        <w:t>30 le vendredi 14 octobre</w:t>
      </w:r>
      <w:r w:rsidR="008475C1" w:rsidRPr="00B20DF6">
        <w:rPr>
          <w:bCs/>
        </w:rPr>
        <w:t xml:space="preserve">, pour prendre note de ces déclarations. Le délai pour le dépôt de déclarations additionnelles est fixé à </w:t>
      </w:r>
      <w:r w:rsidR="00421D74" w:rsidRPr="00B20DF6">
        <w:rPr>
          <w:bCs/>
        </w:rPr>
        <w:t xml:space="preserve">deux heures après la </w:t>
      </w:r>
      <w:r w:rsidR="00BB37C5" w:rsidRPr="00B20DF6">
        <w:rPr>
          <w:bCs/>
        </w:rPr>
        <w:t xml:space="preserve">clôture de la réunion, les Actes finals seront établis et distribués le plus tôt possible et </w:t>
      </w:r>
      <w:r w:rsidR="008475C1" w:rsidRPr="00B20DF6">
        <w:rPr>
          <w:bCs/>
        </w:rPr>
        <w:t xml:space="preserve">la cérémonie de signature aura lieu </w:t>
      </w:r>
      <w:r w:rsidR="00A62962" w:rsidRPr="00B20DF6">
        <w:rPr>
          <w:bCs/>
        </w:rPr>
        <w:t xml:space="preserve">le même jour </w:t>
      </w:r>
      <w:r w:rsidR="008475C1" w:rsidRPr="00B20DF6">
        <w:rPr>
          <w:bCs/>
        </w:rPr>
        <w:t>à 14 h 30</w:t>
      </w:r>
      <w:r w:rsidRPr="00B20DF6">
        <w:t>.</w:t>
      </w:r>
    </w:p>
    <w:p w14:paraId="7AA762DC" w14:textId="1CDD3B1B" w:rsidR="008475C1" w:rsidRPr="00B20DF6" w:rsidRDefault="008475C1" w:rsidP="00945ED9">
      <w:pPr>
        <w:rPr>
          <w:b/>
          <w:bCs/>
        </w:rPr>
      </w:pPr>
      <w:r w:rsidRPr="00B20DF6">
        <w:rPr>
          <w:b/>
          <w:bCs/>
        </w:rPr>
        <w:t>La séance est levée à 16 h 40.</w:t>
      </w:r>
    </w:p>
    <w:p w14:paraId="02889859" w14:textId="395D40FB" w:rsidR="008475C1" w:rsidRDefault="008475C1" w:rsidP="00945ED9">
      <w:pPr>
        <w:tabs>
          <w:tab w:val="clear" w:pos="567"/>
          <w:tab w:val="clear" w:pos="1134"/>
          <w:tab w:val="clear" w:pos="1701"/>
          <w:tab w:val="clear" w:pos="2268"/>
          <w:tab w:val="clear" w:pos="2835"/>
          <w:tab w:val="left" w:pos="6379"/>
        </w:tabs>
        <w:overflowPunct/>
        <w:autoSpaceDE/>
        <w:autoSpaceDN/>
        <w:snapToGrid w:val="0"/>
        <w:spacing w:before="840"/>
        <w:textAlignment w:val="auto"/>
      </w:pPr>
      <w:r w:rsidRPr="00B20DF6">
        <w:t xml:space="preserve">Le Secrétaire </w:t>
      </w:r>
      <w:proofErr w:type="gramStart"/>
      <w:r w:rsidRPr="00B20DF6">
        <w:t>général:</w:t>
      </w:r>
      <w:proofErr w:type="gramEnd"/>
      <w:r w:rsidRPr="00B20DF6">
        <w:tab/>
        <w:t>Le Président:</w:t>
      </w:r>
      <w:r w:rsidRPr="00B20DF6">
        <w:br/>
        <w:t>H. ZHAO</w:t>
      </w:r>
      <w:r w:rsidRPr="00B20DF6">
        <w:tab/>
        <w:t>S. SĂRMAŞ</w:t>
      </w:r>
    </w:p>
    <w:p w14:paraId="4992B513" w14:textId="3AD8814F" w:rsidR="00252856" w:rsidRPr="00B20DF6" w:rsidRDefault="00252856" w:rsidP="00252856">
      <w:pPr>
        <w:tabs>
          <w:tab w:val="clear" w:pos="567"/>
          <w:tab w:val="clear" w:pos="1134"/>
          <w:tab w:val="clear" w:pos="1701"/>
          <w:tab w:val="clear" w:pos="2268"/>
          <w:tab w:val="clear" w:pos="2835"/>
          <w:tab w:val="left" w:pos="6379"/>
        </w:tabs>
        <w:overflowPunct/>
        <w:autoSpaceDE/>
        <w:autoSpaceDN/>
        <w:snapToGrid w:val="0"/>
        <w:spacing w:before="840"/>
        <w:jc w:val="center"/>
        <w:textAlignment w:val="auto"/>
      </w:pPr>
      <w:r>
        <w:t>_________________</w:t>
      </w:r>
    </w:p>
    <w:sectPr w:rsidR="00252856" w:rsidRPr="00B20DF6" w:rsidSect="003A0B7D">
      <w:headerReference w:type="default" r:id="rId17"/>
      <w:footerReference w:type="default" r:id="rId18"/>
      <w:footerReference w:type="first" r:id="rId19"/>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7BB7A" w14:textId="77777777" w:rsidR="0000443D" w:rsidRDefault="0000443D">
      <w:r>
        <w:separator/>
      </w:r>
    </w:p>
  </w:endnote>
  <w:endnote w:type="continuationSeparator" w:id="0">
    <w:p w14:paraId="4033BF0A" w14:textId="77777777" w:rsidR="0000443D" w:rsidRDefault="00004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1AD31" w14:textId="3C356AA3" w:rsidR="00462D4C" w:rsidRPr="00462D4C" w:rsidRDefault="00462D4C" w:rsidP="00462D4C">
    <w:pPr>
      <w:pStyle w:val="Footer"/>
      <w:rPr>
        <w:lang w:val="en-US"/>
      </w:rPr>
    </w:pPr>
    <w:r>
      <w:fldChar w:fldCharType="begin"/>
    </w:r>
    <w:r w:rsidRPr="00462D4C">
      <w:rPr>
        <w:lang w:val="en-US"/>
      </w:rPr>
      <w:instrText xml:space="preserve"> FILENAME \p  \* MERGEFORMAT </w:instrText>
    </w:r>
    <w:r>
      <w:fldChar w:fldCharType="separate"/>
    </w:r>
    <w:r w:rsidR="00B20DF6">
      <w:rPr>
        <w:lang w:val="en-US"/>
      </w:rPr>
      <w:t>P:\FRA\SG\CONF-SG\PP22\200\207F.docx</w:t>
    </w:r>
    <w:r>
      <w:fldChar w:fldCharType="end"/>
    </w:r>
    <w:r w:rsidRPr="00462D4C">
      <w:rPr>
        <w:lang w:val="en-US"/>
      </w:rPr>
      <w:t xml:space="preserve"> (</w:t>
    </w:r>
    <w:r>
      <w:rPr>
        <w:lang w:val="en-US"/>
      </w:rPr>
      <w:t>515617</w:t>
    </w:r>
    <w:r w:rsidRPr="00462D4C">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0E860" w14:textId="35386948" w:rsidR="000D15FB" w:rsidRDefault="000D15FB" w:rsidP="006359EF">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6359EF" w:rsidRPr="006359EF">
        <w:rPr>
          <w:rStyle w:val="Hyperlink"/>
          <w:sz w:val="22"/>
          <w:szCs w:val="22"/>
          <w:lang w:val="en-GB"/>
        </w:rPr>
        <w:t>www.itu.int/plenipotentiary/</w:t>
      </w:r>
    </w:hyperlink>
    <w:r w:rsidR="006359EF" w:rsidRPr="006359EF">
      <w:rPr>
        <w:color w:val="0000FF"/>
        <w:sz w:val="22"/>
        <w:szCs w:val="22"/>
        <w:u w:val="single"/>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735FB" w14:textId="77777777" w:rsidR="0000443D" w:rsidRDefault="0000443D">
      <w:r>
        <w:t>____________________</w:t>
      </w:r>
    </w:p>
  </w:footnote>
  <w:footnote w:type="continuationSeparator" w:id="0">
    <w:p w14:paraId="73EDFC8A" w14:textId="77777777" w:rsidR="0000443D" w:rsidRDefault="00004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D6A7" w14:textId="74835108" w:rsidR="00BD1614" w:rsidRDefault="00BD1614" w:rsidP="00BD1614">
    <w:pPr>
      <w:pStyle w:val="Header"/>
    </w:pPr>
    <w:r>
      <w:fldChar w:fldCharType="begin"/>
    </w:r>
    <w:r>
      <w:instrText xml:space="preserve"> PAGE </w:instrText>
    </w:r>
    <w:r>
      <w:fldChar w:fldCharType="separate"/>
    </w:r>
    <w:r w:rsidR="003833AA">
      <w:rPr>
        <w:noProof/>
      </w:rPr>
      <w:t>9</w:t>
    </w:r>
    <w:r>
      <w:fldChar w:fldCharType="end"/>
    </w:r>
  </w:p>
  <w:p w14:paraId="650D8FD2" w14:textId="2C1C0ADE" w:rsidR="00BD1614" w:rsidRDefault="00BD1614" w:rsidP="001E2226">
    <w:pPr>
      <w:pStyle w:val="Header"/>
    </w:pPr>
    <w:r>
      <w:t>PP</w:t>
    </w:r>
    <w:r w:rsidR="002A7A1D">
      <w:t>22</w:t>
    </w:r>
    <w:r>
      <w:t>/</w:t>
    </w:r>
    <w:r w:rsidR="004C45B5">
      <w:t>207</w:t>
    </w:r>
    <w:r w:rsidR="00420EF8">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DE8D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9A82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4F6BB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44E3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F5E40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F0DD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3AA3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23A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9CF3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469B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8407E1"/>
    <w:multiLevelType w:val="multilevel"/>
    <w:tmpl w:val="F8EC025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4686072">
    <w:abstractNumId w:val="9"/>
  </w:num>
  <w:num w:numId="2" w16cid:durableId="1235706047">
    <w:abstractNumId w:val="7"/>
  </w:num>
  <w:num w:numId="3" w16cid:durableId="2031030750">
    <w:abstractNumId w:val="6"/>
  </w:num>
  <w:num w:numId="4" w16cid:durableId="1583442189">
    <w:abstractNumId w:val="5"/>
  </w:num>
  <w:num w:numId="5" w16cid:durableId="1198081126">
    <w:abstractNumId w:val="4"/>
  </w:num>
  <w:num w:numId="6" w16cid:durableId="1485851765">
    <w:abstractNumId w:val="8"/>
  </w:num>
  <w:num w:numId="7" w16cid:durableId="1074594586">
    <w:abstractNumId w:val="3"/>
  </w:num>
  <w:num w:numId="8" w16cid:durableId="312296228">
    <w:abstractNumId w:val="2"/>
  </w:num>
  <w:num w:numId="9" w16cid:durableId="1181359076">
    <w:abstractNumId w:val="1"/>
  </w:num>
  <w:num w:numId="10" w16cid:durableId="1839418737">
    <w:abstractNumId w:val="0"/>
  </w:num>
  <w:num w:numId="11" w16cid:durableId="8443699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3927"/>
    <w:rsid w:val="0000443D"/>
    <w:rsid w:val="000054D8"/>
    <w:rsid w:val="000106C9"/>
    <w:rsid w:val="0001306A"/>
    <w:rsid w:val="00017F6A"/>
    <w:rsid w:val="000222C4"/>
    <w:rsid w:val="00024457"/>
    <w:rsid w:val="0003036E"/>
    <w:rsid w:val="00033D04"/>
    <w:rsid w:val="00040CB6"/>
    <w:rsid w:val="00042A51"/>
    <w:rsid w:val="00044152"/>
    <w:rsid w:val="000459D4"/>
    <w:rsid w:val="00050541"/>
    <w:rsid w:val="000542D5"/>
    <w:rsid w:val="00060D74"/>
    <w:rsid w:val="000618D3"/>
    <w:rsid w:val="00062561"/>
    <w:rsid w:val="00072D5C"/>
    <w:rsid w:val="0008398C"/>
    <w:rsid w:val="00084308"/>
    <w:rsid w:val="00084DCE"/>
    <w:rsid w:val="00091562"/>
    <w:rsid w:val="000974EA"/>
    <w:rsid w:val="000A2B6F"/>
    <w:rsid w:val="000A3D1B"/>
    <w:rsid w:val="000B05C0"/>
    <w:rsid w:val="000B14B6"/>
    <w:rsid w:val="000B289E"/>
    <w:rsid w:val="000B5AC0"/>
    <w:rsid w:val="000B7871"/>
    <w:rsid w:val="000C356C"/>
    <w:rsid w:val="000C3EC7"/>
    <w:rsid w:val="000C467B"/>
    <w:rsid w:val="000D15FB"/>
    <w:rsid w:val="000D1F83"/>
    <w:rsid w:val="000D28E2"/>
    <w:rsid w:val="000E36C5"/>
    <w:rsid w:val="000E76B5"/>
    <w:rsid w:val="000F0870"/>
    <w:rsid w:val="000F183C"/>
    <w:rsid w:val="000F58F7"/>
    <w:rsid w:val="00102FEB"/>
    <w:rsid w:val="001051E4"/>
    <w:rsid w:val="00106B45"/>
    <w:rsid w:val="0013240F"/>
    <w:rsid w:val="0013275B"/>
    <w:rsid w:val="0013504F"/>
    <w:rsid w:val="001354EA"/>
    <w:rsid w:val="00136FCE"/>
    <w:rsid w:val="00137B82"/>
    <w:rsid w:val="001415DB"/>
    <w:rsid w:val="00147B57"/>
    <w:rsid w:val="00153BA4"/>
    <w:rsid w:val="00165783"/>
    <w:rsid w:val="00176214"/>
    <w:rsid w:val="001941AD"/>
    <w:rsid w:val="0019732C"/>
    <w:rsid w:val="001A0682"/>
    <w:rsid w:val="001A1DB9"/>
    <w:rsid w:val="001A3515"/>
    <w:rsid w:val="001A4BFC"/>
    <w:rsid w:val="001A4FE4"/>
    <w:rsid w:val="001B4D8D"/>
    <w:rsid w:val="001C1A4C"/>
    <w:rsid w:val="001C2B8A"/>
    <w:rsid w:val="001D31B2"/>
    <w:rsid w:val="001D410A"/>
    <w:rsid w:val="001E0FD6"/>
    <w:rsid w:val="001E1B9B"/>
    <w:rsid w:val="001E2226"/>
    <w:rsid w:val="001E4026"/>
    <w:rsid w:val="001E66A0"/>
    <w:rsid w:val="001F335B"/>
    <w:rsid w:val="001F3436"/>
    <w:rsid w:val="001F6233"/>
    <w:rsid w:val="002065C7"/>
    <w:rsid w:val="00210C2D"/>
    <w:rsid w:val="00214A8D"/>
    <w:rsid w:val="00221C24"/>
    <w:rsid w:val="00223906"/>
    <w:rsid w:val="002272DA"/>
    <w:rsid w:val="00233D1B"/>
    <w:rsid w:val="002355CD"/>
    <w:rsid w:val="00236090"/>
    <w:rsid w:val="00240B59"/>
    <w:rsid w:val="00243631"/>
    <w:rsid w:val="00252856"/>
    <w:rsid w:val="002540AE"/>
    <w:rsid w:val="00270B2F"/>
    <w:rsid w:val="00270F29"/>
    <w:rsid w:val="00273B2F"/>
    <w:rsid w:val="002748C5"/>
    <w:rsid w:val="00276573"/>
    <w:rsid w:val="002772DE"/>
    <w:rsid w:val="002922CB"/>
    <w:rsid w:val="00292857"/>
    <w:rsid w:val="002945EA"/>
    <w:rsid w:val="00295678"/>
    <w:rsid w:val="00295847"/>
    <w:rsid w:val="00297086"/>
    <w:rsid w:val="002A0E1B"/>
    <w:rsid w:val="002A7A1D"/>
    <w:rsid w:val="002B6447"/>
    <w:rsid w:val="002C1059"/>
    <w:rsid w:val="002C2F9C"/>
    <w:rsid w:val="002C3636"/>
    <w:rsid w:val="002C40DD"/>
    <w:rsid w:val="002C5ED7"/>
    <w:rsid w:val="002C70DC"/>
    <w:rsid w:val="002D0F1A"/>
    <w:rsid w:val="002D74FE"/>
    <w:rsid w:val="002E120F"/>
    <w:rsid w:val="00300059"/>
    <w:rsid w:val="00304A7F"/>
    <w:rsid w:val="00316AA7"/>
    <w:rsid w:val="00322403"/>
    <w:rsid w:val="00322DEA"/>
    <w:rsid w:val="00324543"/>
    <w:rsid w:val="00325095"/>
    <w:rsid w:val="00325DD7"/>
    <w:rsid w:val="0032757E"/>
    <w:rsid w:val="003400DD"/>
    <w:rsid w:val="00341A0B"/>
    <w:rsid w:val="00347DCE"/>
    <w:rsid w:val="0035102F"/>
    <w:rsid w:val="00355FBD"/>
    <w:rsid w:val="003607CC"/>
    <w:rsid w:val="003620CC"/>
    <w:rsid w:val="00362E00"/>
    <w:rsid w:val="003670C8"/>
    <w:rsid w:val="00374046"/>
    <w:rsid w:val="003755B2"/>
    <w:rsid w:val="0038116B"/>
    <w:rsid w:val="00381461"/>
    <w:rsid w:val="003833AA"/>
    <w:rsid w:val="003860EE"/>
    <w:rsid w:val="00391C12"/>
    <w:rsid w:val="00392C14"/>
    <w:rsid w:val="003944EE"/>
    <w:rsid w:val="00395D96"/>
    <w:rsid w:val="003A0B7D"/>
    <w:rsid w:val="003A3AF5"/>
    <w:rsid w:val="003A45C2"/>
    <w:rsid w:val="003B2230"/>
    <w:rsid w:val="003B69A4"/>
    <w:rsid w:val="003C4BE2"/>
    <w:rsid w:val="003D147D"/>
    <w:rsid w:val="003D2B22"/>
    <w:rsid w:val="003D5E42"/>
    <w:rsid w:val="003D637A"/>
    <w:rsid w:val="003D6C6C"/>
    <w:rsid w:val="00404B4E"/>
    <w:rsid w:val="00417DCA"/>
    <w:rsid w:val="004206B9"/>
    <w:rsid w:val="00420EF8"/>
    <w:rsid w:val="00421D74"/>
    <w:rsid w:val="00422C66"/>
    <w:rsid w:val="0042555A"/>
    <w:rsid w:val="00430015"/>
    <w:rsid w:val="00436AD1"/>
    <w:rsid w:val="004377A2"/>
    <w:rsid w:val="00444C98"/>
    <w:rsid w:val="00452FB9"/>
    <w:rsid w:val="00456D11"/>
    <w:rsid w:val="004612A5"/>
    <w:rsid w:val="00461EB0"/>
    <w:rsid w:val="00462D4C"/>
    <w:rsid w:val="00465BCD"/>
    <w:rsid w:val="00465C73"/>
    <w:rsid w:val="004671CE"/>
    <w:rsid w:val="004678D0"/>
    <w:rsid w:val="0047341F"/>
    <w:rsid w:val="00476C49"/>
    <w:rsid w:val="00482954"/>
    <w:rsid w:val="004934A8"/>
    <w:rsid w:val="004951C0"/>
    <w:rsid w:val="004A3A51"/>
    <w:rsid w:val="004A6CC2"/>
    <w:rsid w:val="004C2C12"/>
    <w:rsid w:val="004C45B5"/>
    <w:rsid w:val="004C7646"/>
    <w:rsid w:val="004D120F"/>
    <w:rsid w:val="004D1280"/>
    <w:rsid w:val="004D14A6"/>
    <w:rsid w:val="004E639E"/>
    <w:rsid w:val="004F264F"/>
    <w:rsid w:val="004F52B5"/>
    <w:rsid w:val="00504181"/>
    <w:rsid w:val="005146A0"/>
    <w:rsid w:val="00515F21"/>
    <w:rsid w:val="0052051A"/>
    <w:rsid w:val="00520C76"/>
    <w:rsid w:val="00524001"/>
    <w:rsid w:val="00532EBA"/>
    <w:rsid w:val="005440F7"/>
    <w:rsid w:val="005525AE"/>
    <w:rsid w:val="00552EFD"/>
    <w:rsid w:val="00564B63"/>
    <w:rsid w:val="00574F16"/>
    <w:rsid w:val="00575DC7"/>
    <w:rsid w:val="00580B86"/>
    <w:rsid w:val="00582681"/>
    <w:rsid w:val="005836C2"/>
    <w:rsid w:val="00592151"/>
    <w:rsid w:val="00594CD1"/>
    <w:rsid w:val="00595E99"/>
    <w:rsid w:val="005961DC"/>
    <w:rsid w:val="005A4EFD"/>
    <w:rsid w:val="005A5ABE"/>
    <w:rsid w:val="005B4806"/>
    <w:rsid w:val="005B4F45"/>
    <w:rsid w:val="005B522A"/>
    <w:rsid w:val="005C05FF"/>
    <w:rsid w:val="005C2ECC"/>
    <w:rsid w:val="005C6744"/>
    <w:rsid w:val="005E419E"/>
    <w:rsid w:val="005F3D47"/>
    <w:rsid w:val="005F63BD"/>
    <w:rsid w:val="005F7F50"/>
    <w:rsid w:val="00611CF1"/>
    <w:rsid w:val="006130A8"/>
    <w:rsid w:val="0061592B"/>
    <w:rsid w:val="00616100"/>
    <w:rsid w:val="006201D9"/>
    <w:rsid w:val="006277DB"/>
    <w:rsid w:val="006359EF"/>
    <w:rsid w:val="00635B7B"/>
    <w:rsid w:val="00642A74"/>
    <w:rsid w:val="00643888"/>
    <w:rsid w:val="006444B6"/>
    <w:rsid w:val="006475BB"/>
    <w:rsid w:val="00651A83"/>
    <w:rsid w:val="00655B98"/>
    <w:rsid w:val="00663B1B"/>
    <w:rsid w:val="00670457"/>
    <w:rsid w:val="006710E6"/>
    <w:rsid w:val="00673263"/>
    <w:rsid w:val="00674992"/>
    <w:rsid w:val="0067731D"/>
    <w:rsid w:val="0067795D"/>
    <w:rsid w:val="00680D71"/>
    <w:rsid w:val="00685986"/>
    <w:rsid w:val="00686973"/>
    <w:rsid w:val="00687A5E"/>
    <w:rsid w:val="006930A7"/>
    <w:rsid w:val="00696B2D"/>
    <w:rsid w:val="006A2656"/>
    <w:rsid w:val="006A3475"/>
    <w:rsid w:val="006A6342"/>
    <w:rsid w:val="006A6442"/>
    <w:rsid w:val="006B0352"/>
    <w:rsid w:val="006B431E"/>
    <w:rsid w:val="006B5A3E"/>
    <w:rsid w:val="006B6C9C"/>
    <w:rsid w:val="006C19ED"/>
    <w:rsid w:val="006C3CB9"/>
    <w:rsid w:val="006C7AE3"/>
    <w:rsid w:val="006D55E8"/>
    <w:rsid w:val="006D6438"/>
    <w:rsid w:val="006D7065"/>
    <w:rsid w:val="006D7986"/>
    <w:rsid w:val="006E1580"/>
    <w:rsid w:val="006E1921"/>
    <w:rsid w:val="006E3C4B"/>
    <w:rsid w:val="006E6538"/>
    <w:rsid w:val="006F139B"/>
    <w:rsid w:val="006F36F9"/>
    <w:rsid w:val="006F4A02"/>
    <w:rsid w:val="006F5CBF"/>
    <w:rsid w:val="006F66D5"/>
    <w:rsid w:val="00702580"/>
    <w:rsid w:val="0070576B"/>
    <w:rsid w:val="007067E3"/>
    <w:rsid w:val="00707E8C"/>
    <w:rsid w:val="00713335"/>
    <w:rsid w:val="00716B8D"/>
    <w:rsid w:val="0072400A"/>
    <w:rsid w:val="00727C2F"/>
    <w:rsid w:val="00735F13"/>
    <w:rsid w:val="00744340"/>
    <w:rsid w:val="00750FE6"/>
    <w:rsid w:val="007717F2"/>
    <w:rsid w:val="0077268B"/>
    <w:rsid w:val="00772E3B"/>
    <w:rsid w:val="0078095E"/>
    <w:rsid w:val="0078134C"/>
    <w:rsid w:val="007820F7"/>
    <w:rsid w:val="00782648"/>
    <w:rsid w:val="00783839"/>
    <w:rsid w:val="00785D97"/>
    <w:rsid w:val="00786AF5"/>
    <w:rsid w:val="00792AA8"/>
    <w:rsid w:val="00794EA0"/>
    <w:rsid w:val="00797C10"/>
    <w:rsid w:val="007A0421"/>
    <w:rsid w:val="007A3569"/>
    <w:rsid w:val="007A5830"/>
    <w:rsid w:val="007B798D"/>
    <w:rsid w:val="007C23F6"/>
    <w:rsid w:val="007C262A"/>
    <w:rsid w:val="007C4FBB"/>
    <w:rsid w:val="007D12AB"/>
    <w:rsid w:val="007D21FB"/>
    <w:rsid w:val="007D7346"/>
    <w:rsid w:val="007E60C4"/>
    <w:rsid w:val="007F76FF"/>
    <w:rsid w:val="00801256"/>
    <w:rsid w:val="008205C2"/>
    <w:rsid w:val="008229D3"/>
    <w:rsid w:val="0083409A"/>
    <w:rsid w:val="00835E11"/>
    <w:rsid w:val="008475C1"/>
    <w:rsid w:val="00863738"/>
    <w:rsid w:val="00864077"/>
    <w:rsid w:val="00866201"/>
    <w:rsid w:val="008703CB"/>
    <w:rsid w:val="0087180E"/>
    <w:rsid w:val="00876553"/>
    <w:rsid w:val="008821D1"/>
    <w:rsid w:val="00885F61"/>
    <w:rsid w:val="00887D16"/>
    <w:rsid w:val="0089019A"/>
    <w:rsid w:val="008B15F9"/>
    <w:rsid w:val="008B1862"/>
    <w:rsid w:val="008B407F"/>
    <w:rsid w:val="008B603E"/>
    <w:rsid w:val="008B61AF"/>
    <w:rsid w:val="008B62FB"/>
    <w:rsid w:val="008B65BB"/>
    <w:rsid w:val="008C3372"/>
    <w:rsid w:val="008C33C2"/>
    <w:rsid w:val="008C6137"/>
    <w:rsid w:val="008D0B4B"/>
    <w:rsid w:val="008D1AF4"/>
    <w:rsid w:val="008D2166"/>
    <w:rsid w:val="008D37A7"/>
    <w:rsid w:val="008E13B5"/>
    <w:rsid w:val="008E2DB4"/>
    <w:rsid w:val="008F2F6B"/>
    <w:rsid w:val="008F76C0"/>
    <w:rsid w:val="00901DD5"/>
    <w:rsid w:val="00904AD0"/>
    <w:rsid w:val="0090735B"/>
    <w:rsid w:val="00912D5E"/>
    <w:rsid w:val="009132A6"/>
    <w:rsid w:val="00920566"/>
    <w:rsid w:val="0092088E"/>
    <w:rsid w:val="00923260"/>
    <w:rsid w:val="00926D16"/>
    <w:rsid w:val="00931D5F"/>
    <w:rsid w:val="00934340"/>
    <w:rsid w:val="00945ED9"/>
    <w:rsid w:val="0095455B"/>
    <w:rsid w:val="00956DC7"/>
    <w:rsid w:val="0095701B"/>
    <w:rsid w:val="0096328E"/>
    <w:rsid w:val="00966CD3"/>
    <w:rsid w:val="00987A20"/>
    <w:rsid w:val="009960C5"/>
    <w:rsid w:val="00996602"/>
    <w:rsid w:val="0099684B"/>
    <w:rsid w:val="009971E2"/>
    <w:rsid w:val="009A0E15"/>
    <w:rsid w:val="009A379A"/>
    <w:rsid w:val="009B2676"/>
    <w:rsid w:val="009B6153"/>
    <w:rsid w:val="009B61E0"/>
    <w:rsid w:val="009B62F4"/>
    <w:rsid w:val="009D3AB3"/>
    <w:rsid w:val="009D4037"/>
    <w:rsid w:val="009E3C42"/>
    <w:rsid w:val="009E6BD1"/>
    <w:rsid w:val="009E70FA"/>
    <w:rsid w:val="009F0592"/>
    <w:rsid w:val="009F1555"/>
    <w:rsid w:val="00A06A47"/>
    <w:rsid w:val="00A11BC4"/>
    <w:rsid w:val="00A14453"/>
    <w:rsid w:val="00A20E72"/>
    <w:rsid w:val="00A246DC"/>
    <w:rsid w:val="00A308FD"/>
    <w:rsid w:val="00A32D39"/>
    <w:rsid w:val="00A33C01"/>
    <w:rsid w:val="00A413D5"/>
    <w:rsid w:val="00A4333A"/>
    <w:rsid w:val="00A47BAF"/>
    <w:rsid w:val="00A5257A"/>
    <w:rsid w:val="00A542D3"/>
    <w:rsid w:val="00A5784F"/>
    <w:rsid w:val="00A62962"/>
    <w:rsid w:val="00A62CA7"/>
    <w:rsid w:val="00A63ED7"/>
    <w:rsid w:val="00A71227"/>
    <w:rsid w:val="00A773B6"/>
    <w:rsid w:val="00A8436E"/>
    <w:rsid w:val="00A86722"/>
    <w:rsid w:val="00A90D15"/>
    <w:rsid w:val="00A946B8"/>
    <w:rsid w:val="00A95888"/>
    <w:rsid w:val="00A95B66"/>
    <w:rsid w:val="00AA176F"/>
    <w:rsid w:val="00AA7F6A"/>
    <w:rsid w:val="00AB05F9"/>
    <w:rsid w:val="00AB60E4"/>
    <w:rsid w:val="00AE0667"/>
    <w:rsid w:val="00AE0946"/>
    <w:rsid w:val="00AE11EC"/>
    <w:rsid w:val="00AF6F76"/>
    <w:rsid w:val="00B00EC0"/>
    <w:rsid w:val="00B03F19"/>
    <w:rsid w:val="00B05481"/>
    <w:rsid w:val="00B075B4"/>
    <w:rsid w:val="00B11762"/>
    <w:rsid w:val="00B12755"/>
    <w:rsid w:val="00B160C7"/>
    <w:rsid w:val="00B17166"/>
    <w:rsid w:val="00B17BC4"/>
    <w:rsid w:val="00B2051D"/>
    <w:rsid w:val="00B20DF6"/>
    <w:rsid w:val="00B233C4"/>
    <w:rsid w:val="00B27D00"/>
    <w:rsid w:val="00B41E0A"/>
    <w:rsid w:val="00B47E80"/>
    <w:rsid w:val="00B52DB3"/>
    <w:rsid w:val="00B54C4F"/>
    <w:rsid w:val="00B56DE0"/>
    <w:rsid w:val="00B71F12"/>
    <w:rsid w:val="00B76FEC"/>
    <w:rsid w:val="00B82936"/>
    <w:rsid w:val="00B86478"/>
    <w:rsid w:val="00B907D9"/>
    <w:rsid w:val="00B9152E"/>
    <w:rsid w:val="00B93417"/>
    <w:rsid w:val="00B96B1E"/>
    <w:rsid w:val="00BA3978"/>
    <w:rsid w:val="00BB1C22"/>
    <w:rsid w:val="00BB2A6F"/>
    <w:rsid w:val="00BB3542"/>
    <w:rsid w:val="00BB37C5"/>
    <w:rsid w:val="00BC0626"/>
    <w:rsid w:val="00BC5CDE"/>
    <w:rsid w:val="00BD1614"/>
    <w:rsid w:val="00BD382C"/>
    <w:rsid w:val="00BD5DA6"/>
    <w:rsid w:val="00BF0E77"/>
    <w:rsid w:val="00BF3205"/>
    <w:rsid w:val="00BF42C8"/>
    <w:rsid w:val="00BF7D25"/>
    <w:rsid w:val="00C010C0"/>
    <w:rsid w:val="00C02622"/>
    <w:rsid w:val="00C05BEE"/>
    <w:rsid w:val="00C06AF0"/>
    <w:rsid w:val="00C108F9"/>
    <w:rsid w:val="00C25534"/>
    <w:rsid w:val="00C31CBD"/>
    <w:rsid w:val="00C34EB9"/>
    <w:rsid w:val="00C40CB5"/>
    <w:rsid w:val="00C432FE"/>
    <w:rsid w:val="00C458B9"/>
    <w:rsid w:val="00C525AD"/>
    <w:rsid w:val="00C54CE6"/>
    <w:rsid w:val="00C55E7B"/>
    <w:rsid w:val="00C575E2"/>
    <w:rsid w:val="00C57A54"/>
    <w:rsid w:val="00C613F0"/>
    <w:rsid w:val="00C7368B"/>
    <w:rsid w:val="00C7628E"/>
    <w:rsid w:val="00C77DF7"/>
    <w:rsid w:val="00C819F8"/>
    <w:rsid w:val="00C82483"/>
    <w:rsid w:val="00C87E2C"/>
    <w:rsid w:val="00C92746"/>
    <w:rsid w:val="00C9543E"/>
    <w:rsid w:val="00C978A1"/>
    <w:rsid w:val="00C97928"/>
    <w:rsid w:val="00C97B68"/>
    <w:rsid w:val="00CA0E67"/>
    <w:rsid w:val="00CA6F9C"/>
    <w:rsid w:val="00CA707E"/>
    <w:rsid w:val="00CB368B"/>
    <w:rsid w:val="00CB741D"/>
    <w:rsid w:val="00CB794E"/>
    <w:rsid w:val="00CC106D"/>
    <w:rsid w:val="00CC4DC5"/>
    <w:rsid w:val="00CD1DB2"/>
    <w:rsid w:val="00CE1A7C"/>
    <w:rsid w:val="00CF25D2"/>
    <w:rsid w:val="00CF548B"/>
    <w:rsid w:val="00D004A4"/>
    <w:rsid w:val="00D0368B"/>
    <w:rsid w:val="00D0464B"/>
    <w:rsid w:val="00D106CC"/>
    <w:rsid w:val="00D12C74"/>
    <w:rsid w:val="00D15722"/>
    <w:rsid w:val="00D15B34"/>
    <w:rsid w:val="00D2263F"/>
    <w:rsid w:val="00D23555"/>
    <w:rsid w:val="00D31252"/>
    <w:rsid w:val="00D4544E"/>
    <w:rsid w:val="00D537EB"/>
    <w:rsid w:val="00D55090"/>
    <w:rsid w:val="00D55702"/>
    <w:rsid w:val="00D55FC5"/>
    <w:rsid w:val="00D56483"/>
    <w:rsid w:val="00D5658F"/>
    <w:rsid w:val="00D56AD6"/>
    <w:rsid w:val="00D64075"/>
    <w:rsid w:val="00D64B71"/>
    <w:rsid w:val="00D67771"/>
    <w:rsid w:val="00D70019"/>
    <w:rsid w:val="00D7029C"/>
    <w:rsid w:val="00D72EEB"/>
    <w:rsid w:val="00D74B58"/>
    <w:rsid w:val="00D82ABE"/>
    <w:rsid w:val="00D937FB"/>
    <w:rsid w:val="00D93DED"/>
    <w:rsid w:val="00D97AE8"/>
    <w:rsid w:val="00DA0360"/>
    <w:rsid w:val="00DA39D3"/>
    <w:rsid w:val="00DA4ABA"/>
    <w:rsid w:val="00DA685B"/>
    <w:rsid w:val="00DA742B"/>
    <w:rsid w:val="00DB3E3A"/>
    <w:rsid w:val="00DE133E"/>
    <w:rsid w:val="00DE2E19"/>
    <w:rsid w:val="00DE7AA1"/>
    <w:rsid w:val="00DF0CEF"/>
    <w:rsid w:val="00DF25C1"/>
    <w:rsid w:val="00DF48F7"/>
    <w:rsid w:val="00DF4964"/>
    <w:rsid w:val="00DF4D73"/>
    <w:rsid w:val="00DF79B0"/>
    <w:rsid w:val="00E1047D"/>
    <w:rsid w:val="00E1181E"/>
    <w:rsid w:val="00E11E88"/>
    <w:rsid w:val="00E12F56"/>
    <w:rsid w:val="00E13836"/>
    <w:rsid w:val="00E16418"/>
    <w:rsid w:val="00E172EF"/>
    <w:rsid w:val="00E23F62"/>
    <w:rsid w:val="00E268FB"/>
    <w:rsid w:val="00E324DF"/>
    <w:rsid w:val="00E3592F"/>
    <w:rsid w:val="00E37621"/>
    <w:rsid w:val="00E443FA"/>
    <w:rsid w:val="00E44DCC"/>
    <w:rsid w:val="00E459C1"/>
    <w:rsid w:val="00E54FCE"/>
    <w:rsid w:val="00E60DA1"/>
    <w:rsid w:val="00E60EBC"/>
    <w:rsid w:val="00E65E71"/>
    <w:rsid w:val="00E67847"/>
    <w:rsid w:val="00E67E68"/>
    <w:rsid w:val="00E67EFF"/>
    <w:rsid w:val="00E7415B"/>
    <w:rsid w:val="00E748F7"/>
    <w:rsid w:val="00E824FA"/>
    <w:rsid w:val="00E82E8A"/>
    <w:rsid w:val="00E865A7"/>
    <w:rsid w:val="00E8701C"/>
    <w:rsid w:val="00E93D35"/>
    <w:rsid w:val="00EA454B"/>
    <w:rsid w:val="00EA45DB"/>
    <w:rsid w:val="00EC2B5B"/>
    <w:rsid w:val="00ED2CD9"/>
    <w:rsid w:val="00EE1861"/>
    <w:rsid w:val="00EE1BF9"/>
    <w:rsid w:val="00EF0A4E"/>
    <w:rsid w:val="00EF0D39"/>
    <w:rsid w:val="00F03138"/>
    <w:rsid w:val="00F0337A"/>
    <w:rsid w:val="00F04290"/>
    <w:rsid w:val="00F06EA8"/>
    <w:rsid w:val="00F07DA7"/>
    <w:rsid w:val="00F14045"/>
    <w:rsid w:val="00F14744"/>
    <w:rsid w:val="00F163E7"/>
    <w:rsid w:val="00F20034"/>
    <w:rsid w:val="00F26EE8"/>
    <w:rsid w:val="00F322E1"/>
    <w:rsid w:val="00F431A7"/>
    <w:rsid w:val="00F43E4B"/>
    <w:rsid w:val="00F440EB"/>
    <w:rsid w:val="00F546CB"/>
    <w:rsid w:val="00F564C1"/>
    <w:rsid w:val="00F5794B"/>
    <w:rsid w:val="00F651C4"/>
    <w:rsid w:val="00F72D7A"/>
    <w:rsid w:val="00F7631D"/>
    <w:rsid w:val="00F77FA2"/>
    <w:rsid w:val="00F8203D"/>
    <w:rsid w:val="00F8357A"/>
    <w:rsid w:val="00F83B42"/>
    <w:rsid w:val="00F84B75"/>
    <w:rsid w:val="00F85C60"/>
    <w:rsid w:val="00F863DD"/>
    <w:rsid w:val="00F87692"/>
    <w:rsid w:val="00F969C0"/>
    <w:rsid w:val="00FA1B77"/>
    <w:rsid w:val="00FA6CD2"/>
    <w:rsid w:val="00FB359A"/>
    <w:rsid w:val="00FB4B65"/>
    <w:rsid w:val="00FB74B8"/>
    <w:rsid w:val="00FC270F"/>
    <w:rsid w:val="00FC49E0"/>
    <w:rsid w:val="00FC7DD4"/>
    <w:rsid w:val="00FD4A3F"/>
    <w:rsid w:val="00FE3FC9"/>
    <w:rsid w:val="00FE6A96"/>
    <w:rsid w:val="00FF0484"/>
    <w:rsid w:val="00FF26E0"/>
    <w:rsid w:val="00FF4E56"/>
    <w:rsid w:val="00FF777C"/>
    <w:rsid w:val="00FF7E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F7E724"/>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UnresolvedMention1">
    <w:name w:val="Unresolved Mention1"/>
    <w:basedOn w:val="DefaultParagraphFont"/>
    <w:uiPriority w:val="99"/>
    <w:semiHidden/>
    <w:unhideWhenUsed/>
    <w:rsid w:val="006359EF"/>
    <w:rPr>
      <w:color w:val="605E5C"/>
      <w:shd w:val="clear" w:color="auto" w:fill="E1DFDD"/>
    </w:rPr>
  </w:style>
  <w:style w:type="character" w:styleId="FollowedHyperlink">
    <w:name w:val="FollowedHyperlink"/>
    <w:basedOn w:val="DefaultParagraphFont"/>
    <w:semiHidden/>
    <w:unhideWhenUsed/>
    <w:rsid w:val="006359EF"/>
    <w:rPr>
      <w:color w:val="800080" w:themeColor="followedHyperlink"/>
      <w:u w:val="single"/>
    </w:rPr>
  </w:style>
  <w:style w:type="paragraph" w:styleId="Revision">
    <w:name w:val="Revision"/>
    <w:hidden/>
    <w:uiPriority w:val="99"/>
    <w:semiHidden/>
    <w:rsid w:val="003D2B22"/>
    <w:rPr>
      <w:rFonts w:ascii="Calibri" w:hAnsi="Calibri"/>
      <w:sz w:val="24"/>
      <w:lang w:val="fr-FR" w:eastAsia="en-US"/>
    </w:rPr>
  </w:style>
  <w:style w:type="character" w:styleId="CommentReference">
    <w:name w:val="annotation reference"/>
    <w:basedOn w:val="DefaultParagraphFont"/>
    <w:semiHidden/>
    <w:unhideWhenUsed/>
    <w:rsid w:val="00750FE6"/>
    <w:rPr>
      <w:sz w:val="16"/>
      <w:szCs w:val="16"/>
    </w:rPr>
  </w:style>
  <w:style w:type="paragraph" w:styleId="CommentText">
    <w:name w:val="annotation text"/>
    <w:basedOn w:val="Normal"/>
    <w:link w:val="CommentTextChar"/>
    <w:unhideWhenUsed/>
    <w:rsid w:val="00750FE6"/>
    <w:rPr>
      <w:sz w:val="20"/>
    </w:rPr>
  </w:style>
  <w:style w:type="character" w:customStyle="1" w:styleId="CommentTextChar">
    <w:name w:val="Comment Text Char"/>
    <w:basedOn w:val="DefaultParagraphFont"/>
    <w:link w:val="CommentText"/>
    <w:rsid w:val="00750FE6"/>
    <w:rPr>
      <w:rFonts w:ascii="Calibri" w:hAnsi="Calibri"/>
      <w:lang w:val="fr-FR" w:eastAsia="en-US"/>
    </w:rPr>
  </w:style>
  <w:style w:type="paragraph" w:styleId="CommentSubject">
    <w:name w:val="annotation subject"/>
    <w:basedOn w:val="CommentText"/>
    <w:next w:val="CommentText"/>
    <w:link w:val="CommentSubjectChar"/>
    <w:semiHidden/>
    <w:unhideWhenUsed/>
    <w:rsid w:val="00750FE6"/>
    <w:rPr>
      <w:b/>
      <w:bCs/>
    </w:rPr>
  </w:style>
  <w:style w:type="character" w:customStyle="1" w:styleId="CommentSubjectChar">
    <w:name w:val="Comment Subject Char"/>
    <w:basedOn w:val="CommentTextChar"/>
    <w:link w:val="CommentSubject"/>
    <w:semiHidden/>
    <w:rsid w:val="00750FE6"/>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2-PP-C-0197/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22-PP-220926-TD-0083/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S22-PP-220926-TD-0083/en"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www.itu.int/md/S22-PP-C-0195/en" TargetMode="External"/><Relationship Id="rId5" Type="http://schemas.openxmlformats.org/officeDocument/2006/relationships/webSettings" Target="webSettings.xml"/><Relationship Id="rId15" Type="http://schemas.openxmlformats.org/officeDocument/2006/relationships/hyperlink" Target="https://www.itu.int/md/S22-PP-C-0195/en" TargetMode="External"/><Relationship Id="rId10" Type="http://schemas.openxmlformats.org/officeDocument/2006/relationships/hyperlink" Target="https://www.itu.int/md/S22-PP-C-0195/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22-PP-C-0197/en" TargetMode="External"/><Relationship Id="rId14" Type="http://schemas.openxmlformats.org/officeDocument/2006/relationships/hyperlink" Target="https://www.itu.int/md/S22-PP-C-0195/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pp22.itu.int/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4292</Words>
  <Characters>23659</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27896</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(PP-22)</dc:subject>
  <dc:creator>Manias, Michel</dc:creator>
  <cp:keywords/>
  <dc:description/>
  <cp:lastModifiedBy>Xue, Kun</cp:lastModifiedBy>
  <cp:revision>2</cp:revision>
  <dcterms:created xsi:type="dcterms:W3CDTF">2022-11-21T08:17:00Z</dcterms:created>
  <dcterms:modified xsi:type="dcterms:W3CDTF">2022-11-21T08:17:00Z</dcterms:modified>
  <cp:category>Conference document</cp:category>
</cp:coreProperties>
</file>