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255FA1" w:rsidRPr="0002785D" w14:paraId="53E2F3C9" w14:textId="77777777" w:rsidTr="00B64373">
        <w:trPr>
          <w:cantSplit/>
          <w:jc w:val="center"/>
        </w:trPr>
        <w:tc>
          <w:tcPr>
            <w:tcW w:w="6911" w:type="dxa"/>
          </w:tcPr>
          <w:p w14:paraId="1A0FEE8F" w14:textId="27F7A80E" w:rsidR="00255FA1" w:rsidRPr="0032644F" w:rsidRDefault="00255FA1" w:rsidP="00B64373">
            <w:pPr>
              <w:rPr>
                <w:b/>
                <w:bCs/>
                <w:szCs w:val="22"/>
              </w:rPr>
            </w:pPr>
            <w:bookmarkStart w:id="0" w:name="dbreak"/>
            <w:bookmarkStart w:id="1" w:name="dpp"/>
            <w:bookmarkEnd w:id="0"/>
            <w:bookmarkEnd w:id="1"/>
            <w:r w:rsidRPr="007F6EBC">
              <w:rPr>
                <w:rStyle w:val="PageNumber"/>
                <w:rFonts w:cs="Times"/>
                <w:b/>
                <w:sz w:val="30"/>
                <w:szCs w:val="30"/>
              </w:rPr>
              <w:t>Conferencia de Plenipotenciarios (PP-</w:t>
            </w:r>
            <w:r w:rsidR="009D1BE0">
              <w:rPr>
                <w:rStyle w:val="PageNumber"/>
                <w:rFonts w:cs="Times"/>
                <w:b/>
                <w:sz w:val="30"/>
                <w:szCs w:val="30"/>
              </w:rPr>
              <w:t>22</w:t>
            </w:r>
            <w:r w:rsidRPr="007F6EBC">
              <w:rPr>
                <w:rStyle w:val="PageNumber"/>
                <w:rFonts w:cs="Times"/>
                <w:b/>
                <w:sz w:val="30"/>
                <w:szCs w:val="30"/>
              </w:rPr>
              <w:t>)</w:t>
            </w:r>
            <w:r w:rsidRPr="007F6EBC">
              <w:rPr>
                <w:rStyle w:val="PageNumber"/>
                <w:rFonts w:cs="Times"/>
                <w:sz w:val="26"/>
                <w:szCs w:val="26"/>
              </w:rPr>
              <w:br/>
            </w:r>
            <w:r w:rsidR="009D1BE0" w:rsidRPr="00B012B7">
              <w:rPr>
                <w:b/>
                <w:bCs/>
                <w:szCs w:val="24"/>
              </w:rPr>
              <w:t>Bucarest</w:t>
            </w:r>
            <w:r w:rsidRPr="00B012B7">
              <w:rPr>
                <w:rStyle w:val="PageNumber"/>
                <w:b/>
                <w:bCs/>
                <w:szCs w:val="24"/>
              </w:rPr>
              <w:t>,</w:t>
            </w:r>
            <w:r w:rsidRPr="007F6EBC">
              <w:rPr>
                <w:rStyle w:val="PageNumber"/>
                <w:b/>
                <w:bCs/>
                <w:szCs w:val="24"/>
              </w:rPr>
              <w:t xml:space="preserve"> </w:t>
            </w:r>
            <w:r w:rsidRPr="004B07DB">
              <w:rPr>
                <w:rStyle w:val="PageNumber"/>
                <w:b/>
                <w:szCs w:val="24"/>
              </w:rPr>
              <w:t>2</w:t>
            </w:r>
            <w:r w:rsidR="009D1BE0">
              <w:rPr>
                <w:rStyle w:val="PageNumber"/>
                <w:b/>
                <w:szCs w:val="24"/>
              </w:rPr>
              <w:t>6</w:t>
            </w:r>
            <w:r w:rsidRPr="004B07DB">
              <w:rPr>
                <w:rStyle w:val="PageNumber"/>
                <w:b/>
                <w:szCs w:val="24"/>
              </w:rPr>
              <w:t xml:space="preserve"> de </w:t>
            </w:r>
            <w:r w:rsidR="009D1BE0">
              <w:rPr>
                <w:rStyle w:val="PageNumber"/>
                <w:b/>
                <w:szCs w:val="24"/>
              </w:rPr>
              <w:t>septiembre</w:t>
            </w:r>
            <w:r w:rsidRPr="004B07DB">
              <w:rPr>
                <w:rStyle w:val="PageNumber"/>
                <w:b/>
                <w:szCs w:val="24"/>
              </w:rPr>
              <w:t xml:space="preserve"> </w:t>
            </w:r>
            <w:r w:rsidR="00491A25">
              <w:rPr>
                <w:rStyle w:val="PageNumber"/>
                <w:b/>
                <w:szCs w:val="24"/>
              </w:rPr>
              <w:t>–</w:t>
            </w:r>
            <w:r w:rsidRPr="004B07DB">
              <w:rPr>
                <w:rStyle w:val="PageNumber"/>
                <w:b/>
                <w:szCs w:val="24"/>
              </w:rPr>
              <w:t xml:space="preserve"> </w:t>
            </w:r>
            <w:r w:rsidR="00C43474">
              <w:rPr>
                <w:rStyle w:val="PageNumber"/>
                <w:b/>
                <w:szCs w:val="24"/>
              </w:rPr>
              <w:t>1</w:t>
            </w:r>
            <w:r w:rsidR="009D1BE0">
              <w:rPr>
                <w:rStyle w:val="PageNumber"/>
                <w:b/>
                <w:szCs w:val="24"/>
              </w:rPr>
              <w:t>4</w:t>
            </w:r>
            <w:r w:rsidRPr="004B07DB">
              <w:rPr>
                <w:rStyle w:val="PageNumber"/>
                <w:b/>
                <w:szCs w:val="24"/>
              </w:rPr>
              <w:t xml:space="preserve"> de </w:t>
            </w:r>
            <w:r w:rsidR="009D1BE0">
              <w:rPr>
                <w:rStyle w:val="PageNumber"/>
                <w:b/>
                <w:szCs w:val="24"/>
              </w:rPr>
              <w:t>octubre</w:t>
            </w:r>
            <w:r w:rsidRPr="004B07DB">
              <w:rPr>
                <w:rStyle w:val="PageNumber"/>
                <w:b/>
                <w:szCs w:val="24"/>
              </w:rPr>
              <w:t xml:space="preserve"> de 2</w:t>
            </w:r>
            <w:r w:rsidR="009D1BE0">
              <w:rPr>
                <w:rStyle w:val="PageNumber"/>
                <w:b/>
                <w:szCs w:val="24"/>
              </w:rPr>
              <w:t>022</w:t>
            </w:r>
          </w:p>
        </w:tc>
        <w:tc>
          <w:tcPr>
            <w:tcW w:w="3120" w:type="dxa"/>
          </w:tcPr>
          <w:p w14:paraId="703F9FD0" w14:textId="5BFAFB55" w:rsidR="00255FA1" w:rsidRPr="004C22ED" w:rsidRDefault="009D1BE0" w:rsidP="00B64373">
            <w:pPr>
              <w:spacing w:before="0" w:line="240" w:lineRule="atLeast"/>
              <w:rPr>
                <w:rFonts w:cstheme="minorHAnsi"/>
                <w:lang w:val="en-US"/>
              </w:rPr>
            </w:pPr>
            <w:bookmarkStart w:id="2" w:name="ditulogo"/>
            <w:bookmarkEnd w:id="2"/>
            <w:r>
              <w:rPr>
                <w:noProof/>
                <w:lang w:eastAsia="zh-CN"/>
              </w:rPr>
              <w:drawing>
                <wp:inline distT="0" distB="0" distL="0" distR="0" wp14:anchorId="4688C472" wp14:editId="07E517B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930E84" w14:paraId="7936D6CB" w14:textId="77777777" w:rsidTr="00B64373">
        <w:trPr>
          <w:cantSplit/>
          <w:jc w:val="center"/>
        </w:trPr>
        <w:tc>
          <w:tcPr>
            <w:tcW w:w="6911" w:type="dxa"/>
            <w:tcBorders>
              <w:bottom w:val="single" w:sz="12" w:space="0" w:color="auto"/>
            </w:tcBorders>
          </w:tcPr>
          <w:p w14:paraId="44AF3E5C" w14:textId="77777777" w:rsidR="00255FA1" w:rsidRPr="004C22ED" w:rsidRDefault="00255FA1" w:rsidP="00B64373">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11F82F2F" w14:textId="77777777" w:rsidR="00255FA1" w:rsidRPr="00930E84" w:rsidRDefault="00255FA1" w:rsidP="00B64373">
            <w:pPr>
              <w:spacing w:before="0" w:after="48" w:line="240" w:lineRule="atLeast"/>
              <w:rPr>
                <w:rFonts w:cstheme="minorHAnsi"/>
                <w:b/>
                <w:smallCaps/>
                <w:szCs w:val="24"/>
                <w:lang w:val="en-US"/>
              </w:rPr>
            </w:pPr>
          </w:p>
        </w:tc>
      </w:tr>
      <w:tr w:rsidR="00255FA1" w:rsidRPr="0002785D" w14:paraId="420A698C" w14:textId="77777777" w:rsidTr="00B64373">
        <w:trPr>
          <w:cantSplit/>
          <w:jc w:val="center"/>
        </w:trPr>
        <w:tc>
          <w:tcPr>
            <w:tcW w:w="6911" w:type="dxa"/>
            <w:tcBorders>
              <w:top w:val="single" w:sz="12" w:space="0" w:color="auto"/>
            </w:tcBorders>
          </w:tcPr>
          <w:p w14:paraId="47DB16D7" w14:textId="77777777" w:rsidR="00255FA1" w:rsidRPr="004C22ED" w:rsidRDefault="00255FA1" w:rsidP="00B64373">
            <w:pPr>
              <w:spacing w:before="0"/>
              <w:ind w:firstLine="720"/>
              <w:rPr>
                <w:rFonts w:cstheme="minorHAnsi"/>
                <w:b/>
                <w:smallCaps/>
                <w:szCs w:val="24"/>
                <w:lang w:val="en-US"/>
              </w:rPr>
            </w:pPr>
          </w:p>
        </w:tc>
        <w:tc>
          <w:tcPr>
            <w:tcW w:w="3120" w:type="dxa"/>
            <w:tcBorders>
              <w:top w:val="single" w:sz="12" w:space="0" w:color="auto"/>
            </w:tcBorders>
          </w:tcPr>
          <w:p w14:paraId="3B0821EE" w14:textId="77777777" w:rsidR="00255FA1" w:rsidRPr="004C22ED" w:rsidRDefault="00255FA1" w:rsidP="00B64373">
            <w:pPr>
              <w:spacing w:before="0"/>
              <w:rPr>
                <w:rFonts w:cstheme="minorHAnsi"/>
                <w:szCs w:val="24"/>
                <w:lang w:val="en-US"/>
              </w:rPr>
            </w:pPr>
          </w:p>
        </w:tc>
      </w:tr>
      <w:tr w:rsidR="00255FA1" w:rsidRPr="0002785D" w14:paraId="6E5D99D3" w14:textId="77777777" w:rsidTr="00B64373">
        <w:trPr>
          <w:cantSplit/>
          <w:jc w:val="center"/>
        </w:trPr>
        <w:tc>
          <w:tcPr>
            <w:tcW w:w="6911" w:type="dxa"/>
          </w:tcPr>
          <w:p w14:paraId="248001A5" w14:textId="6D21E375" w:rsidR="00255FA1" w:rsidRPr="004C22ED" w:rsidRDefault="009A443B" w:rsidP="00B64373">
            <w:pPr>
              <w:pStyle w:val="Committee"/>
              <w:framePr w:hSpace="0" w:wrap="auto" w:hAnchor="text" w:yAlign="inline"/>
              <w:spacing w:after="0" w:line="240" w:lineRule="auto"/>
            </w:pPr>
            <w:r>
              <w:t>SESIÓN PLENARIA</w:t>
            </w:r>
          </w:p>
        </w:tc>
        <w:tc>
          <w:tcPr>
            <w:tcW w:w="3120" w:type="dxa"/>
          </w:tcPr>
          <w:p w14:paraId="5DCBCBFD" w14:textId="515B6C45" w:rsidR="00255FA1" w:rsidRPr="00316B0C" w:rsidRDefault="009A443B" w:rsidP="00B64373">
            <w:pPr>
              <w:spacing w:before="0"/>
              <w:rPr>
                <w:rFonts w:cstheme="minorHAnsi"/>
                <w:szCs w:val="24"/>
                <w:lang w:val="es-ES"/>
              </w:rPr>
            </w:pPr>
            <w:r w:rsidRPr="00316B0C">
              <w:rPr>
                <w:rFonts w:cstheme="minorHAnsi"/>
                <w:b/>
                <w:szCs w:val="24"/>
                <w:lang w:val="es-ES"/>
              </w:rPr>
              <w:t xml:space="preserve">Documento </w:t>
            </w:r>
            <w:r w:rsidR="000D401F" w:rsidRPr="00316B0C">
              <w:rPr>
                <w:rFonts w:cstheme="minorHAnsi"/>
                <w:b/>
                <w:szCs w:val="24"/>
                <w:lang w:val="es-ES"/>
              </w:rPr>
              <w:t>206</w:t>
            </w:r>
            <w:r w:rsidRPr="00316B0C">
              <w:rPr>
                <w:rFonts w:cstheme="minorHAnsi"/>
                <w:b/>
                <w:szCs w:val="24"/>
                <w:lang w:val="es-ES"/>
              </w:rPr>
              <w:t>-S</w:t>
            </w:r>
          </w:p>
        </w:tc>
      </w:tr>
      <w:tr w:rsidR="00255FA1" w:rsidRPr="0002785D" w14:paraId="483D078B" w14:textId="77777777" w:rsidTr="00B64373">
        <w:trPr>
          <w:cantSplit/>
          <w:jc w:val="center"/>
        </w:trPr>
        <w:tc>
          <w:tcPr>
            <w:tcW w:w="6911" w:type="dxa"/>
          </w:tcPr>
          <w:p w14:paraId="17E32998" w14:textId="03E0A90A" w:rsidR="00255FA1" w:rsidRPr="00BF5475" w:rsidRDefault="00255FA1" w:rsidP="00B64373">
            <w:pPr>
              <w:spacing w:before="0"/>
              <w:rPr>
                <w:rFonts w:cstheme="minorHAnsi"/>
                <w:b/>
                <w:szCs w:val="24"/>
                <w:lang w:val="en-US"/>
              </w:rPr>
            </w:pPr>
          </w:p>
        </w:tc>
        <w:tc>
          <w:tcPr>
            <w:tcW w:w="3120" w:type="dxa"/>
          </w:tcPr>
          <w:p w14:paraId="00BF5C1A" w14:textId="386C9EED" w:rsidR="00255FA1" w:rsidRPr="00316B0C" w:rsidRDefault="000D401F" w:rsidP="00B64373">
            <w:pPr>
              <w:spacing w:before="0"/>
              <w:rPr>
                <w:rFonts w:cstheme="minorHAnsi"/>
                <w:b/>
                <w:szCs w:val="24"/>
                <w:lang w:val="es-ES"/>
              </w:rPr>
            </w:pPr>
            <w:r w:rsidRPr="00316B0C">
              <w:rPr>
                <w:rStyle w:val="PageNumber"/>
                <w:b/>
                <w:szCs w:val="24"/>
                <w:lang w:val="es-ES"/>
              </w:rPr>
              <w:t>26</w:t>
            </w:r>
            <w:r w:rsidR="009A443B" w:rsidRPr="00316B0C">
              <w:rPr>
                <w:rStyle w:val="PageNumber"/>
                <w:b/>
                <w:szCs w:val="24"/>
                <w:lang w:val="es-ES"/>
              </w:rPr>
              <w:t xml:space="preserve"> de </w:t>
            </w:r>
            <w:r w:rsidRPr="00316B0C">
              <w:rPr>
                <w:rStyle w:val="PageNumber"/>
                <w:b/>
                <w:szCs w:val="24"/>
                <w:lang w:val="es-ES"/>
              </w:rPr>
              <w:t>octubre</w:t>
            </w:r>
            <w:r w:rsidR="009A443B" w:rsidRPr="00316B0C">
              <w:rPr>
                <w:rStyle w:val="PageNumber"/>
                <w:b/>
                <w:szCs w:val="24"/>
                <w:lang w:val="es-ES"/>
              </w:rPr>
              <w:t xml:space="preserve"> </w:t>
            </w:r>
            <w:r w:rsidR="009A443B" w:rsidRPr="00316B0C">
              <w:rPr>
                <w:rFonts w:cstheme="minorHAnsi"/>
                <w:b/>
                <w:szCs w:val="24"/>
                <w:lang w:val="es-ES"/>
              </w:rPr>
              <w:t>de 202</w:t>
            </w:r>
            <w:r w:rsidRPr="00316B0C">
              <w:rPr>
                <w:rFonts w:cstheme="minorHAnsi"/>
                <w:b/>
                <w:szCs w:val="24"/>
                <w:lang w:val="es-ES"/>
              </w:rPr>
              <w:t>2</w:t>
            </w:r>
          </w:p>
        </w:tc>
      </w:tr>
      <w:tr w:rsidR="00255FA1" w:rsidRPr="0002785D" w14:paraId="7EE17784" w14:textId="77777777" w:rsidTr="00B64373">
        <w:trPr>
          <w:cantSplit/>
          <w:jc w:val="center"/>
        </w:trPr>
        <w:tc>
          <w:tcPr>
            <w:tcW w:w="6911" w:type="dxa"/>
          </w:tcPr>
          <w:p w14:paraId="68573EE1" w14:textId="77777777" w:rsidR="00255FA1" w:rsidRPr="004C22ED" w:rsidRDefault="00255FA1" w:rsidP="00B64373">
            <w:pPr>
              <w:spacing w:before="0"/>
              <w:rPr>
                <w:rFonts w:cstheme="minorHAnsi"/>
                <w:b/>
                <w:smallCaps/>
                <w:szCs w:val="24"/>
                <w:lang w:val="en-US"/>
              </w:rPr>
            </w:pPr>
          </w:p>
        </w:tc>
        <w:tc>
          <w:tcPr>
            <w:tcW w:w="3120" w:type="dxa"/>
          </w:tcPr>
          <w:p w14:paraId="76142BCE" w14:textId="3C72C0F4" w:rsidR="00255FA1" w:rsidRPr="00316B0C" w:rsidRDefault="009A443B" w:rsidP="00B64373">
            <w:pPr>
              <w:spacing w:before="0"/>
              <w:rPr>
                <w:rFonts w:cstheme="minorHAnsi"/>
                <w:b/>
                <w:szCs w:val="24"/>
                <w:lang w:val="es-ES"/>
              </w:rPr>
            </w:pPr>
            <w:r w:rsidRPr="00316B0C">
              <w:rPr>
                <w:rFonts w:cstheme="minorHAnsi"/>
                <w:b/>
                <w:szCs w:val="24"/>
                <w:lang w:val="es-ES"/>
              </w:rPr>
              <w:t>Original: inglés</w:t>
            </w:r>
          </w:p>
        </w:tc>
      </w:tr>
      <w:tr w:rsidR="00255FA1" w:rsidRPr="0002785D" w14:paraId="3075E850" w14:textId="77777777" w:rsidTr="00B64373">
        <w:trPr>
          <w:cantSplit/>
          <w:jc w:val="center"/>
        </w:trPr>
        <w:tc>
          <w:tcPr>
            <w:tcW w:w="10031" w:type="dxa"/>
            <w:gridSpan w:val="2"/>
          </w:tcPr>
          <w:p w14:paraId="2AB3028F" w14:textId="77777777" w:rsidR="00255FA1" w:rsidRPr="004C22ED" w:rsidRDefault="00255FA1" w:rsidP="00B64373">
            <w:pPr>
              <w:spacing w:before="0" w:line="240" w:lineRule="atLeast"/>
              <w:rPr>
                <w:rFonts w:cstheme="minorHAnsi"/>
                <w:b/>
                <w:szCs w:val="24"/>
                <w:lang w:val="en-US"/>
              </w:rPr>
            </w:pPr>
          </w:p>
        </w:tc>
      </w:tr>
      <w:tr w:rsidR="00255FA1" w:rsidRPr="0002785D" w14:paraId="6C060127" w14:textId="77777777" w:rsidTr="00B64373">
        <w:trPr>
          <w:cantSplit/>
          <w:jc w:val="center"/>
        </w:trPr>
        <w:tc>
          <w:tcPr>
            <w:tcW w:w="10031" w:type="dxa"/>
            <w:gridSpan w:val="2"/>
          </w:tcPr>
          <w:p w14:paraId="7663BA11" w14:textId="77777777" w:rsidR="000D401F" w:rsidRPr="000D401F" w:rsidRDefault="000D401F" w:rsidP="00A75E8D">
            <w:pPr>
              <w:pStyle w:val="Title1"/>
              <w:spacing w:before="480"/>
              <w:rPr>
                <w:lang w:val="es-ES"/>
              </w:rPr>
            </w:pPr>
            <w:bookmarkStart w:id="4" w:name="dtitle1" w:colFirst="0" w:colLast="0"/>
            <w:bookmarkEnd w:id="3"/>
            <w:r w:rsidRPr="000D401F">
              <w:rPr>
                <w:lang w:val="es-ES"/>
              </w:rPr>
              <w:t>ACTAS</w:t>
            </w:r>
          </w:p>
          <w:p w14:paraId="6AE62305" w14:textId="77777777" w:rsidR="000D401F" w:rsidRPr="000D401F" w:rsidRDefault="000D401F" w:rsidP="000D401F">
            <w:pPr>
              <w:pStyle w:val="Title1"/>
              <w:rPr>
                <w:lang w:val="es-ES"/>
              </w:rPr>
            </w:pPr>
            <w:r w:rsidRPr="000D401F">
              <w:rPr>
                <w:lang w:val="es-ES"/>
              </w:rPr>
              <w:t>DE LA</w:t>
            </w:r>
          </w:p>
          <w:p w14:paraId="0A048F9C" w14:textId="19DA78F8" w:rsidR="00255FA1" w:rsidRPr="000D401F" w:rsidRDefault="000D401F" w:rsidP="000D401F">
            <w:pPr>
              <w:pStyle w:val="Title1"/>
              <w:rPr>
                <w:lang w:val="es-ES"/>
              </w:rPr>
            </w:pPr>
            <w:r w:rsidRPr="000D401F">
              <w:rPr>
                <w:lang w:val="es-ES"/>
              </w:rPr>
              <w:t>DECIMOSEXTA SESIÓN PLENARIA</w:t>
            </w:r>
          </w:p>
        </w:tc>
      </w:tr>
      <w:tr w:rsidR="00255FA1" w:rsidRPr="0002785D" w14:paraId="3730209C" w14:textId="77777777" w:rsidTr="00B64373">
        <w:trPr>
          <w:cantSplit/>
          <w:jc w:val="center"/>
        </w:trPr>
        <w:tc>
          <w:tcPr>
            <w:tcW w:w="10031" w:type="dxa"/>
            <w:gridSpan w:val="2"/>
          </w:tcPr>
          <w:p w14:paraId="3D6718D3" w14:textId="08C0EBC5" w:rsidR="00255FA1" w:rsidRPr="000D401F" w:rsidRDefault="00805D57" w:rsidP="00C040B3">
            <w:pPr>
              <w:spacing w:before="240"/>
              <w:jc w:val="center"/>
              <w:rPr>
                <w:lang w:val="es-ES"/>
              </w:rPr>
            </w:pPr>
            <w:bookmarkStart w:id="5" w:name="dtitle2" w:colFirst="0" w:colLast="0"/>
            <w:bookmarkEnd w:id="4"/>
            <w:r w:rsidRPr="000D401F">
              <w:rPr>
                <w:lang w:val="es-ES"/>
              </w:rPr>
              <w:t>Jueves</w:t>
            </w:r>
            <w:r w:rsidR="000D401F" w:rsidRPr="000D401F">
              <w:rPr>
                <w:lang w:val="es-ES"/>
              </w:rPr>
              <w:t>, 1</w:t>
            </w:r>
            <w:r w:rsidR="00316B0C">
              <w:rPr>
                <w:lang w:val="es-ES"/>
              </w:rPr>
              <w:t>3</w:t>
            </w:r>
            <w:r w:rsidR="000D401F" w:rsidRPr="000D401F">
              <w:rPr>
                <w:lang w:val="es-ES"/>
              </w:rPr>
              <w:t xml:space="preserve"> </w:t>
            </w:r>
            <w:r w:rsidRPr="000D401F">
              <w:rPr>
                <w:lang w:val="es-ES"/>
              </w:rPr>
              <w:t xml:space="preserve">de octubre de </w:t>
            </w:r>
            <w:r w:rsidR="000D401F" w:rsidRPr="000D401F">
              <w:rPr>
                <w:lang w:val="es-ES"/>
              </w:rPr>
              <w:t xml:space="preserve">2022 </w:t>
            </w:r>
            <w:r w:rsidRPr="000D401F">
              <w:rPr>
                <w:lang w:val="es-ES"/>
              </w:rPr>
              <w:t xml:space="preserve">a las </w:t>
            </w:r>
            <w:r w:rsidR="000D401F" w:rsidRPr="000D401F">
              <w:rPr>
                <w:lang w:val="es-ES"/>
              </w:rPr>
              <w:t xml:space="preserve">09.40 </w:t>
            </w:r>
            <w:r w:rsidRPr="000D401F">
              <w:rPr>
                <w:lang w:val="es-ES"/>
              </w:rPr>
              <w:t>horas</w:t>
            </w:r>
          </w:p>
        </w:tc>
      </w:tr>
      <w:tr w:rsidR="00255FA1" w14:paraId="1029F4FC" w14:textId="77777777" w:rsidTr="00B64373">
        <w:trPr>
          <w:cantSplit/>
          <w:jc w:val="center"/>
        </w:trPr>
        <w:tc>
          <w:tcPr>
            <w:tcW w:w="10031" w:type="dxa"/>
            <w:gridSpan w:val="2"/>
          </w:tcPr>
          <w:p w14:paraId="4C5FBEDD" w14:textId="295AED76" w:rsidR="00255FA1" w:rsidRDefault="000D401F" w:rsidP="00316B0C">
            <w:pPr>
              <w:jc w:val="center"/>
            </w:pPr>
            <w:bookmarkStart w:id="6" w:name="dtitle3" w:colFirst="0" w:colLast="0"/>
            <w:bookmarkEnd w:id="5"/>
            <w:r w:rsidRPr="00805D57">
              <w:rPr>
                <w:b/>
                <w:bCs/>
              </w:rPr>
              <w:t>Presidente</w:t>
            </w:r>
            <w:r w:rsidRPr="000D401F">
              <w:t>: Sr. Sabin Sărmaș (Rumania)</w:t>
            </w:r>
          </w:p>
        </w:tc>
      </w:tr>
      <w:bookmarkEnd w:id="6"/>
    </w:tbl>
    <w:p w14:paraId="34A83313" w14:textId="77777777" w:rsidR="00504FD4" w:rsidRPr="000D401F" w:rsidRDefault="00504FD4" w:rsidP="00930E84">
      <w:pPr>
        <w:rPr>
          <w:lang w:val="es-ES"/>
        </w:rPr>
      </w:pPr>
    </w:p>
    <w:tbl>
      <w:tblPr>
        <w:tblW w:w="10030" w:type="dxa"/>
        <w:jc w:val="center"/>
        <w:tblLayout w:type="fixed"/>
        <w:tblLook w:val="0000" w:firstRow="0" w:lastRow="0" w:firstColumn="0" w:lastColumn="0" w:noHBand="0" w:noVBand="0"/>
      </w:tblPr>
      <w:tblGrid>
        <w:gridCol w:w="542"/>
        <w:gridCol w:w="7861"/>
        <w:gridCol w:w="1627"/>
      </w:tblGrid>
      <w:tr w:rsidR="000D401F" w:rsidRPr="000D401F" w14:paraId="2C0E8604" w14:textId="77777777" w:rsidTr="00237C32">
        <w:trPr>
          <w:tblHeader/>
          <w:jc w:val="center"/>
        </w:trPr>
        <w:tc>
          <w:tcPr>
            <w:tcW w:w="521" w:type="dxa"/>
          </w:tcPr>
          <w:p w14:paraId="1909FA9D" w14:textId="77777777" w:rsidR="000D401F" w:rsidRPr="00237C32" w:rsidRDefault="000D401F" w:rsidP="000D401F">
            <w:pPr>
              <w:rPr>
                <w:b/>
                <w:lang w:val="es-ES"/>
              </w:rPr>
            </w:pPr>
          </w:p>
        </w:tc>
        <w:tc>
          <w:tcPr>
            <w:tcW w:w="7559" w:type="dxa"/>
          </w:tcPr>
          <w:p w14:paraId="2EE0204B" w14:textId="77777777" w:rsidR="000D401F" w:rsidRPr="000D401F" w:rsidRDefault="000D401F" w:rsidP="000D401F">
            <w:pPr>
              <w:rPr>
                <w:b/>
                <w:lang w:val="en-GB"/>
              </w:rPr>
            </w:pPr>
            <w:r w:rsidRPr="000D401F">
              <w:rPr>
                <w:b/>
                <w:bCs/>
                <w:lang w:val="es-ES"/>
              </w:rPr>
              <w:t>Asuntos tratados</w:t>
            </w:r>
          </w:p>
        </w:tc>
        <w:tc>
          <w:tcPr>
            <w:tcW w:w="1565" w:type="dxa"/>
          </w:tcPr>
          <w:p w14:paraId="6743B89E" w14:textId="77777777" w:rsidR="000D401F" w:rsidRPr="000D401F" w:rsidRDefault="000D401F" w:rsidP="00805D57">
            <w:pPr>
              <w:jc w:val="center"/>
              <w:rPr>
                <w:b/>
                <w:lang w:val="en-GB"/>
              </w:rPr>
            </w:pPr>
            <w:r w:rsidRPr="000D401F">
              <w:rPr>
                <w:b/>
                <w:bCs/>
                <w:lang w:val="es-ES"/>
              </w:rPr>
              <w:t>Documentos</w:t>
            </w:r>
          </w:p>
        </w:tc>
      </w:tr>
      <w:tr w:rsidR="000D401F" w:rsidRPr="000D401F" w14:paraId="464B200E" w14:textId="77777777" w:rsidTr="00237C32">
        <w:trPr>
          <w:jc w:val="center"/>
        </w:trPr>
        <w:tc>
          <w:tcPr>
            <w:tcW w:w="521" w:type="dxa"/>
          </w:tcPr>
          <w:p w14:paraId="443805F2" w14:textId="77777777" w:rsidR="000D401F" w:rsidRPr="000D401F" w:rsidRDefault="000D401F" w:rsidP="000D401F">
            <w:pPr>
              <w:rPr>
                <w:lang w:val="en-GB"/>
              </w:rPr>
            </w:pPr>
            <w:r w:rsidRPr="000D401F">
              <w:rPr>
                <w:lang w:val="es-ES"/>
              </w:rPr>
              <w:t>1</w:t>
            </w:r>
          </w:p>
        </w:tc>
        <w:tc>
          <w:tcPr>
            <w:tcW w:w="7559" w:type="dxa"/>
          </w:tcPr>
          <w:p w14:paraId="3448DB1F" w14:textId="77777777" w:rsidR="000D401F" w:rsidRPr="000D401F" w:rsidRDefault="000D401F" w:rsidP="000D401F">
            <w:pPr>
              <w:rPr>
                <w:lang w:val="es-ES"/>
              </w:rPr>
            </w:pPr>
            <w:r w:rsidRPr="000D401F">
              <w:rPr>
                <w:lang w:val="es-ES"/>
              </w:rPr>
              <w:t>Informe del Presidente del Grupo de Trabajo de la Plenaria</w:t>
            </w:r>
          </w:p>
        </w:tc>
        <w:tc>
          <w:tcPr>
            <w:tcW w:w="1565" w:type="dxa"/>
          </w:tcPr>
          <w:p w14:paraId="6A0B15AB" w14:textId="250ACD48" w:rsidR="000D401F" w:rsidRPr="000D401F" w:rsidRDefault="007D39C0" w:rsidP="00805D57">
            <w:pPr>
              <w:jc w:val="center"/>
              <w:rPr>
                <w:lang w:val="en-GB"/>
              </w:rPr>
            </w:pPr>
            <w:hyperlink r:id="rId10" w:history="1">
              <w:r w:rsidR="000D401F" w:rsidRPr="000D401F">
                <w:rPr>
                  <w:rStyle w:val="Hyperlink"/>
                  <w:lang w:val="en-GB"/>
                </w:rPr>
                <w:t>188(Rev.1)</w:t>
              </w:r>
            </w:hyperlink>
          </w:p>
        </w:tc>
      </w:tr>
      <w:tr w:rsidR="000D401F" w:rsidRPr="000D401F" w14:paraId="67F780A0" w14:textId="77777777" w:rsidTr="00237C32">
        <w:trPr>
          <w:jc w:val="center"/>
        </w:trPr>
        <w:tc>
          <w:tcPr>
            <w:tcW w:w="521" w:type="dxa"/>
          </w:tcPr>
          <w:p w14:paraId="4B19983F" w14:textId="77777777" w:rsidR="000D401F" w:rsidRPr="000D401F" w:rsidRDefault="000D401F" w:rsidP="000D401F">
            <w:pPr>
              <w:rPr>
                <w:lang w:val="en-GB"/>
              </w:rPr>
            </w:pPr>
            <w:r w:rsidRPr="000D401F">
              <w:rPr>
                <w:lang w:val="es-ES"/>
              </w:rPr>
              <w:t>2</w:t>
            </w:r>
          </w:p>
        </w:tc>
        <w:tc>
          <w:tcPr>
            <w:tcW w:w="7559" w:type="dxa"/>
          </w:tcPr>
          <w:p w14:paraId="2FF27697" w14:textId="2D3EB9EA" w:rsidR="000D401F" w:rsidRPr="000D401F" w:rsidRDefault="00810AD3" w:rsidP="000D401F">
            <w:pPr>
              <w:rPr>
                <w:lang w:val="es-ES"/>
              </w:rPr>
            </w:pPr>
            <w:r>
              <w:rPr>
                <w:lang w:val="es-ES"/>
              </w:rPr>
              <w:t>Informe</w:t>
            </w:r>
            <w:r w:rsidR="000D401F" w:rsidRPr="000D401F">
              <w:rPr>
                <w:lang w:val="es-ES"/>
              </w:rPr>
              <w:t xml:space="preserve"> de</w:t>
            </w:r>
            <w:r>
              <w:rPr>
                <w:lang w:val="es-ES"/>
              </w:rPr>
              <w:t xml:space="preserve"> </w:t>
            </w:r>
            <w:r w:rsidR="000D401F" w:rsidRPr="000D401F">
              <w:rPr>
                <w:lang w:val="es-ES"/>
              </w:rPr>
              <w:t>l</w:t>
            </w:r>
            <w:r>
              <w:rPr>
                <w:lang w:val="es-ES"/>
              </w:rPr>
              <w:t>a</w:t>
            </w:r>
            <w:r w:rsidR="000D401F" w:rsidRPr="000D401F">
              <w:rPr>
                <w:lang w:val="es-ES"/>
              </w:rPr>
              <w:t xml:space="preserve"> President</w:t>
            </w:r>
            <w:r>
              <w:rPr>
                <w:lang w:val="es-ES"/>
              </w:rPr>
              <w:t>a</w:t>
            </w:r>
            <w:r w:rsidR="000D401F" w:rsidRPr="000D401F">
              <w:rPr>
                <w:lang w:val="es-ES"/>
              </w:rPr>
              <w:t xml:space="preserve"> de la Comisión 6</w:t>
            </w:r>
          </w:p>
        </w:tc>
        <w:tc>
          <w:tcPr>
            <w:tcW w:w="1565" w:type="dxa"/>
          </w:tcPr>
          <w:p w14:paraId="03BC4032" w14:textId="69BE8CB1" w:rsidR="000D401F" w:rsidRPr="000D401F" w:rsidRDefault="007D39C0" w:rsidP="00805D57">
            <w:pPr>
              <w:jc w:val="center"/>
              <w:rPr>
                <w:lang w:val="en-GB"/>
              </w:rPr>
            </w:pPr>
            <w:hyperlink r:id="rId11" w:history="1">
              <w:r w:rsidR="000D401F" w:rsidRPr="000D401F">
                <w:rPr>
                  <w:rStyle w:val="Hyperlink"/>
                  <w:lang w:val="en-GB"/>
                </w:rPr>
                <w:t>157</w:t>
              </w:r>
            </w:hyperlink>
          </w:p>
        </w:tc>
      </w:tr>
      <w:tr w:rsidR="000D401F" w:rsidRPr="000D401F" w14:paraId="24395364" w14:textId="77777777" w:rsidTr="00237C32">
        <w:trPr>
          <w:jc w:val="center"/>
        </w:trPr>
        <w:tc>
          <w:tcPr>
            <w:tcW w:w="521" w:type="dxa"/>
          </w:tcPr>
          <w:p w14:paraId="1D0E5863" w14:textId="77777777" w:rsidR="000D401F" w:rsidRPr="000D401F" w:rsidRDefault="000D401F" w:rsidP="000D401F">
            <w:pPr>
              <w:rPr>
                <w:lang w:val="en-GB"/>
              </w:rPr>
            </w:pPr>
            <w:r w:rsidRPr="000D401F">
              <w:rPr>
                <w:lang w:val="es-ES"/>
              </w:rPr>
              <w:t>3</w:t>
            </w:r>
          </w:p>
        </w:tc>
        <w:tc>
          <w:tcPr>
            <w:tcW w:w="7559" w:type="dxa"/>
          </w:tcPr>
          <w:p w14:paraId="4A6194C6" w14:textId="6F83C79C" w:rsidR="000D401F" w:rsidRPr="000D401F" w:rsidRDefault="000D401F" w:rsidP="000D401F">
            <w:pPr>
              <w:rPr>
                <w:lang w:val="es-ES"/>
              </w:rPr>
            </w:pPr>
            <w:r w:rsidRPr="000D401F">
              <w:rPr>
                <w:lang w:val="es-ES"/>
              </w:rPr>
              <w:t>Informe de</w:t>
            </w:r>
            <w:r w:rsidR="00480F81">
              <w:rPr>
                <w:lang w:val="es-ES"/>
              </w:rPr>
              <w:t xml:space="preserve"> </w:t>
            </w:r>
            <w:r w:rsidRPr="000D401F">
              <w:rPr>
                <w:lang w:val="es-ES"/>
              </w:rPr>
              <w:t>l</w:t>
            </w:r>
            <w:r w:rsidR="00480F81">
              <w:rPr>
                <w:lang w:val="es-ES"/>
              </w:rPr>
              <w:t>a</w:t>
            </w:r>
            <w:r w:rsidRPr="000D401F">
              <w:rPr>
                <w:lang w:val="es-ES"/>
              </w:rPr>
              <w:t xml:space="preserve"> President</w:t>
            </w:r>
            <w:r w:rsidR="00480F81">
              <w:rPr>
                <w:lang w:val="es-ES"/>
              </w:rPr>
              <w:t>a</w:t>
            </w:r>
            <w:r w:rsidRPr="000D401F">
              <w:rPr>
                <w:lang w:val="es-ES"/>
              </w:rPr>
              <w:t xml:space="preserve"> de la Comisión 5</w:t>
            </w:r>
          </w:p>
        </w:tc>
        <w:tc>
          <w:tcPr>
            <w:tcW w:w="1565" w:type="dxa"/>
          </w:tcPr>
          <w:p w14:paraId="1C953C5C" w14:textId="34B1ADAA" w:rsidR="000D401F" w:rsidRPr="000D401F" w:rsidRDefault="007D39C0" w:rsidP="00805D57">
            <w:pPr>
              <w:jc w:val="center"/>
              <w:rPr>
                <w:lang w:val="en-GB"/>
              </w:rPr>
            </w:pPr>
            <w:hyperlink r:id="rId12" w:history="1">
              <w:r w:rsidR="000D401F" w:rsidRPr="000D401F">
                <w:rPr>
                  <w:rStyle w:val="Hyperlink"/>
                  <w:lang w:val="en-GB"/>
                </w:rPr>
                <w:t>189</w:t>
              </w:r>
            </w:hyperlink>
          </w:p>
        </w:tc>
      </w:tr>
      <w:tr w:rsidR="000D401F" w:rsidRPr="000D401F" w14:paraId="7F232421" w14:textId="77777777" w:rsidTr="00237C32">
        <w:trPr>
          <w:jc w:val="center"/>
        </w:trPr>
        <w:tc>
          <w:tcPr>
            <w:tcW w:w="521" w:type="dxa"/>
          </w:tcPr>
          <w:p w14:paraId="4640DF1F" w14:textId="77777777" w:rsidR="000D401F" w:rsidRPr="000D401F" w:rsidRDefault="000D401F" w:rsidP="000D401F">
            <w:pPr>
              <w:rPr>
                <w:lang w:val="en-GB"/>
              </w:rPr>
            </w:pPr>
            <w:r w:rsidRPr="000D401F">
              <w:rPr>
                <w:lang w:val="es-ES"/>
              </w:rPr>
              <w:t>4</w:t>
            </w:r>
          </w:p>
        </w:tc>
        <w:tc>
          <w:tcPr>
            <w:tcW w:w="7559" w:type="dxa"/>
          </w:tcPr>
          <w:p w14:paraId="41BC8027" w14:textId="77777777" w:rsidR="000D401F" w:rsidRPr="000D401F" w:rsidRDefault="000D401F" w:rsidP="000D401F">
            <w:pPr>
              <w:tabs>
                <w:tab w:val="clear" w:pos="851"/>
              </w:tabs>
              <w:rPr>
                <w:lang w:val="es-ES"/>
              </w:rPr>
            </w:pPr>
            <w:r w:rsidRPr="000D401F">
              <w:rPr>
                <w:lang w:val="es-ES"/>
              </w:rPr>
              <w:t>Presentación a los Presidentes de las Comisiones</w:t>
            </w:r>
          </w:p>
        </w:tc>
        <w:tc>
          <w:tcPr>
            <w:tcW w:w="1565" w:type="dxa"/>
          </w:tcPr>
          <w:p w14:paraId="778D347A" w14:textId="77777777" w:rsidR="000D401F" w:rsidRPr="000D401F" w:rsidRDefault="000D401F" w:rsidP="00805D57">
            <w:pPr>
              <w:jc w:val="center"/>
              <w:rPr>
                <w:lang w:val="en-GB"/>
              </w:rPr>
            </w:pPr>
            <w:r w:rsidRPr="000D401F">
              <w:rPr>
                <w:lang w:val="en-GB"/>
              </w:rPr>
              <w:t>–</w:t>
            </w:r>
          </w:p>
        </w:tc>
      </w:tr>
      <w:tr w:rsidR="000D401F" w:rsidRPr="000D401F" w14:paraId="01EA29DF" w14:textId="77777777" w:rsidTr="00237C32">
        <w:trPr>
          <w:jc w:val="center"/>
        </w:trPr>
        <w:tc>
          <w:tcPr>
            <w:tcW w:w="521" w:type="dxa"/>
          </w:tcPr>
          <w:p w14:paraId="022DF0EA" w14:textId="77777777" w:rsidR="000D401F" w:rsidRPr="000D401F" w:rsidRDefault="000D401F" w:rsidP="000D401F">
            <w:pPr>
              <w:rPr>
                <w:lang w:val="en-GB"/>
              </w:rPr>
            </w:pPr>
            <w:r w:rsidRPr="000D401F">
              <w:rPr>
                <w:lang w:val="es-ES"/>
              </w:rPr>
              <w:t>5</w:t>
            </w:r>
          </w:p>
        </w:tc>
        <w:tc>
          <w:tcPr>
            <w:tcW w:w="7559" w:type="dxa"/>
          </w:tcPr>
          <w:p w14:paraId="377FFC47" w14:textId="77777777" w:rsidR="000D401F" w:rsidRPr="000D401F" w:rsidRDefault="000D401F" w:rsidP="000D401F">
            <w:pPr>
              <w:rPr>
                <w:lang w:val="es-ES"/>
              </w:rPr>
            </w:pPr>
            <w:r w:rsidRPr="000D401F">
              <w:rPr>
                <w:lang w:val="es-ES"/>
              </w:rPr>
              <w:t>Vigésima tercera serie de textos sometidos por la Comisión de Redacción en primera lectura (B23)</w:t>
            </w:r>
          </w:p>
        </w:tc>
        <w:tc>
          <w:tcPr>
            <w:tcW w:w="1565" w:type="dxa"/>
          </w:tcPr>
          <w:p w14:paraId="43FDFD45" w14:textId="0DBCD424" w:rsidR="000D401F" w:rsidRPr="000D401F" w:rsidRDefault="007D39C0" w:rsidP="00805D57">
            <w:pPr>
              <w:jc w:val="center"/>
              <w:rPr>
                <w:lang w:val="en-GB"/>
              </w:rPr>
            </w:pPr>
            <w:hyperlink r:id="rId13" w:history="1">
              <w:r w:rsidR="000D401F" w:rsidRPr="000D401F">
                <w:rPr>
                  <w:rStyle w:val="Hyperlink"/>
                  <w:lang w:val="en-GB"/>
                </w:rPr>
                <w:t>193</w:t>
              </w:r>
            </w:hyperlink>
          </w:p>
        </w:tc>
      </w:tr>
      <w:tr w:rsidR="000D401F" w:rsidRPr="000D401F" w14:paraId="592576FF" w14:textId="77777777" w:rsidTr="00237C32">
        <w:trPr>
          <w:jc w:val="center"/>
        </w:trPr>
        <w:tc>
          <w:tcPr>
            <w:tcW w:w="521" w:type="dxa"/>
          </w:tcPr>
          <w:p w14:paraId="0F54EF69" w14:textId="77777777" w:rsidR="000D401F" w:rsidRPr="000D401F" w:rsidRDefault="000D401F" w:rsidP="000D401F">
            <w:pPr>
              <w:rPr>
                <w:lang w:val="en-GB"/>
              </w:rPr>
            </w:pPr>
            <w:r w:rsidRPr="000D401F">
              <w:rPr>
                <w:lang w:val="es-ES"/>
              </w:rPr>
              <w:t>6</w:t>
            </w:r>
          </w:p>
        </w:tc>
        <w:tc>
          <w:tcPr>
            <w:tcW w:w="7559" w:type="dxa"/>
          </w:tcPr>
          <w:p w14:paraId="487146BE" w14:textId="77777777" w:rsidR="000D401F" w:rsidRPr="000D401F" w:rsidRDefault="000D401F" w:rsidP="000D401F">
            <w:pPr>
              <w:rPr>
                <w:lang w:val="es-ES"/>
              </w:rPr>
            </w:pPr>
            <w:r w:rsidRPr="000D401F">
              <w:rPr>
                <w:lang w:val="es-ES"/>
              </w:rPr>
              <w:t>Vigésima tercera serie de textos sometidos por la Comisión de Redacción – segunda lectura</w:t>
            </w:r>
          </w:p>
        </w:tc>
        <w:tc>
          <w:tcPr>
            <w:tcW w:w="1565" w:type="dxa"/>
          </w:tcPr>
          <w:p w14:paraId="3CB3CF53" w14:textId="77777777" w:rsidR="000D401F" w:rsidRPr="000D401F" w:rsidRDefault="000D401F" w:rsidP="00805D57">
            <w:pPr>
              <w:jc w:val="center"/>
              <w:rPr>
                <w:lang w:val="en-GB"/>
              </w:rPr>
            </w:pPr>
            <w:r w:rsidRPr="000D401F">
              <w:rPr>
                <w:lang w:val="es-ES"/>
              </w:rPr>
              <w:t>193</w:t>
            </w:r>
          </w:p>
        </w:tc>
      </w:tr>
      <w:tr w:rsidR="000D401F" w:rsidRPr="000D401F" w14:paraId="59B63E8B" w14:textId="77777777" w:rsidTr="00237C32">
        <w:trPr>
          <w:jc w:val="center"/>
        </w:trPr>
        <w:tc>
          <w:tcPr>
            <w:tcW w:w="521" w:type="dxa"/>
          </w:tcPr>
          <w:p w14:paraId="0D52F84B" w14:textId="77777777" w:rsidR="000D401F" w:rsidRPr="000D401F" w:rsidRDefault="000D401F" w:rsidP="000D401F">
            <w:pPr>
              <w:rPr>
                <w:lang w:val="en-GB"/>
              </w:rPr>
            </w:pPr>
            <w:r w:rsidRPr="000D401F">
              <w:rPr>
                <w:lang w:val="es-ES"/>
              </w:rPr>
              <w:t>7</w:t>
            </w:r>
          </w:p>
        </w:tc>
        <w:tc>
          <w:tcPr>
            <w:tcW w:w="7559" w:type="dxa"/>
          </w:tcPr>
          <w:p w14:paraId="430C1F0D" w14:textId="77777777" w:rsidR="000D401F" w:rsidRPr="000D401F" w:rsidRDefault="000D401F" w:rsidP="000D401F">
            <w:pPr>
              <w:rPr>
                <w:lang w:val="es-ES"/>
              </w:rPr>
            </w:pPr>
            <w:r w:rsidRPr="000D401F">
              <w:rPr>
                <w:lang w:val="es-ES"/>
              </w:rPr>
              <w:t>Vigésima cuarta serie de textos sometidos por la Comisión de Redacción en primera lectura (B24)</w:t>
            </w:r>
          </w:p>
        </w:tc>
        <w:tc>
          <w:tcPr>
            <w:tcW w:w="1565" w:type="dxa"/>
          </w:tcPr>
          <w:p w14:paraId="43100C57" w14:textId="04882898" w:rsidR="000D401F" w:rsidRPr="000D401F" w:rsidRDefault="007D39C0" w:rsidP="00805D57">
            <w:pPr>
              <w:jc w:val="center"/>
              <w:rPr>
                <w:lang w:val="en-GB"/>
              </w:rPr>
            </w:pPr>
            <w:hyperlink r:id="rId14" w:history="1">
              <w:r w:rsidR="000D401F" w:rsidRPr="000D401F">
                <w:rPr>
                  <w:rStyle w:val="Hyperlink"/>
                  <w:lang w:val="en-GB"/>
                </w:rPr>
                <w:t>194</w:t>
              </w:r>
            </w:hyperlink>
          </w:p>
        </w:tc>
      </w:tr>
      <w:tr w:rsidR="000D401F" w:rsidRPr="000D401F" w14:paraId="395AE057" w14:textId="77777777" w:rsidTr="00237C32">
        <w:trPr>
          <w:jc w:val="center"/>
        </w:trPr>
        <w:tc>
          <w:tcPr>
            <w:tcW w:w="521" w:type="dxa"/>
          </w:tcPr>
          <w:p w14:paraId="3F8A4BA3" w14:textId="77777777" w:rsidR="000D401F" w:rsidRPr="000D401F" w:rsidRDefault="000D401F" w:rsidP="000D401F">
            <w:pPr>
              <w:rPr>
                <w:lang w:val="en-GB"/>
              </w:rPr>
            </w:pPr>
            <w:r w:rsidRPr="000D401F">
              <w:rPr>
                <w:lang w:val="es-ES"/>
              </w:rPr>
              <w:t>8</w:t>
            </w:r>
          </w:p>
        </w:tc>
        <w:tc>
          <w:tcPr>
            <w:tcW w:w="7559" w:type="dxa"/>
          </w:tcPr>
          <w:p w14:paraId="378490B2" w14:textId="77777777" w:rsidR="000D401F" w:rsidRPr="000D401F" w:rsidRDefault="000D401F" w:rsidP="000D401F">
            <w:pPr>
              <w:rPr>
                <w:lang w:val="es-ES"/>
              </w:rPr>
            </w:pPr>
            <w:r w:rsidRPr="000D401F">
              <w:rPr>
                <w:lang w:val="es-ES"/>
              </w:rPr>
              <w:t>Vigésima cuarta serie de textos sometidos por la Comisión de Redacción – segunda lectura</w:t>
            </w:r>
          </w:p>
        </w:tc>
        <w:tc>
          <w:tcPr>
            <w:tcW w:w="1565" w:type="dxa"/>
          </w:tcPr>
          <w:p w14:paraId="73AFC664" w14:textId="77777777" w:rsidR="000D401F" w:rsidRPr="000D401F" w:rsidRDefault="000D401F" w:rsidP="00805D57">
            <w:pPr>
              <w:jc w:val="center"/>
              <w:rPr>
                <w:lang w:val="en-GB"/>
              </w:rPr>
            </w:pPr>
            <w:r w:rsidRPr="000D401F">
              <w:rPr>
                <w:lang w:val="es-ES"/>
              </w:rPr>
              <w:t>194</w:t>
            </w:r>
          </w:p>
        </w:tc>
      </w:tr>
      <w:tr w:rsidR="000D401F" w:rsidRPr="000D401F" w14:paraId="5ACA257D" w14:textId="77777777" w:rsidTr="00237C32">
        <w:trPr>
          <w:jc w:val="center"/>
        </w:trPr>
        <w:tc>
          <w:tcPr>
            <w:tcW w:w="521" w:type="dxa"/>
          </w:tcPr>
          <w:p w14:paraId="6E5D46BD" w14:textId="77777777" w:rsidR="000D401F" w:rsidRPr="000D401F" w:rsidRDefault="000D401F" w:rsidP="000D401F">
            <w:pPr>
              <w:rPr>
                <w:lang w:val="en-GB"/>
              </w:rPr>
            </w:pPr>
            <w:r w:rsidRPr="000D401F">
              <w:rPr>
                <w:lang w:val="es-ES"/>
              </w:rPr>
              <w:t>9</w:t>
            </w:r>
          </w:p>
        </w:tc>
        <w:tc>
          <w:tcPr>
            <w:tcW w:w="7559" w:type="dxa"/>
          </w:tcPr>
          <w:p w14:paraId="0B6FB866" w14:textId="77777777" w:rsidR="000D401F" w:rsidRPr="000D401F" w:rsidRDefault="000D401F" w:rsidP="000D401F">
            <w:pPr>
              <w:rPr>
                <w:lang w:val="es-ES"/>
              </w:rPr>
            </w:pPr>
            <w:r w:rsidRPr="000D401F">
              <w:rPr>
                <w:lang w:val="es-ES"/>
              </w:rPr>
              <w:t>Vigésima sexta serie de textos sometidos por la Comisión de Redacción en primera lectura (B26)</w:t>
            </w:r>
          </w:p>
        </w:tc>
        <w:tc>
          <w:tcPr>
            <w:tcW w:w="1565" w:type="dxa"/>
          </w:tcPr>
          <w:p w14:paraId="5801DEB8" w14:textId="381C1268" w:rsidR="000D401F" w:rsidRPr="000D401F" w:rsidRDefault="007D39C0" w:rsidP="00805D57">
            <w:pPr>
              <w:jc w:val="center"/>
              <w:rPr>
                <w:lang w:val="en-GB"/>
              </w:rPr>
            </w:pPr>
            <w:hyperlink r:id="rId15" w:history="1">
              <w:r w:rsidR="000D401F" w:rsidRPr="000D401F">
                <w:rPr>
                  <w:rStyle w:val="Hyperlink"/>
                  <w:lang w:val="en-GB"/>
                </w:rPr>
                <w:t>196</w:t>
              </w:r>
            </w:hyperlink>
          </w:p>
        </w:tc>
      </w:tr>
      <w:tr w:rsidR="000D401F" w:rsidRPr="000D401F" w14:paraId="21E52230" w14:textId="77777777" w:rsidTr="00237C32">
        <w:trPr>
          <w:jc w:val="center"/>
        </w:trPr>
        <w:tc>
          <w:tcPr>
            <w:tcW w:w="521" w:type="dxa"/>
          </w:tcPr>
          <w:p w14:paraId="180D14CA" w14:textId="77777777" w:rsidR="000D401F" w:rsidRPr="000D401F" w:rsidRDefault="000D401F" w:rsidP="000D401F">
            <w:pPr>
              <w:rPr>
                <w:lang w:val="en-GB"/>
              </w:rPr>
            </w:pPr>
            <w:r w:rsidRPr="000D401F">
              <w:rPr>
                <w:lang w:val="es-ES"/>
              </w:rPr>
              <w:t>10</w:t>
            </w:r>
          </w:p>
        </w:tc>
        <w:tc>
          <w:tcPr>
            <w:tcW w:w="7559" w:type="dxa"/>
          </w:tcPr>
          <w:p w14:paraId="48E33DD5" w14:textId="77777777" w:rsidR="000D401F" w:rsidRPr="000D401F" w:rsidRDefault="000D401F" w:rsidP="000D401F">
            <w:pPr>
              <w:rPr>
                <w:lang w:val="es-ES"/>
              </w:rPr>
            </w:pPr>
            <w:r w:rsidRPr="000D401F">
              <w:rPr>
                <w:lang w:val="es-ES"/>
              </w:rPr>
              <w:t>Vigésima sexta serie de textos sometidos por la Comisión de Redacción – segunda lectura</w:t>
            </w:r>
          </w:p>
        </w:tc>
        <w:tc>
          <w:tcPr>
            <w:tcW w:w="1565" w:type="dxa"/>
          </w:tcPr>
          <w:p w14:paraId="50C7F3E9" w14:textId="77777777" w:rsidR="000D401F" w:rsidRPr="000D401F" w:rsidRDefault="000D401F" w:rsidP="00805D57">
            <w:pPr>
              <w:jc w:val="center"/>
              <w:rPr>
                <w:lang w:val="en-GB"/>
              </w:rPr>
            </w:pPr>
            <w:r w:rsidRPr="000D401F">
              <w:rPr>
                <w:lang w:val="es-ES"/>
              </w:rPr>
              <w:t>196</w:t>
            </w:r>
          </w:p>
        </w:tc>
      </w:tr>
      <w:tr w:rsidR="000D401F" w:rsidRPr="000D401F" w14:paraId="19D07BBE" w14:textId="77777777" w:rsidTr="00237C32">
        <w:trPr>
          <w:jc w:val="center"/>
        </w:trPr>
        <w:tc>
          <w:tcPr>
            <w:tcW w:w="521" w:type="dxa"/>
          </w:tcPr>
          <w:p w14:paraId="6E5D5E88" w14:textId="77777777" w:rsidR="000D401F" w:rsidRPr="000D401F" w:rsidRDefault="000D401F" w:rsidP="000D401F">
            <w:pPr>
              <w:rPr>
                <w:lang w:val="en-GB"/>
              </w:rPr>
            </w:pPr>
            <w:r w:rsidRPr="000D401F">
              <w:rPr>
                <w:lang w:val="es-ES"/>
              </w:rPr>
              <w:t>11</w:t>
            </w:r>
          </w:p>
        </w:tc>
        <w:tc>
          <w:tcPr>
            <w:tcW w:w="7559" w:type="dxa"/>
          </w:tcPr>
          <w:p w14:paraId="0F00721C" w14:textId="5605C8AF" w:rsidR="000D401F" w:rsidRPr="000D401F" w:rsidRDefault="000D401F" w:rsidP="000D401F">
            <w:pPr>
              <w:rPr>
                <w:lang w:val="es-ES"/>
              </w:rPr>
            </w:pPr>
            <w:r w:rsidRPr="000D401F">
              <w:rPr>
                <w:lang w:val="es-ES"/>
              </w:rPr>
              <w:t>Dec</w:t>
            </w:r>
            <w:r w:rsidR="004F12F1">
              <w:rPr>
                <w:lang w:val="es-ES"/>
              </w:rPr>
              <w:t>i</w:t>
            </w:r>
            <w:r w:rsidRPr="000D401F">
              <w:rPr>
                <w:lang w:val="es-ES"/>
              </w:rPr>
              <w:t>moquinta serie de textos sometidos por la Comisión de Redacción en primera lectura (B15)</w:t>
            </w:r>
          </w:p>
        </w:tc>
        <w:tc>
          <w:tcPr>
            <w:tcW w:w="1565" w:type="dxa"/>
          </w:tcPr>
          <w:p w14:paraId="1F264276" w14:textId="0FD01271" w:rsidR="000D401F" w:rsidRPr="000D401F" w:rsidRDefault="007D39C0" w:rsidP="00805D57">
            <w:pPr>
              <w:jc w:val="center"/>
              <w:rPr>
                <w:lang w:val="en-GB"/>
              </w:rPr>
            </w:pPr>
            <w:hyperlink r:id="rId16" w:history="1">
              <w:r w:rsidR="000D401F" w:rsidRPr="000D401F">
                <w:rPr>
                  <w:rStyle w:val="Hyperlink"/>
                  <w:lang w:val="en-GB"/>
                </w:rPr>
                <w:t>166</w:t>
              </w:r>
            </w:hyperlink>
          </w:p>
        </w:tc>
      </w:tr>
      <w:tr w:rsidR="000D401F" w:rsidRPr="000D401F" w14:paraId="58D79A26" w14:textId="77777777" w:rsidTr="00237C32">
        <w:trPr>
          <w:jc w:val="center"/>
        </w:trPr>
        <w:tc>
          <w:tcPr>
            <w:tcW w:w="521" w:type="dxa"/>
          </w:tcPr>
          <w:p w14:paraId="6E27D773" w14:textId="77777777" w:rsidR="000D401F" w:rsidRPr="000D401F" w:rsidRDefault="000D401F" w:rsidP="000D401F">
            <w:pPr>
              <w:rPr>
                <w:lang w:val="en-GB"/>
              </w:rPr>
            </w:pPr>
            <w:r w:rsidRPr="000D401F">
              <w:rPr>
                <w:lang w:val="es-ES"/>
              </w:rPr>
              <w:t>12</w:t>
            </w:r>
          </w:p>
        </w:tc>
        <w:tc>
          <w:tcPr>
            <w:tcW w:w="7559" w:type="dxa"/>
          </w:tcPr>
          <w:p w14:paraId="09815629" w14:textId="77777777" w:rsidR="000D401F" w:rsidRPr="000D401F" w:rsidRDefault="000D401F" w:rsidP="000D401F">
            <w:pPr>
              <w:rPr>
                <w:lang w:val="es-ES"/>
              </w:rPr>
            </w:pPr>
            <w:r w:rsidRPr="000D401F">
              <w:rPr>
                <w:lang w:val="es-ES"/>
              </w:rPr>
              <w:t>Decimoquinta serie de textos sometidos por la Comisión de Redacción – segunda lectura</w:t>
            </w:r>
          </w:p>
        </w:tc>
        <w:tc>
          <w:tcPr>
            <w:tcW w:w="1565" w:type="dxa"/>
          </w:tcPr>
          <w:p w14:paraId="41D30E47" w14:textId="77777777" w:rsidR="000D401F" w:rsidRPr="000D401F" w:rsidRDefault="000D401F" w:rsidP="00805D57">
            <w:pPr>
              <w:jc w:val="center"/>
              <w:rPr>
                <w:lang w:val="en-GB"/>
              </w:rPr>
            </w:pPr>
            <w:r w:rsidRPr="000D401F">
              <w:rPr>
                <w:lang w:val="es-ES"/>
              </w:rPr>
              <w:t>166</w:t>
            </w:r>
          </w:p>
        </w:tc>
      </w:tr>
      <w:tr w:rsidR="000D401F" w:rsidRPr="000D401F" w14:paraId="1AA33510" w14:textId="77777777" w:rsidTr="00237C32">
        <w:trPr>
          <w:jc w:val="center"/>
        </w:trPr>
        <w:tc>
          <w:tcPr>
            <w:tcW w:w="521" w:type="dxa"/>
          </w:tcPr>
          <w:p w14:paraId="62419445" w14:textId="77777777" w:rsidR="000D401F" w:rsidRPr="000D401F" w:rsidRDefault="000D401F" w:rsidP="000D401F">
            <w:pPr>
              <w:rPr>
                <w:lang w:val="en-GB"/>
              </w:rPr>
            </w:pPr>
            <w:r w:rsidRPr="000D401F">
              <w:rPr>
                <w:lang w:val="es-ES"/>
              </w:rPr>
              <w:lastRenderedPageBreak/>
              <w:t>13</w:t>
            </w:r>
          </w:p>
        </w:tc>
        <w:tc>
          <w:tcPr>
            <w:tcW w:w="7559" w:type="dxa"/>
          </w:tcPr>
          <w:p w14:paraId="08E20D8F" w14:textId="77777777" w:rsidR="000D401F" w:rsidRPr="000D401F" w:rsidRDefault="000D401F" w:rsidP="000D401F">
            <w:pPr>
              <w:rPr>
                <w:lang w:val="es-ES"/>
              </w:rPr>
            </w:pPr>
            <w:r w:rsidRPr="000D401F">
              <w:rPr>
                <w:lang w:val="es-ES"/>
              </w:rPr>
              <w:t>Vigésima octava serie de textos sometidos por la Comisión de Redacción en primera lectura (B28)</w:t>
            </w:r>
          </w:p>
        </w:tc>
        <w:tc>
          <w:tcPr>
            <w:tcW w:w="1565" w:type="dxa"/>
          </w:tcPr>
          <w:p w14:paraId="632EEF67" w14:textId="521BDAFB" w:rsidR="000D401F" w:rsidRPr="000D401F" w:rsidRDefault="007D39C0" w:rsidP="00805D57">
            <w:pPr>
              <w:jc w:val="center"/>
              <w:rPr>
                <w:lang w:val="en-GB"/>
              </w:rPr>
            </w:pPr>
            <w:hyperlink r:id="rId17" w:history="1">
              <w:r w:rsidR="000D401F" w:rsidRPr="000D401F">
                <w:rPr>
                  <w:rStyle w:val="Hyperlink"/>
                  <w:lang w:val="en-GB"/>
                </w:rPr>
                <w:t>198</w:t>
              </w:r>
            </w:hyperlink>
          </w:p>
        </w:tc>
      </w:tr>
      <w:tr w:rsidR="000D401F" w:rsidRPr="000D401F" w14:paraId="6B137CB8" w14:textId="77777777" w:rsidTr="00237C32">
        <w:trPr>
          <w:jc w:val="center"/>
        </w:trPr>
        <w:tc>
          <w:tcPr>
            <w:tcW w:w="521" w:type="dxa"/>
          </w:tcPr>
          <w:p w14:paraId="023756D8" w14:textId="77777777" w:rsidR="000D401F" w:rsidRPr="000D401F" w:rsidRDefault="000D401F" w:rsidP="000D401F">
            <w:pPr>
              <w:rPr>
                <w:lang w:val="en-GB"/>
              </w:rPr>
            </w:pPr>
            <w:r w:rsidRPr="000D401F">
              <w:rPr>
                <w:lang w:val="es-ES"/>
              </w:rPr>
              <w:t>14</w:t>
            </w:r>
          </w:p>
        </w:tc>
        <w:tc>
          <w:tcPr>
            <w:tcW w:w="7559" w:type="dxa"/>
          </w:tcPr>
          <w:p w14:paraId="200B6082" w14:textId="77777777" w:rsidR="000D401F" w:rsidRPr="000D401F" w:rsidRDefault="000D401F" w:rsidP="000D401F">
            <w:pPr>
              <w:rPr>
                <w:lang w:val="es-ES"/>
              </w:rPr>
            </w:pPr>
            <w:r w:rsidRPr="000D401F">
              <w:rPr>
                <w:lang w:val="es-ES"/>
              </w:rPr>
              <w:t>Vigésima octava serie de textos sometidos por la Comisión de Redacción – segunda lectura</w:t>
            </w:r>
          </w:p>
        </w:tc>
        <w:tc>
          <w:tcPr>
            <w:tcW w:w="1565" w:type="dxa"/>
          </w:tcPr>
          <w:p w14:paraId="6F820C01" w14:textId="77777777" w:rsidR="000D401F" w:rsidRPr="000D401F" w:rsidRDefault="000D401F" w:rsidP="00805D57">
            <w:pPr>
              <w:jc w:val="center"/>
              <w:rPr>
                <w:lang w:val="en-GB"/>
              </w:rPr>
            </w:pPr>
            <w:r w:rsidRPr="000D401F">
              <w:rPr>
                <w:lang w:val="es-ES"/>
              </w:rPr>
              <w:t>198</w:t>
            </w:r>
          </w:p>
        </w:tc>
      </w:tr>
      <w:tr w:rsidR="000D401F" w:rsidRPr="000D401F" w14:paraId="03FB5964" w14:textId="77777777" w:rsidTr="00237C32">
        <w:trPr>
          <w:jc w:val="center"/>
        </w:trPr>
        <w:tc>
          <w:tcPr>
            <w:tcW w:w="521" w:type="dxa"/>
          </w:tcPr>
          <w:p w14:paraId="65A49082" w14:textId="77777777" w:rsidR="000D401F" w:rsidRPr="000D401F" w:rsidRDefault="000D401F" w:rsidP="000D401F">
            <w:pPr>
              <w:rPr>
                <w:lang w:val="en-GB"/>
              </w:rPr>
            </w:pPr>
            <w:r w:rsidRPr="000D401F">
              <w:rPr>
                <w:lang w:val="es-ES"/>
              </w:rPr>
              <w:t>15</w:t>
            </w:r>
          </w:p>
        </w:tc>
        <w:tc>
          <w:tcPr>
            <w:tcW w:w="7559" w:type="dxa"/>
          </w:tcPr>
          <w:p w14:paraId="7548BA31" w14:textId="77777777" w:rsidR="000D401F" w:rsidRPr="000D401F" w:rsidRDefault="000D401F" w:rsidP="000D401F">
            <w:pPr>
              <w:rPr>
                <w:lang w:val="es-ES"/>
              </w:rPr>
            </w:pPr>
            <w:r w:rsidRPr="000D401F">
              <w:rPr>
                <w:lang w:val="es-ES"/>
              </w:rPr>
              <w:t>Vigésima séptima serie de textos sometidos por la Comisión de Redacción en primera lectura (B27)</w:t>
            </w:r>
          </w:p>
        </w:tc>
        <w:tc>
          <w:tcPr>
            <w:tcW w:w="1565" w:type="dxa"/>
          </w:tcPr>
          <w:p w14:paraId="021BEA62" w14:textId="17C73879" w:rsidR="000D401F" w:rsidRPr="000D401F" w:rsidRDefault="007D39C0" w:rsidP="00805D57">
            <w:pPr>
              <w:jc w:val="center"/>
              <w:rPr>
                <w:lang w:val="en-GB"/>
              </w:rPr>
            </w:pPr>
            <w:hyperlink r:id="rId18" w:history="1">
              <w:r w:rsidR="000D401F" w:rsidRPr="000D401F">
                <w:rPr>
                  <w:rStyle w:val="Hyperlink"/>
                  <w:lang w:val="en-GB"/>
                </w:rPr>
                <w:t>197</w:t>
              </w:r>
            </w:hyperlink>
          </w:p>
        </w:tc>
      </w:tr>
      <w:tr w:rsidR="000D401F" w:rsidRPr="000D401F" w14:paraId="3960BDB6" w14:textId="77777777" w:rsidTr="00237C32">
        <w:trPr>
          <w:jc w:val="center"/>
        </w:trPr>
        <w:tc>
          <w:tcPr>
            <w:tcW w:w="521" w:type="dxa"/>
          </w:tcPr>
          <w:p w14:paraId="5CA1161D" w14:textId="77777777" w:rsidR="000D401F" w:rsidRPr="000D401F" w:rsidRDefault="000D401F" w:rsidP="000D401F">
            <w:pPr>
              <w:rPr>
                <w:lang w:val="en-GB"/>
              </w:rPr>
            </w:pPr>
            <w:r w:rsidRPr="000D401F">
              <w:rPr>
                <w:lang w:val="es-ES"/>
              </w:rPr>
              <w:t>16</w:t>
            </w:r>
          </w:p>
        </w:tc>
        <w:tc>
          <w:tcPr>
            <w:tcW w:w="7559" w:type="dxa"/>
          </w:tcPr>
          <w:p w14:paraId="2ADA3DA1" w14:textId="75184715" w:rsidR="000D401F" w:rsidRPr="000D401F" w:rsidRDefault="000D401F" w:rsidP="000D401F">
            <w:pPr>
              <w:rPr>
                <w:lang w:val="es-ES"/>
              </w:rPr>
            </w:pPr>
            <w:r w:rsidRPr="000D401F">
              <w:rPr>
                <w:lang w:val="es-ES"/>
              </w:rPr>
              <w:t>Vigésima séptima serie de textos sometidos por la Comisión de Redacción – segunda lectura</w:t>
            </w:r>
          </w:p>
        </w:tc>
        <w:tc>
          <w:tcPr>
            <w:tcW w:w="1565" w:type="dxa"/>
          </w:tcPr>
          <w:p w14:paraId="117B11A6" w14:textId="77777777" w:rsidR="000D401F" w:rsidRPr="000D401F" w:rsidRDefault="000D401F" w:rsidP="00805D57">
            <w:pPr>
              <w:jc w:val="center"/>
              <w:rPr>
                <w:lang w:val="en-GB"/>
              </w:rPr>
            </w:pPr>
            <w:r w:rsidRPr="000D401F">
              <w:rPr>
                <w:lang w:val="es-ES"/>
              </w:rPr>
              <w:t>197</w:t>
            </w:r>
          </w:p>
        </w:tc>
      </w:tr>
    </w:tbl>
    <w:p w14:paraId="348BC7C3" w14:textId="717B5C54" w:rsidR="000D401F" w:rsidRDefault="00255FA1" w:rsidP="000D401F">
      <w:pPr>
        <w:rPr>
          <w:lang w:val="es-ES"/>
        </w:rPr>
      </w:pPr>
      <w:r w:rsidRPr="000D401F">
        <w:rPr>
          <w:lang w:val="es-ES"/>
        </w:rPr>
        <w:br w:type="page"/>
      </w:r>
    </w:p>
    <w:p w14:paraId="57CB12B4" w14:textId="65D6B398" w:rsidR="000D401F" w:rsidRPr="000D401F" w:rsidRDefault="000D401F" w:rsidP="00805D57">
      <w:pPr>
        <w:pStyle w:val="Heading1"/>
        <w:rPr>
          <w:lang w:val="es-ES"/>
        </w:rPr>
      </w:pPr>
      <w:r w:rsidRPr="000D401F">
        <w:rPr>
          <w:lang w:val="es-ES"/>
        </w:rPr>
        <w:lastRenderedPageBreak/>
        <w:t>1</w:t>
      </w:r>
      <w:r w:rsidRPr="000D401F">
        <w:rPr>
          <w:lang w:val="es-ES"/>
        </w:rPr>
        <w:tab/>
        <w:t>Informe del Presidente del Grupo de Trabajo de la Plenaria (Documento</w:t>
      </w:r>
      <w:r w:rsidR="00805D57">
        <w:rPr>
          <w:lang w:val="es-ES"/>
        </w:rPr>
        <w:t> </w:t>
      </w:r>
      <w:hyperlink r:id="rId19" w:history="1">
        <w:r w:rsidRPr="004F12F1">
          <w:rPr>
            <w:rStyle w:val="Hyperlink"/>
            <w:lang w:val="es-ES"/>
          </w:rPr>
          <w:t>188(Rev.1)</w:t>
        </w:r>
      </w:hyperlink>
      <w:r w:rsidRPr="000D401F">
        <w:rPr>
          <w:lang w:val="es-ES"/>
        </w:rPr>
        <w:t>)</w:t>
      </w:r>
    </w:p>
    <w:p w14:paraId="24995C42" w14:textId="32994A6D" w:rsidR="000D401F" w:rsidRPr="000D401F" w:rsidRDefault="000D401F" w:rsidP="00A655BA">
      <w:pPr>
        <w:rPr>
          <w:lang w:val="es-ES"/>
        </w:rPr>
      </w:pPr>
      <w:r w:rsidRPr="000D401F">
        <w:rPr>
          <w:lang w:val="es-ES"/>
        </w:rPr>
        <w:t>1.1</w:t>
      </w:r>
      <w:r w:rsidRPr="000D401F">
        <w:rPr>
          <w:lang w:val="es-ES"/>
        </w:rPr>
        <w:tab/>
        <w:t xml:space="preserve">El </w:t>
      </w:r>
      <w:r w:rsidRPr="000D401F">
        <w:rPr>
          <w:b/>
          <w:bCs/>
          <w:lang w:val="es-ES"/>
        </w:rPr>
        <w:t>Presidente del Grupo de Trabajo de la Plenaria</w:t>
      </w:r>
      <w:r w:rsidRPr="000D401F">
        <w:rPr>
          <w:lang w:val="es-ES"/>
        </w:rPr>
        <w:t xml:space="preserve"> presenta su </w:t>
      </w:r>
      <w:r w:rsidR="004F12F1">
        <w:rPr>
          <w:lang w:val="es-ES"/>
        </w:rPr>
        <w:t>i</w:t>
      </w:r>
      <w:r w:rsidRPr="000D401F">
        <w:rPr>
          <w:lang w:val="es-ES"/>
        </w:rPr>
        <w:t xml:space="preserve">nforme contenido en el Documento 188(Rev.1) y dice que el Grupo de Trabajo se ha reunido en 12 ocasiones y ha examinado 89 propuestas de los Estados Miembros. Recordando los métodos de trabajo del Grupo, añade que se han creado ocho Grupos </w:t>
      </w:r>
      <w:r w:rsidRPr="004F12F1">
        <w:rPr>
          <w:i/>
          <w:iCs/>
          <w:lang w:val="es-ES"/>
        </w:rPr>
        <w:t>ad hoc</w:t>
      </w:r>
      <w:r w:rsidRPr="000D401F">
        <w:rPr>
          <w:lang w:val="es-ES"/>
        </w:rPr>
        <w:t xml:space="preserve">, y que la revisión de siete </w:t>
      </w:r>
      <w:r w:rsidR="004F12F1">
        <w:rPr>
          <w:lang w:val="es-ES"/>
        </w:rPr>
        <w:t>r</w:t>
      </w:r>
      <w:r w:rsidRPr="000D401F">
        <w:rPr>
          <w:lang w:val="es-ES"/>
        </w:rPr>
        <w:t xml:space="preserve">esoluciones y propuestas de dos nuevas </w:t>
      </w:r>
      <w:r w:rsidR="004F12F1">
        <w:rPr>
          <w:lang w:val="es-ES"/>
        </w:rPr>
        <w:t>r</w:t>
      </w:r>
      <w:r w:rsidRPr="000D401F">
        <w:rPr>
          <w:lang w:val="es-ES"/>
        </w:rPr>
        <w:t>esoluciones se han examinado en consultas oficiosas.</w:t>
      </w:r>
    </w:p>
    <w:p w14:paraId="2A7513CA" w14:textId="7C431748" w:rsidR="000D401F" w:rsidRPr="000D401F" w:rsidRDefault="000D401F" w:rsidP="00A655BA">
      <w:pPr>
        <w:rPr>
          <w:lang w:val="es-ES"/>
        </w:rPr>
      </w:pPr>
      <w:r w:rsidRPr="000D401F">
        <w:rPr>
          <w:lang w:val="es-ES"/>
        </w:rPr>
        <w:t>1.2</w:t>
      </w:r>
      <w:r w:rsidRPr="000D401F">
        <w:rPr>
          <w:lang w:val="es-ES"/>
        </w:rPr>
        <w:tab/>
        <w:t xml:space="preserve">El Grupo de Trabajo ha acordado dos nuevas </w:t>
      </w:r>
      <w:r w:rsidR="004F12F1">
        <w:rPr>
          <w:lang w:val="es-ES"/>
        </w:rPr>
        <w:t>r</w:t>
      </w:r>
      <w:r w:rsidRPr="000D401F">
        <w:rPr>
          <w:lang w:val="es-ES"/>
        </w:rPr>
        <w:t>esoluciones, ha actualizado 21</w:t>
      </w:r>
      <w:r w:rsidR="004F12F1">
        <w:rPr>
          <w:lang w:val="es-ES"/>
        </w:rPr>
        <w:t> r</w:t>
      </w:r>
      <w:r w:rsidRPr="000D401F">
        <w:rPr>
          <w:lang w:val="es-ES"/>
        </w:rPr>
        <w:t xml:space="preserve">esoluciones y ha convenido en no modificar dos </w:t>
      </w:r>
      <w:r w:rsidR="004F12F1">
        <w:rPr>
          <w:lang w:val="es-ES"/>
        </w:rPr>
        <w:t>r</w:t>
      </w:r>
      <w:r w:rsidRPr="000D401F">
        <w:rPr>
          <w:lang w:val="es-ES"/>
        </w:rPr>
        <w:t>esoluciones (véase el Anexo 1 al Informe). También ha acordado someter tres recomendaciones a la consideración de la Plenaria, relativas a la transformación digital; conexión de campos de refugiados a Internet; y la Agenda sobre Ciberseguridad Global de la UIT</w:t>
      </w:r>
      <w:r w:rsidR="004F12F1">
        <w:rPr>
          <w:lang w:val="es-ES"/>
        </w:rPr>
        <w:t>.</w:t>
      </w:r>
    </w:p>
    <w:p w14:paraId="6884EE9E" w14:textId="3CBC283C" w:rsidR="000D401F" w:rsidRPr="000D401F" w:rsidRDefault="000D401F" w:rsidP="00A655BA">
      <w:pPr>
        <w:rPr>
          <w:lang w:val="es-ES"/>
        </w:rPr>
      </w:pPr>
      <w:r w:rsidRPr="000D401F">
        <w:rPr>
          <w:lang w:val="es-ES"/>
        </w:rPr>
        <w:t>1.3</w:t>
      </w:r>
      <w:r w:rsidRPr="000D401F">
        <w:rPr>
          <w:lang w:val="es-ES"/>
        </w:rPr>
        <w:tab/>
        <w:t>El Anexo 2 a su Informe contiene la declaración presentada para incluirla en el Informe de la Delegación de Brasil en relación con los debates sobre la revisión de la Resolución 130 (Rev.</w:t>
      </w:r>
      <w:r w:rsidR="004F12F1">
        <w:rPr>
          <w:lang w:val="es-ES"/>
        </w:rPr>
        <w:t> </w:t>
      </w:r>
      <w:r w:rsidRPr="000D401F">
        <w:rPr>
          <w:lang w:val="es-ES"/>
        </w:rPr>
        <w:t>Dubái, 2018).</w:t>
      </w:r>
    </w:p>
    <w:p w14:paraId="4EC3131E" w14:textId="77777777" w:rsidR="000D401F" w:rsidRPr="000D401F" w:rsidRDefault="000D401F" w:rsidP="00A655BA">
      <w:pPr>
        <w:rPr>
          <w:lang w:val="es-ES"/>
        </w:rPr>
      </w:pPr>
      <w:r w:rsidRPr="000D401F">
        <w:rPr>
          <w:lang w:val="es-ES"/>
        </w:rPr>
        <w:t>1.4</w:t>
      </w:r>
      <w:r w:rsidRPr="000D401F">
        <w:rPr>
          <w:lang w:val="es-ES"/>
        </w:rPr>
        <w:tab/>
        <w:t>Agradece a todos los que han participado en la labor del GT-PL su cooperación, apoyo y voluntad de llegar a un consenso.</w:t>
      </w:r>
    </w:p>
    <w:p w14:paraId="2CC13912" w14:textId="08CAB5E0" w:rsidR="000D401F" w:rsidRPr="000D401F" w:rsidRDefault="000D401F" w:rsidP="00A655BA">
      <w:pPr>
        <w:rPr>
          <w:lang w:val="es-ES"/>
        </w:rPr>
      </w:pPr>
      <w:r w:rsidRPr="000D401F">
        <w:rPr>
          <w:lang w:val="es-ES"/>
        </w:rPr>
        <w:t>1.5</w:t>
      </w:r>
      <w:r w:rsidRPr="000D401F">
        <w:rPr>
          <w:lang w:val="es-ES"/>
        </w:rPr>
        <w:tab/>
        <w:t xml:space="preserve">El delegado de la </w:t>
      </w:r>
      <w:r w:rsidRPr="000D401F">
        <w:rPr>
          <w:b/>
          <w:bCs/>
          <w:lang w:val="es-ES"/>
        </w:rPr>
        <w:t xml:space="preserve">República Islámica del Irán </w:t>
      </w:r>
      <w:r w:rsidRPr="000D401F">
        <w:rPr>
          <w:lang w:val="es-ES"/>
        </w:rPr>
        <w:t xml:space="preserve">da las gracias al Presidente del Grupo de Trabajo de la Plenaria por sus esfuerzos y muestra un apoyo especial a la </w:t>
      </w:r>
      <w:r w:rsidR="00E359FD">
        <w:rPr>
          <w:lang w:val="es-ES"/>
        </w:rPr>
        <w:t>r</w:t>
      </w:r>
      <w:r w:rsidRPr="000D401F">
        <w:rPr>
          <w:lang w:val="es-ES"/>
        </w:rPr>
        <w:t>ecomendación</w:t>
      </w:r>
      <w:r w:rsidR="00E359FD">
        <w:rPr>
          <w:lang w:val="es-ES"/>
        </w:rPr>
        <w:t> </w:t>
      </w:r>
      <w:r w:rsidRPr="000D401F">
        <w:rPr>
          <w:lang w:val="es-ES"/>
        </w:rPr>
        <w:t>1.</w:t>
      </w:r>
    </w:p>
    <w:p w14:paraId="0BB732D8" w14:textId="60FC37D6" w:rsidR="000D401F" w:rsidRPr="000D401F" w:rsidRDefault="000D401F" w:rsidP="00A655BA">
      <w:pPr>
        <w:rPr>
          <w:lang w:val="es-ES"/>
        </w:rPr>
      </w:pPr>
      <w:r w:rsidRPr="000D401F">
        <w:rPr>
          <w:lang w:val="es-ES"/>
        </w:rPr>
        <w:t>1.6</w:t>
      </w:r>
      <w:r w:rsidRPr="000D401F">
        <w:rPr>
          <w:lang w:val="es-ES"/>
        </w:rPr>
        <w:tab/>
        <w:t xml:space="preserve">Tras un comentario del </w:t>
      </w:r>
      <w:r w:rsidRPr="000D401F">
        <w:rPr>
          <w:b/>
          <w:bCs/>
          <w:lang w:val="es-ES"/>
        </w:rPr>
        <w:t xml:space="preserve">delegado de Jordania </w:t>
      </w:r>
      <w:r w:rsidRPr="000D401F">
        <w:rPr>
          <w:lang w:val="es-ES"/>
        </w:rPr>
        <w:t xml:space="preserve">sobre la redacción empleada en la </w:t>
      </w:r>
      <w:r w:rsidR="00E359FD">
        <w:rPr>
          <w:lang w:val="es-ES"/>
        </w:rPr>
        <w:t>r</w:t>
      </w:r>
      <w:r w:rsidRPr="000D401F">
        <w:rPr>
          <w:lang w:val="es-ES"/>
        </w:rPr>
        <w:t>ecomendación</w:t>
      </w:r>
      <w:r w:rsidR="004F12F1">
        <w:rPr>
          <w:lang w:val="es-ES"/>
        </w:rPr>
        <w:t> </w:t>
      </w:r>
      <w:r w:rsidRPr="000D401F">
        <w:rPr>
          <w:lang w:val="es-ES"/>
        </w:rPr>
        <w:t xml:space="preserve">2, el </w:t>
      </w:r>
      <w:r w:rsidRPr="004F12F1">
        <w:rPr>
          <w:b/>
          <w:bCs/>
          <w:lang w:val="es-ES"/>
        </w:rPr>
        <w:t>Presidente</w:t>
      </w:r>
      <w:r w:rsidRPr="000D401F">
        <w:rPr>
          <w:lang w:val="es-ES"/>
        </w:rPr>
        <w:t xml:space="preserve"> insta a la Plenaria a mantener el texto tal y como fue acordado en el Grupo de Trabajo.</w:t>
      </w:r>
    </w:p>
    <w:p w14:paraId="0E265101" w14:textId="77777777" w:rsidR="000D401F" w:rsidRPr="000D401F" w:rsidRDefault="000D401F" w:rsidP="00A655BA">
      <w:pPr>
        <w:rPr>
          <w:lang w:val="es-ES"/>
        </w:rPr>
      </w:pPr>
      <w:r w:rsidRPr="000D401F">
        <w:rPr>
          <w:lang w:val="es-ES"/>
        </w:rPr>
        <w:t>1.7</w:t>
      </w:r>
      <w:r w:rsidRPr="000D401F">
        <w:rPr>
          <w:lang w:val="es-ES"/>
        </w:rPr>
        <w:tab/>
        <w:t xml:space="preserve">En respuesta a una pregunta del </w:t>
      </w:r>
      <w:r w:rsidRPr="000D401F">
        <w:rPr>
          <w:b/>
          <w:bCs/>
          <w:lang w:val="es-ES"/>
        </w:rPr>
        <w:t>delegado de Jordania</w:t>
      </w:r>
      <w:r w:rsidRPr="000D401F">
        <w:rPr>
          <w:lang w:val="es-ES"/>
        </w:rPr>
        <w:t xml:space="preserve">, el </w:t>
      </w:r>
      <w:r w:rsidRPr="004F12F1">
        <w:rPr>
          <w:b/>
          <w:bCs/>
          <w:lang w:val="es-ES"/>
        </w:rPr>
        <w:t>Presidente del Grupo de Trabajo de la Plenaria</w:t>
      </w:r>
      <w:r w:rsidRPr="000D401F">
        <w:rPr>
          <w:lang w:val="es-ES"/>
        </w:rPr>
        <w:t xml:space="preserve"> explica que las propuestas de los Estados Miembros a las que se refiere la Recomendación 3 corresponden a nuevas contribuciones presentadas al Consejo.</w:t>
      </w:r>
    </w:p>
    <w:p w14:paraId="6EFE403E" w14:textId="712E2143" w:rsidR="000D401F" w:rsidRPr="000D401F" w:rsidRDefault="000D401F" w:rsidP="00A655BA">
      <w:pPr>
        <w:rPr>
          <w:lang w:val="es-ES"/>
        </w:rPr>
      </w:pPr>
      <w:r w:rsidRPr="000D401F">
        <w:rPr>
          <w:lang w:val="es-ES"/>
        </w:rPr>
        <w:t>1.8</w:t>
      </w:r>
      <w:r w:rsidRPr="000D401F">
        <w:rPr>
          <w:lang w:val="es-ES"/>
        </w:rPr>
        <w:tab/>
        <w:t xml:space="preserve">Se </w:t>
      </w:r>
      <w:r w:rsidRPr="000D401F">
        <w:rPr>
          <w:b/>
          <w:bCs/>
          <w:lang w:val="es-ES"/>
        </w:rPr>
        <w:t xml:space="preserve">toma nota </w:t>
      </w:r>
      <w:r w:rsidRPr="000D401F">
        <w:rPr>
          <w:lang w:val="es-ES"/>
        </w:rPr>
        <w:t>del Informe del Presidente del Grupo de Trabajo de la Plenaria (Documento</w:t>
      </w:r>
      <w:r w:rsidR="004F12F1">
        <w:rPr>
          <w:lang w:val="es-ES"/>
        </w:rPr>
        <w:t> </w:t>
      </w:r>
      <w:r w:rsidRPr="000D401F">
        <w:rPr>
          <w:lang w:val="es-ES"/>
        </w:rPr>
        <w:t>188(Rev.1)) y de la declaración adjunta en el Anexo</w:t>
      </w:r>
      <w:r w:rsidR="00E359FD">
        <w:rPr>
          <w:lang w:val="es-ES"/>
        </w:rPr>
        <w:t> </w:t>
      </w:r>
      <w:r w:rsidRPr="000D401F">
        <w:rPr>
          <w:lang w:val="es-ES"/>
        </w:rPr>
        <w:t xml:space="preserve">2 al Informe. Se </w:t>
      </w:r>
      <w:r w:rsidRPr="000D401F">
        <w:rPr>
          <w:b/>
          <w:bCs/>
          <w:lang w:val="es-ES"/>
        </w:rPr>
        <w:t>aprueban</w:t>
      </w:r>
      <w:r w:rsidRPr="004F12F1">
        <w:rPr>
          <w:lang w:val="es-ES"/>
        </w:rPr>
        <w:t xml:space="preserve"> </w:t>
      </w:r>
      <w:r w:rsidRPr="000D401F">
        <w:rPr>
          <w:lang w:val="es-ES"/>
        </w:rPr>
        <w:t xml:space="preserve">las tres </w:t>
      </w:r>
      <w:r w:rsidR="004F12F1">
        <w:rPr>
          <w:lang w:val="es-ES"/>
        </w:rPr>
        <w:t>r</w:t>
      </w:r>
      <w:r w:rsidRPr="000D401F">
        <w:rPr>
          <w:lang w:val="es-ES"/>
        </w:rPr>
        <w:t>ecomendaciones contenidas en el informe.</w:t>
      </w:r>
    </w:p>
    <w:p w14:paraId="2AF38329" w14:textId="4591E76B" w:rsidR="000D401F" w:rsidRPr="000D401F" w:rsidRDefault="000D401F" w:rsidP="00A655BA">
      <w:pPr>
        <w:rPr>
          <w:lang w:val="es-ES"/>
        </w:rPr>
      </w:pPr>
      <w:r w:rsidRPr="000D401F">
        <w:rPr>
          <w:lang w:val="es-ES"/>
        </w:rPr>
        <w:t>1.9</w:t>
      </w:r>
      <w:r w:rsidRPr="000D401F">
        <w:rPr>
          <w:lang w:val="es-ES"/>
        </w:rPr>
        <w:tab/>
        <w:t xml:space="preserve">Tras hacerse eco del agradecimiento expresado por los delegados de </w:t>
      </w:r>
      <w:r w:rsidRPr="000D401F">
        <w:rPr>
          <w:b/>
          <w:bCs/>
          <w:lang w:val="es-ES"/>
        </w:rPr>
        <w:t>Jordania</w:t>
      </w:r>
      <w:r w:rsidRPr="004F12F1">
        <w:rPr>
          <w:lang w:val="es-ES"/>
        </w:rPr>
        <w:t xml:space="preserve">, </w:t>
      </w:r>
      <w:r w:rsidRPr="000D401F">
        <w:rPr>
          <w:b/>
          <w:bCs/>
          <w:lang w:val="es-ES"/>
        </w:rPr>
        <w:t>Brasil</w:t>
      </w:r>
      <w:r w:rsidRPr="004F12F1">
        <w:rPr>
          <w:lang w:val="es-ES"/>
        </w:rPr>
        <w:t xml:space="preserve">, </w:t>
      </w:r>
      <w:r w:rsidR="00600AC5" w:rsidRPr="00600AC5">
        <w:rPr>
          <w:b/>
          <w:bCs/>
          <w:lang w:val="es-ES"/>
        </w:rPr>
        <w:t>Sudán del Sur</w:t>
      </w:r>
      <w:r w:rsidR="00600AC5">
        <w:rPr>
          <w:lang w:val="es-ES"/>
        </w:rPr>
        <w:t xml:space="preserve">, </w:t>
      </w:r>
      <w:r w:rsidRPr="000D401F">
        <w:rPr>
          <w:b/>
          <w:bCs/>
          <w:lang w:val="es-ES"/>
        </w:rPr>
        <w:t>Sudáfrica</w:t>
      </w:r>
      <w:r w:rsidRPr="004F12F1">
        <w:rPr>
          <w:lang w:val="es-ES"/>
        </w:rPr>
        <w:t xml:space="preserve">, </w:t>
      </w:r>
      <w:r w:rsidRPr="00600AC5">
        <w:rPr>
          <w:lang w:val="es-ES"/>
        </w:rPr>
        <w:t xml:space="preserve">la </w:t>
      </w:r>
      <w:r w:rsidRPr="000D401F">
        <w:rPr>
          <w:b/>
          <w:bCs/>
          <w:lang w:val="es-ES"/>
        </w:rPr>
        <w:t>República Islámica del Irán</w:t>
      </w:r>
      <w:r w:rsidRPr="00600AC5">
        <w:rPr>
          <w:lang w:val="es-ES"/>
        </w:rPr>
        <w:t xml:space="preserve">, </w:t>
      </w:r>
      <w:r w:rsidRPr="000D401F">
        <w:rPr>
          <w:b/>
          <w:bCs/>
          <w:lang w:val="es-ES"/>
        </w:rPr>
        <w:t>Rumania</w:t>
      </w:r>
      <w:r w:rsidRPr="000D401F">
        <w:rPr>
          <w:lang w:val="es-ES"/>
        </w:rPr>
        <w:t xml:space="preserve">, en nombre de la CEPT, </w:t>
      </w:r>
      <w:r w:rsidRPr="000D401F">
        <w:rPr>
          <w:b/>
          <w:bCs/>
          <w:lang w:val="es-ES"/>
        </w:rPr>
        <w:t>Kenya</w:t>
      </w:r>
      <w:r w:rsidRPr="000D401F">
        <w:rPr>
          <w:lang w:val="es-ES"/>
        </w:rPr>
        <w:t xml:space="preserve">, en nombre también de los Presidentes de los Grupos </w:t>
      </w:r>
      <w:r w:rsidRPr="00600AC5">
        <w:rPr>
          <w:i/>
          <w:iCs/>
          <w:lang w:val="es-ES"/>
        </w:rPr>
        <w:t>ad hoc</w:t>
      </w:r>
      <w:r w:rsidRPr="000D401F">
        <w:rPr>
          <w:lang w:val="es-ES"/>
        </w:rPr>
        <w:t xml:space="preserve">, </w:t>
      </w:r>
      <w:r w:rsidRPr="000D401F">
        <w:rPr>
          <w:b/>
          <w:bCs/>
          <w:lang w:val="es-ES"/>
        </w:rPr>
        <w:t>Egipto</w:t>
      </w:r>
      <w:r w:rsidRPr="00600AC5">
        <w:rPr>
          <w:lang w:val="es-ES"/>
        </w:rPr>
        <w:t xml:space="preserve">, </w:t>
      </w:r>
      <w:r w:rsidRPr="000D401F">
        <w:rPr>
          <w:b/>
          <w:bCs/>
          <w:lang w:val="es-ES"/>
        </w:rPr>
        <w:t>Trinidad y Tabago</w:t>
      </w:r>
      <w:r w:rsidRPr="00600AC5">
        <w:rPr>
          <w:lang w:val="es-ES"/>
        </w:rPr>
        <w:t>, la</w:t>
      </w:r>
      <w:r w:rsidRPr="000D401F">
        <w:rPr>
          <w:b/>
          <w:bCs/>
          <w:lang w:val="es-ES"/>
        </w:rPr>
        <w:t xml:space="preserve"> República Checa</w:t>
      </w:r>
      <w:r w:rsidRPr="00600AC5">
        <w:rPr>
          <w:lang w:val="es-ES"/>
        </w:rPr>
        <w:t xml:space="preserve">, </w:t>
      </w:r>
      <w:r w:rsidRPr="000D401F">
        <w:rPr>
          <w:b/>
          <w:bCs/>
          <w:lang w:val="es-ES"/>
        </w:rPr>
        <w:t>Túnez</w:t>
      </w:r>
      <w:r w:rsidRPr="00600AC5">
        <w:rPr>
          <w:lang w:val="es-ES"/>
        </w:rPr>
        <w:t>, los</w:t>
      </w:r>
      <w:r w:rsidRPr="000D401F">
        <w:rPr>
          <w:b/>
          <w:bCs/>
          <w:lang w:val="es-ES"/>
        </w:rPr>
        <w:t xml:space="preserve"> Emiratos Árabes Unidos</w:t>
      </w:r>
      <w:r w:rsidRPr="00600AC5">
        <w:rPr>
          <w:lang w:val="es-ES"/>
        </w:rPr>
        <w:t xml:space="preserve">, </w:t>
      </w:r>
      <w:r w:rsidRPr="000D401F">
        <w:rPr>
          <w:b/>
          <w:bCs/>
          <w:lang w:val="es-ES"/>
        </w:rPr>
        <w:t>Arabia Saudita</w:t>
      </w:r>
      <w:r w:rsidRPr="00600AC5">
        <w:rPr>
          <w:lang w:val="es-ES"/>
        </w:rPr>
        <w:t>,</w:t>
      </w:r>
      <w:r w:rsidR="00600AC5">
        <w:rPr>
          <w:lang w:val="es-ES"/>
        </w:rPr>
        <w:t xml:space="preserve"> la</w:t>
      </w:r>
      <w:r w:rsidRPr="00600AC5">
        <w:rPr>
          <w:lang w:val="es-ES"/>
        </w:rPr>
        <w:t xml:space="preserve"> </w:t>
      </w:r>
      <w:r w:rsidRPr="000D401F">
        <w:rPr>
          <w:b/>
          <w:bCs/>
          <w:lang w:val="es-ES"/>
        </w:rPr>
        <w:t>India</w:t>
      </w:r>
      <w:r w:rsidRPr="00600AC5">
        <w:rPr>
          <w:lang w:val="es-ES"/>
        </w:rPr>
        <w:t xml:space="preserve">, </w:t>
      </w:r>
      <w:r w:rsidRPr="000D401F">
        <w:rPr>
          <w:b/>
          <w:bCs/>
          <w:lang w:val="es-ES"/>
        </w:rPr>
        <w:t>Papua Nueva Guinea</w:t>
      </w:r>
      <w:r w:rsidRPr="00600AC5">
        <w:rPr>
          <w:lang w:val="es-ES"/>
        </w:rPr>
        <w:t xml:space="preserve">, </w:t>
      </w:r>
      <w:r w:rsidRPr="000D401F">
        <w:rPr>
          <w:b/>
          <w:bCs/>
          <w:lang w:val="es-ES"/>
        </w:rPr>
        <w:t>Rwanda</w:t>
      </w:r>
      <w:r w:rsidRPr="00600AC5">
        <w:rPr>
          <w:lang w:val="es-ES"/>
        </w:rPr>
        <w:t xml:space="preserve">, </w:t>
      </w:r>
      <w:r w:rsidRPr="000D401F">
        <w:rPr>
          <w:b/>
          <w:bCs/>
          <w:lang w:val="es-ES"/>
        </w:rPr>
        <w:t>Côte d'Ivoire</w:t>
      </w:r>
      <w:r w:rsidRPr="00600AC5">
        <w:rPr>
          <w:lang w:val="es-ES"/>
        </w:rPr>
        <w:t xml:space="preserve">, </w:t>
      </w:r>
      <w:r w:rsidRPr="000D401F">
        <w:rPr>
          <w:b/>
          <w:bCs/>
          <w:lang w:val="es-ES"/>
        </w:rPr>
        <w:t>Argelia</w:t>
      </w:r>
      <w:r w:rsidRPr="00600AC5">
        <w:rPr>
          <w:lang w:val="es-ES"/>
        </w:rPr>
        <w:t>,</w:t>
      </w:r>
      <w:r w:rsidR="00A75E8D">
        <w:rPr>
          <w:lang w:val="es-ES"/>
        </w:rPr>
        <w:t xml:space="preserve"> las</w:t>
      </w:r>
      <w:r w:rsidRPr="00600AC5">
        <w:rPr>
          <w:lang w:val="es-ES"/>
        </w:rPr>
        <w:t xml:space="preserve"> </w:t>
      </w:r>
      <w:r w:rsidRPr="000D401F">
        <w:rPr>
          <w:b/>
          <w:bCs/>
          <w:lang w:val="es-ES"/>
        </w:rPr>
        <w:t>Bahamas</w:t>
      </w:r>
      <w:r w:rsidRPr="00600AC5">
        <w:rPr>
          <w:lang w:val="es-ES"/>
        </w:rPr>
        <w:t>, la</w:t>
      </w:r>
      <w:r w:rsidRPr="000D401F">
        <w:rPr>
          <w:b/>
          <w:bCs/>
          <w:lang w:val="es-ES"/>
        </w:rPr>
        <w:t xml:space="preserve"> Federación de Rusia</w:t>
      </w:r>
      <w:r w:rsidRPr="000D401F">
        <w:rPr>
          <w:lang w:val="es-ES"/>
        </w:rPr>
        <w:t xml:space="preserve">, en calidad de coordinador regional de la CEI en el proceso preparatorio de la Conferencia, </w:t>
      </w:r>
      <w:r w:rsidRPr="000D401F">
        <w:rPr>
          <w:b/>
          <w:bCs/>
          <w:lang w:val="es-ES"/>
        </w:rPr>
        <w:t>China</w:t>
      </w:r>
      <w:r w:rsidRPr="00600AC5">
        <w:rPr>
          <w:lang w:val="es-ES"/>
        </w:rPr>
        <w:t xml:space="preserve"> y </w:t>
      </w:r>
      <w:r w:rsidRPr="000D401F">
        <w:rPr>
          <w:b/>
          <w:bCs/>
          <w:lang w:val="es-ES"/>
        </w:rPr>
        <w:t>Zimbabwe</w:t>
      </w:r>
      <w:r w:rsidRPr="000D401F">
        <w:rPr>
          <w:lang w:val="es-ES"/>
        </w:rPr>
        <w:t xml:space="preserve">, el </w:t>
      </w:r>
      <w:r w:rsidRPr="000D401F">
        <w:rPr>
          <w:b/>
          <w:bCs/>
          <w:lang w:val="es-ES"/>
        </w:rPr>
        <w:t>Presidente</w:t>
      </w:r>
      <w:r w:rsidRPr="00600AC5">
        <w:rPr>
          <w:lang w:val="es-ES"/>
        </w:rPr>
        <w:t xml:space="preserve"> </w:t>
      </w:r>
      <w:r w:rsidRPr="000D401F">
        <w:rPr>
          <w:lang w:val="es-ES"/>
        </w:rPr>
        <w:t>da las gracias a los miembros del Grupo de Trabajo de la Plenaria por sus esfuerzos y elogia a su presidente por su excepcional labor y voluntad de lograr un compromiso, que ha resultado fructífera para la Conferencia.</w:t>
      </w:r>
    </w:p>
    <w:p w14:paraId="5AFB8074" w14:textId="625942E2" w:rsidR="000D401F" w:rsidRPr="000D401F" w:rsidRDefault="000D401F" w:rsidP="00805D57">
      <w:pPr>
        <w:pStyle w:val="Heading1"/>
        <w:rPr>
          <w:lang w:val="es-ES"/>
        </w:rPr>
      </w:pPr>
      <w:r w:rsidRPr="000D401F">
        <w:rPr>
          <w:lang w:val="es-ES"/>
        </w:rPr>
        <w:lastRenderedPageBreak/>
        <w:t>2</w:t>
      </w:r>
      <w:r w:rsidRPr="000D401F">
        <w:rPr>
          <w:lang w:val="es-ES"/>
        </w:rPr>
        <w:tab/>
        <w:t>Informe de</w:t>
      </w:r>
      <w:r w:rsidR="00810AD3">
        <w:rPr>
          <w:lang w:val="es-ES"/>
        </w:rPr>
        <w:t xml:space="preserve"> </w:t>
      </w:r>
      <w:r w:rsidRPr="000D401F">
        <w:rPr>
          <w:lang w:val="es-ES"/>
        </w:rPr>
        <w:t>l</w:t>
      </w:r>
      <w:r w:rsidR="00810AD3">
        <w:rPr>
          <w:lang w:val="es-ES"/>
        </w:rPr>
        <w:t>a</w:t>
      </w:r>
      <w:r w:rsidRPr="000D401F">
        <w:rPr>
          <w:lang w:val="es-ES"/>
        </w:rPr>
        <w:t xml:space="preserve"> President</w:t>
      </w:r>
      <w:r w:rsidR="00810AD3">
        <w:rPr>
          <w:lang w:val="es-ES"/>
        </w:rPr>
        <w:t>a</w:t>
      </w:r>
      <w:r w:rsidRPr="000D401F">
        <w:rPr>
          <w:lang w:val="es-ES"/>
        </w:rPr>
        <w:t xml:space="preserve"> de la Comisión</w:t>
      </w:r>
      <w:r w:rsidR="00A75E8D">
        <w:rPr>
          <w:lang w:val="es-ES"/>
        </w:rPr>
        <w:t> </w:t>
      </w:r>
      <w:r w:rsidRPr="000D401F">
        <w:rPr>
          <w:lang w:val="es-ES"/>
        </w:rPr>
        <w:t>6 (Documento</w:t>
      </w:r>
      <w:r w:rsidR="00A75E8D">
        <w:rPr>
          <w:lang w:val="es-ES"/>
        </w:rPr>
        <w:t> </w:t>
      </w:r>
      <w:hyperlink r:id="rId20" w:history="1">
        <w:r w:rsidRPr="00810AD3">
          <w:rPr>
            <w:rStyle w:val="Hyperlink"/>
            <w:lang w:val="es-ES"/>
          </w:rPr>
          <w:t>157</w:t>
        </w:r>
      </w:hyperlink>
      <w:r w:rsidRPr="000D401F">
        <w:rPr>
          <w:lang w:val="es-ES"/>
        </w:rPr>
        <w:t>)</w:t>
      </w:r>
    </w:p>
    <w:p w14:paraId="7D7BC3B2" w14:textId="484183C8" w:rsidR="000D401F" w:rsidRPr="000D401F" w:rsidRDefault="000D401F" w:rsidP="00810AD3">
      <w:pPr>
        <w:keepNext/>
        <w:keepLines/>
        <w:rPr>
          <w:lang w:val="es-ES"/>
        </w:rPr>
      </w:pPr>
      <w:r w:rsidRPr="000D401F">
        <w:rPr>
          <w:lang w:val="es-ES"/>
        </w:rPr>
        <w:t>2.1</w:t>
      </w:r>
      <w:r w:rsidRPr="000D401F">
        <w:rPr>
          <w:lang w:val="es-ES"/>
        </w:rPr>
        <w:tab/>
        <w:t xml:space="preserve">La </w:t>
      </w:r>
      <w:r w:rsidRPr="000D401F">
        <w:rPr>
          <w:b/>
          <w:bCs/>
          <w:lang w:val="es-ES"/>
        </w:rPr>
        <w:t>Presidenta de la Comisión</w:t>
      </w:r>
      <w:r w:rsidR="00A75E8D">
        <w:rPr>
          <w:b/>
          <w:bCs/>
          <w:lang w:val="es-ES"/>
        </w:rPr>
        <w:t> </w:t>
      </w:r>
      <w:r w:rsidRPr="000D401F">
        <w:rPr>
          <w:b/>
          <w:bCs/>
          <w:lang w:val="es-ES"/>
        </w:rPr>
        <w:t xml:space="preserve">6 </w:t>
      </w:r>
      <w:r w:rsidRPr="000D401F">
        <w:rPr>
          <w:lang w:val="es-ES"/>
        </w:rPr>
        <w:t>presenta el Documento</w:t>
      </w:r>
      <w:r w:rsidR="00810AD3">
        <w:rPr>
          <w:lang w:val="es-ES"/>
        </w:rPr>
        <w:t> </w:t>
      </w:r>
      <w:r w:rsidRPr="000D401F">
        <w:rPr>
          <w:lang w:val="es-ES"/>
        </w:rPr>
        <w:t>157. Recordando el mandato de la Comisión</w:t>
      </w:r>
      <w:r w:rsidR="00810AD3">
        <w:rPr>
          <w:lang w:val="es-ES"/>
        </w:rPr>
        <w:t> </w:t>
      </w:r>
      <w:r w:rsidRPr="000D401F">
        <w:rPr>
          <w:lang w:val="es-ES"/>
        </w:rPr>
        <w:t xml:space="preserve">6, señala que la Comisión se ha reunido en 13 ocasiones y ha creado cinco Grupos </w:t>
      </w:r>
      <w:r w:rsidRPr="00810AD3">
        <w:rPr>
          <w:i/>
          <w:iCs/>
          <w:lang w:val="es-ES"/>
        </w:rPr>
        <w:t>ad hoc</w:t>
      </w:r>
      <w:r w:rsidRPr="000D401F">
        <w:rPr>
          <w:lang w:val="es-ES"/>
        </w:rPr>
        <w:t xml:space="preserve"> y dos Grupos de Redacción. Ha concluido su programa y ha abordado las propuestas de modificación de 19 </w:t>
      </w:r>
      <w:r w:rsidR="00810AD3">
        <w:rPr>
          <w:lang w:val="es-ES"/>
        </w:rPr>
        <w:t>r</w:t>
      </w:r>
      <w:r w:rsidRPr="000D401F">
        <w:rPr>
          <w:lang w:val="es-ES"/>
        </w:rPr>
        <w:t xml:space="preserve">esoluciones y dos </w:t>
      </w:r>
      <w:r w:rsidR="00810AD3">
        <w:rPr>
          <w:lang w:val="es-ES"/>
        </w:rPr>
        <w:t>d</w:t>
      </w:r>
      <w:r w:rsidRPr="000D401F">
        <w:rPr>
          <w:lang w:val="es-ES"/>
        </w:rPr>
        <w:t xml:space="preserve">ecisiones, así como dos propuestas de nuevas </w:t>
      </w:r>
      <w:r w:rsidR="00810AD3">
        <w:rPr>
          <w:lang w:val="es-ES"/>
        </w:rPr>
        <w:t>r</w:t>
      </w:r>
      <w:r w:rsidRPr="000D401F">
        <w:rPr>
          <w:lang w:val="es-ES"/>
        </w:rPr>
        <w:t>esoluciones.</w:t>
      </w:r>
    </w:p>
    <w:p w14:paraId="100F708A" w14:textId="3F1E6233" w:rsidR="000D401F" w:rsidRPr="000D401F" w:rsidRDefault="000D401F" w:rsidP="00A655BA">
      <w:pPr>
        <w:rPr>
          <w:lang w:val="es-ES"/>
        </w:rPr>
      </w:pPr>
      <w:r w:rsidRPr="000D401F">
        <w:rPr>
          <w:lang w:val="es-ES"/>
        </w:rPr>
        <w:t>2.2</w:t>
      </w:r>
      <w:r w:rsidRPr="000D401F">
        <w:rPr>
          <w:lang w:val="es-ES"/>
        </w:rPr>
        <w:tab/>
        <w:t>La Comisión ha llegado a un consenso sobre el Plan Estratégico de la Unión para 2024</w:t>
      </w:r>
      <w:r w:rsidR="00A655BA">
        <w:rPr>
          <w:lang w:val="es-ES"/>
        </w:rPr>
        <w:noBreakHyphen/>
      </w:r>
      <w:r w:rsidRPr="000D401F">
        <w:rPr>
          <w:lang w:val="es-ES"/>
        </w:rPr>
        <w:t>2027 y ha aprobado la Decisión</w:t>
      </w:r>
      <w:r w:rsidR="00810AD3">
        <w:rPr>
          <w:lang w:val="es-ES"/>
        </w:rPr>
        <w:t> </w:t>
      </w:r>
      <w:r w:rsidRPr="000D401F">
        <w:rPr>
          <w:lang w:val="es-ES"/>
        </w:rPr>
        <w:t>5 sobre los ingresos y gastos de la Unión para el periodo</w:t>
      </w:r>
      <w:r w:rsidR="00810AD3">
        <w:rPr>
          <w:lang w:val="es-ES"/>
        </w:rPr>
        <w:t> </w:t>
      </w:r>
      <w:r w:rsidRPr="000D401F">
        <w:rPr>
          <w:lang w:val="es-ES"/>
        </w:rPr>
        <w:t>2024</w:t>
      </w:r>
      <w:r w:rsidR="00A655BA">
        <w:rPr>
          <w:lang w:val="es-ES"/>
        </w:rPr>
        <w:noBreakHyphen/>
      </w:r>
      <w:r w:rsidRPr="000D401F">
        <w:rPr>
          <w:lang w:val="es-ES"/>
        </w:rPr>
        <w:t>2027.</w:t>
      </w:r>
    </w:p>
    <w:p w14:paraId="3B5D0EC3" w14:textId="17EE5A64" w:rsidR="000D401F" w:rsidRPr="000D401F" w:rsidRDefault="000D401F" w:rsidP="00A655BA">
      <w:pPr>
        <w:rPr>
          <w:lang w:val="es-ES"/>
        </w:rPr>
      </w:pPr>
      <w:r w:rsidRPr="000D401F">
        <w:rPr>
          <w:lang w:val="es-ES"/>
        </w:rPr>
        <w:t>2.3</w:t>
      </w:r>
      <w:r w:rsidRPr="000D401F">
        <w:rPr>
          <w:lang w:val="es-ES"/>
        </w:rPr>
        <w:tab/>
        <w:t>Ha decidido recomendar la derogación de la Resolución</w:t>
      </w:r>
      <w:r w:rsidR="00810AD3">
        <w:rPr>
          <w:lang w:val="es-ES"/>
        </w:rPr>
        <w:t> </w:t>
      </w:r>
      <w:r w:rsidRPr="000D401F">
        <w:rPr>
          <w:lang w:val="es-ES"/>
        </w:rPr>
        <w:t xml:space="preserve">11 (Rev. Dubái, 2018) sobre eventos ITU Telecom y, en consecuencia, que la Plenaria encargue al Consejo, en su reunión ordinaria, que transfiera el saldo restante del Fondo de Operaciones de las Exposiciones al Fondo para el Desarrollo de las TIC y encargue al Secretario General y a los Directores de las Oficinas que sigan elaborando iniciativas para alentar, aumentar y fomentar la participación de las </w:t>
      </w:r>
      <w:r w:rsidR="00A655BA" w:rsidRPr="000D401F">
        <w:rPr>
          <w:lang w:val="es-ES"/>
        </w:rPr>
        <w:t>pyme</w:t>
      </w:r>
      <w:r w:rsidR="00A655BA">
        <w:rPr>
          <w:lang w:val="es-ES"/>
        </w:rPr>
        <w:t>s</w:t>
      </w:r>
      <w:r w:rsidR="00A655BA" w:rsidRPr="000D401F">
        <w:rPr>
          <w:lang w:val="es-ES"/>
        </w:rPr>
        <w:t xml:space="preserve"> </w:t>
      </w:r>
      <w:r w:rsidRPr="000D401F">
        <w:rPr>
          <w:lang w:val="es-ES"/>
        </w:rPr>
        <w:t>y de todas las demás partes interesadas en los principales eventos y foros de la UIT.</w:t>
      </w:r>
    </w:p>
    <w:p w14:paraId="7C0C2441" w14:textId="7B884DF3" w:rsidR="000D401F" w:rsidRPr="000D401F" w:rsidRDefault="000D401F" w:rsidP="00A655BA">
      <w:pPr>
        <w:rPr>
          <w:lang w:val="es-ES"/>
        </w:rPr>
      </w:pPr>
      <w:r w:rsidRPr="000D401F">
        <w:rPr>
          <w:lang w:val="es-ES"/>
        </w:rPr>
        <w:t>2.4</w:t>
      </w:r>
      <w:r w:rsidRPr="000D401F">
        <w:rPr>
          <w:lang w:val="es-ES"/>
        </w:rPr>
        <w:tab/>
        <w:t>En lo que respecta a la estrategia de coordinación de los trabajos de los tres Sectores de la Unión (revisión de la Resolución</w:t>
      </w:r>
      <w:r w:rsidR="00810AD3">
        <w:rPr>
          <w:lang w:val="es-ES"/>
        </w:rPr>
        <w:t> </w:t>
      </w:r>
      <w:r w:rsidRPr="000D401F">
        <w:rPr>
          <w:lang w:val="es-ES"/>
        </w:rPr>
        <w:t>191 (Rev. Dubái, 2018)), se acordó incluir la siguiente recomendación en las actas de la Plenaria:</w:t>
      </w:r>
    </w:p>
    <w:p w14:paraId="78D7D483" w14:textId="69FB7433" w:rsidR="000D401F" w:rsidRPr="000D401F" w:rsidRDefault="000D401F" w:rsidP="00FE5D73">
      <w:pPr>
        <w:rPr>
          <w:lang w:val="es-ES"/>
        </w:rPr>
      </w:pPr>
      <w:r w:rsidRPr="000D401F">
        <w:rPr>
          <w:lang w:val="es-ES"/>
        </w:rPr>
        <w:t>"La Comisión</w:t>
      </w:r>
      <w:r w:rsidR="00FE5D73">
        <w:rPr>
          <w:lang w:val="es-ES"/>
        </w:rPr>
        <w:t> </w:t>
      </w:r>
      <w:r w:rsidRPr="000D401F">
        <w:rPr>
          <w:lang w:val="es-ES"/>
        </w:rPr>
        <w:t>6 recomienda que la Plenaria encargue al Secretario General que, en coordinación con los Directores de las Oficinas, presente al Consejo en su reunión de</w:t>
      </w:r>
      <w:r w:rsidR="00810AD3">
        <w:rPr>
          <w:lang w:val="es-ES"/>
        </w:rPr>
        <w:t> </w:t>
      </w:r>
      <w:r w:rsidRPr="000D401F">
        <w:rPr>
          <w:lang w:val="es-ES"/>
        </w:rPr>
        <w:t xml:space="preserve">2024 un informe sobre la aplicación del concepto de </w:t>
      </w:r>
      <w:r w:rsidR="00673D8C">
        <w:rPr>
          <w:lang w:val="es-ES"/>
        </w:rPr>
        <w:t>'</w:t>
      </w:r>
      <w:r w:rsidRPr="000D401F">
        <w:rPr>
          <w:lang w:val="es-ES"/>
        </w:rPr>
        <w:t>Una UIT</w:t>
      </w:r>
      <w:r w:rsidR="00673D8C">
        <w:rPr>
          <w:lang w:val="es-ES"/>
        </w:rPr>
        <w:t>'</w:t>
      </w:r>
      <w:r w:rsidRPr="000D401F">
        <w:rPr>
          <w:lang w:val="es-ES"/>
        </w:rPr>
        <w:t xml:space="preserve">, y que se encargue al Consejo examinar el informe del Secretario General y que presente un informe a la próxima Conferencia de Plenipotenciarios sobre la aplicación del concepto </w:t>
      </w:r>
      <w:r w:rsidR="00673D8C">
        <w:rPr>
          <w:lang w:val="es-ES"/>
        </w:rPr>
        <w:t>'</w:t>
      </w:r>
      <w:r w:rsidRPr="000D401F">
        <w:rPr>
          <w:lang w:val="es-ES"/>
        </w:rPr>
        <w:t>Una UIT</w:t>
      </w:r>
      <w:r w:rsidR="00673D8C">
        <w:rPr>
          <w:lang w:val="es-ES"/>
        </w:rPr>
        <w:t>'</w:t>
      </w:r>
      <w:r w:rsidRPr="000D401F">
        <w:rPr>
          <w:lang w:val="es-ES"/>
        </w:rPr>
        <w:t>, entre otras cosas, a las actividades de las Oficinas Regionales y Zonales".</w:t>
      </w:r>
    </w:p>
    <w:p w14:paraId="0B008C05" w14:textId="189713DA" w:rsidR="000D401F" w:rsidRPr="000D401F" w:rsidRDefault="000D401F" w:rsidP="00A655BA">
      <w:pPr>
        <w:rPr>
          <w:lang w:val="es-ES"/>
        </w:rPr>
      </w:pPr>
      <w:r w:rsidRPr="000D401F">
        <w:rPr>
          <w:lang w:val="es-ES"/>
        </w:rPr>
        <w:t>2.5</w:t>
      </w:r>
      <w:r w:rsidRPr="000D401F">
        <w:rPr>
          <w:lang w:val="es-ES"/>
        </w:rPr>
        <w:tab/>
        <w:t xml:space="preserve">La Comisión no ha podido llegar a un consenso acerca de la nueva </w:t>
      </w:r>
      <w:r w:rsidR="00673D8C">
        <w:rPr>
          <w:lang w:val="es-ES"/>
        </w:rPr>
        <w:t>r</w:t>
      </w:r>
      <w:r w:rsidRPr="000D401F">
        <w:rPr>
          <w:lang w:val="es-ES"/>
        </w:rPr>
        <w:t>esolución sobre la organización de eventos paralelos en conferencias o asambleas importantes de la UIT. Recomienda que la Plenaria adopte el siguiente texto meticulosamente redactado:</w:t>
      </w:r>
    </w:p>
    <w:p w14:paraId="2F085AFB" w14:textId="77777777" w:rsidR="000D401F" w:rsidRPr="000D401F" w:rsidRDefault="000D401F" w:rsidP="00FE5D73">
      <w:pPr>
        <w:rPr>
          <w:lang w:val="es-ES"/>
        </w:rPr>
      </w:pPr>
      <w:r w:rsidRPr="000D401F">
        <w:rPr>
          <w:lang w:val="es-ES"/>
        </w:rPr>
        <w:t>"La posible referencia de un documento producido por un evento paralelo, en su caso, en los resultados de las conferencias, asambleas o reuniones de la UIT estará supeditada al acuerdo o la adopción por los Estados Miembros presentes en dichas conferencias, asambleas o reuniones".</w:t>
      </w:r>
    </w:p>
    <w:p w14:paraId="6E972DBE" w14:textId="7CC7DC54" w:rsidR="000D401F" w:rsidRPr="000D401F" w:rsidRDefault="000D401F" w:rsidP="00A655BA">
      <w:pPr>
        <w:rPr>
          <w:lang w:val="es-ES"/>
        </w:rPr>
      </w:pPr>
      <w:r w:rsidRPr="000D401F">
        <w:rPr>
          <w:lang w:val="es-ES"/>
        </w:rPr>
        <w:t>2.6</w:t>
      </w:r>
      <w:r w:rsidRPr="000D401F">
        <w:rPr>
          <w:lang w:val="es-ES"/>
        </w:rPr>
        <w:tab/>
        <w:t>Dado que la Comisión no ha podido llegar a un acuerdo sobre la redacción revisada de las Resoluciones</w:t>
      </w:r>
      <w:r w:rsidR="00673D8C">
        <w:rPr>
          <w:lang w:val="es-ES"/>
        </w:rPr>
        <w:t> </w:t>
      </w:r>
      <w:r w:rsidRPr="000D401F">
        <w:rPr>
          <w:lang w:val="es-ES"/>
        </w:rPr>
        <w:t>2 (Rev. Dubái, 2018) y 77 (Rev. Dubái, 2018), por haber opiniones divergentes sobre la programación del FMPT, esos textos se someterán a la Plenaria entre corchetes.</w:t>
      </w:r>
    </w:p>
    <w:p w14:paraId="38C2B4B4" w14:textId="1CE6D8F1" w:rsidR="000D401F" w:rsidRPr="000D401F" w:rsidRDefault="000D401F" w:rsidP="00A655BA">
      <w:pPr>
        <w:rPr>
          <w:lang w:val="es-ES"/>
        </w:rPr>
      </w:pPr>
      <w:r w:rsidRPr="000D401F">
        <w:rPr>
          <w:lang w:val="es-ES"/>
        </w:rPr>
        <w:t>2.7</w:t>
      </w:r>
      <w:r w:rsidRPr="000D401F">
        <w:rPr>
          <w:lang w:val="es-ES"/>
        </w:rPr>
        <w:tab/>
        <w:t xml:space="preserve">Da las gracias a los </w:t>
      </w:r>
      <w:r w:rsidR="00673D8C">
        <w:rPr>
          <w:lang w:val="es-ES"/>
        </w:rPr>
        <w:t>v</w:t>
      </w:r>
      <w:r w:rsidRPr="000D401F">
        <w:rPr>
          <w:lang w:val="es-ES"/>
        </w:rPr>
        <w:t xml:space="preserve">icepresidentes y </w:t>
      </w:r>
      <w:r w:rsidR="00673D8C">
        <w:rPr>
          <w:lang w:val="es-ES"/>
        </w:rPr>
        <w:t>p</w:t>
      </w:r>
      <w:r w:rsidRPr="000D401F">
        <w:rPr>
          <w:lang w:val="es-ES"/>
        </w:rPr>
        <w:t xml:space="preserve">residentes de los Grupos </w:t>
      </w:r>
      <w:r w:rsidRPr="00673D8C">
        <w:rPr>
          <w:i/>
          <w:iCs/>
          <w:lang w:val="es-ES"/>
        </w:rPr>
        <w:t>ad hoc</w:t>
      </w:r>
      <w:r w:rsidRPr="000D401F">
        <w:rPr>
          <w:lang w:val="es-ES"/>
        </w:rPr>
        <w:t xml:space="preserve"> y de Redacción, así como a todos aquellos que han facilitado la labor de la Comisión.</w:t>
      </w:r>
    </w:p>
    <w:p w14:paraId="209B3FC6" w14:textId="77777777" w:rsidR="000D401F" w:rsidRPr="000D401F" w:rsidRDefault="000D401F" w:rsidP="00A655BA">
      <w:pPr>
        <w:rPr>
          <w:lang w:val="es-ES"/>
        </w:rPr>
      </w:pPr>
      <w:r w:rsidRPr="000D401F">
        <w:rPr>
          <w:lang w:val="es-ES"/>
        </w:rPr>
        <w:t>2.8</w:t>
      </w:r>
      <w:r w:rsidRPr="000D401F">
        <w:rPr>
          <w:lang w:val="es-ES"/>
        </w:rPr>
        <w:tab/>
        <w:t xml:space="preserve">Se </w:t>
      </w:r>
      <w:r w:rsidRPr="000D401F">
        <w:rPr>
          <w:b/>
          <w:bCs/>
          <w:lang w:val="es-ES"/>
        </w:rPr>
        <w:t xml:space="preserve">toma nota </w:t>
      </w:r>
      <w:r w:rsidRPr="000D401F">
        <w:rPr>
          <w:lang w:val="es-ES"/>
        </w:rPr>
        <w:t xml:space="preserve">del Informe de la Presidenta de la Comisión 6 (Documento 157). Se </w:t>
      </w:r>
      <w:r w:rsidRPr="000D401F">
        <w:rPr>
          <w:b/>
          <w:bCs/>
          <w:lang w:val="es-ES"/>
        </w:rPr>
        <w:t>aprueban</w:t>
      </w:r>
      <w:r w:rsidRPr="00673D8C">
        <w:rPr>
          <w:lang w:val="es-ES"/>
        </w:rPr>
        <w:t xml:space="preserve"> </w:t>
      </w:r>
      <w:r w:rsidRPr="000D401F">
        <w:rPr>
          <w:lang w:val="es-ES"/>
        </w:rPr>
        <w:t>las cinco recomendaciones contenidas en el informe y las recomendaciones consignadas en las actas de la Plenaria.</w:t>
      </w:r>
    </w:p>
    <w:p w14:paraId="7EEA555C" w14:textId="6D7A772F" w:rsidR="000D401F" w:rsidRPr="000D401F" w:rsidRDefault="000D401F" w:rsidP="00A655BA">
      <w:pPr>
        <w:rPr>
          <w:lang w:val="es-ES"/>
        </w:rPr>
      </w:pPr>
      <w:r w:rsidRPr="000D401F">
        <w:rPr>
          <w:lang w:val="es-ES"/>
        </w:rPr>
        <w:t>2.9</w:t>
      </w:r>
      <w:r w:rsidRPr="000D401F">
        <w:rPr>
          <w:lang w:val="es-ES"/>
        </w:rPr>
        <w:tab/>
      </w:r>
      <w:r w:rsidR="00480F81">
        <w:rPr>
          <w:lang w:val="es-ES"/>
        </w:rPr>
        <w:t>El</w:t>
      </w:r>
      <w:r w:rsidRPr="000D401F">
        <w:rPr>
          <w:lang w:val="es-ES"/>
        </w:rPr>
        <w:t xml:space="preserve"> </w:t>
      </w:r>
      <w:r w:rsidRPr="000D401F">
        <w:rPr>
          <w:b/>
          <w:bCs/>
          <w:lang w:val="es-ES"/>
        </w:rPr>
        <w:t>delegad</w:t>
      </w:r>
      <w:r w:rsidR="00480F81">
        <w:rPr>
          <w:b/>
          <w:bCs/>
          <w:lang w:val="es-ES"/>
        </w:rPr>
        <w:t>o</w:t>
      </w:r>
      <w:r w:rsidRPr="000D401F">
        <w:rPr>
          <w:b/>
          <w:bCs/>
          <w:lang w:val="es-ES"/>
        </w:rPr>
        <w:t xml:space="preserve"> de la Federación de Rusia</w:t>
      </w:r>
      <w:r w:rsidRPr="000D401F">
        <w:rPr>
          <w:lang w:val="es-ES"/>
        </w:rPr>
        <w:t>, tras dar las gracias a la Presidenta de la Comisión</w:t>
      </w:r>
      <w:r w:rsidR="00A655BA">
        <w:rPr>
          <w:lang w:val="es-ES"/>
        </w:rPr>
        <w:t> </w:t>
      </w:r>
      <w:r w:rsidRPr="000D401F">
        <w:rPr>
          <w:lang w:val="es-ES"/>
        </w:rPr>
        <w:t>6 por sus esfuerzos, declara que sería útil que se hiciera referencia en el informe a las contribuciones examinadas por la Comisión.</w:t>
      </w:r>
    </w:p>
    <w:p w14:paraId="7ED9A0BB" w14:textId="77777777" w:rsidR="000D401F" w:rsidRPr="000D401F" w:rsidRDefault="000D401F" w:rsidP="00A655BA">
      <w:pPr>
        <w:rPr>
          <w:lang w:val="es-ES"/>
        </w:rPr>
      </w:pPr>
      <w:r w:rsidRPr="000D401F">
        <w:rPr>
          <w:lang w:val="es-ES"/>
        </w:rPr>
        <w:t>2.10</w:t>
      </w:r>
      <w:r w:rsidRPr="000D401F">
        <w:rPr>
          <w:lang w:val="es-ES"/>
        </w:rPr>
        <w:tab/>
        <w:t xml:space="preserve">Se </w:t>
      </w:r>
      <w:r w:rsidRPr="000D401F">
        <w:rPr>
          <w:b/>
          <w:bCs/>
          <w:lang w:val="es-ES"/>
        </w:rPr>
        <w:t xml:space="preserve">toma nota </w:t>
      </w:r>
      <w:r w:rsidRPr="000D401F">
        <w:rPr>
          <w:lang w:val="es-ES"/>
        </w:rPr>
        <w:t>de esa solicitud.</w:t>
      </w:r>
    </w:p>
    <w:p w14:paraId="7DF81EF0" w14:textId="4641007D" w:rsidR="000D401F" w:rsidRPr="000D401F" w:rsidRDefault="000D401F" w:rsidP="00A655BA">
      <w:pPr>
        <w:rPr>
          <w:lang w:val="es-ES"/>
        </w:rPr>
      </w:pPr>
      <w:r w:rsidRPr="000D401F">
        <w:rPr>
          <w:lang w:val="es-ES"/>
        </w:rPr>
        <w:lastRenderedPageBreak/>
        <w:t>2.11</w:t>
      </w:r>
      <w:r w:rsidRPr="000D401F">
        <w:rPr>
          <w:lang w:val="es-ES"/>
        </w:rPr>
        <w:tab/>
        <w:t xml:space="preserve">Haciéndose eco del agradecimiento a la Presidenta de la Comisión 6 por su extraordinario liderazgo, compromiso y orientación manifestado por los delegados de </w:t>
      </w:r>
      <w:r w:rsidRPr="000D401F">
        <w:rPr>
          <w:b/>
          <w:bCs/>
          <w:lang w:val="es-ES"/>
        </w:rPr>
        <w:t>Papua Nueva Guinea</w:t>
      </w:r>
      <w:r w:rsidRPr="00673D8C">
        <w:rPr>
          <w:lang w:val="es-ES"/>
        </w:rPr>
        <w:t xml:space="preserve">, la </w:t>
      </w:r>
      <w:r w:rsidRPr="000D401F">
        <w:rPr>
          <w:b/>
          <w:bCs/>
          <w:lang w:val="es-ES"/>
        </w:rPr>
        <w:t>República Islámica del Irán</w:t>
      </w:r>
      <w:r w:rsidRPr="00673D8C">
        <w:rPr>
          <w:lang w:val="es-ES"/>
        </w:rPr>
        <w:t>, los</w:t>
      </w:r>
      <w:r w:rsidRPr="000D401F">
        <w:rPr>
          <w:b/>
          <w:bCs/>
          <w:lang w:val="es-ES"/>
        </w:rPr>
        <w:t xml:space="preserve"> Estados Unidos</w:t>
      </w:r>
      <w:r w:rsidRPr="00673D8C">
        <w:rPr>
          <w:lang w:val="es-ES"/>
        </w:rPr>
        <w:t xml:space="preserve">, </w:t>
      </w:r>
      <w:r w:rsidRPr="000D401F">
        <w:rPr>
          <w:b/>
          <w:bCs/>
          <w:lang w:val="es-ES"/>
        </w:rPr>
        <w:t>Arabia Saudita</w:t>
      </w:r>
      <w:r w:rsidRPr="00673D8C">
        <w:rPr>
          <w:lang w:val="es-ES"/>
        </w:rPr>
        <w:t>, los</w:t>
      </w:r>
      <w:r w:rsidRPr="000D401F">
        <w:rPr>
          <w:b/>
          <w:bCs/>
          <w:lang w:val="es-ES"/>
        </w:rPr>
        <w:t xml:space="preserve"> Emiratos Árabes Unidos</w:t>
      </w:r>
      <w:r w:rsidRPr="00673D8C">
        <w:rPr>
          <w:lang w:val="es-ES"/>
        </w:rPr>
        <w:t xml:space="preserve">, </w:t>
      </w:r>
      <w:r w:rsidRPr="000D401F">
        <w:rPr>
          <w:lang w:val="es-ES"/>
        </w:rPr>
        <w:t xml:space="preserve">hablando en nombre del Grupo Árabe, </w:t>
      </w:r>
      <w:r w:rsidRPr="000D401F">
        <w:rPr>
          <w:b/>
          <w:bCs/>
          <w:lang w:val="es-ES"/>
        </w:rPr>
        <w:t>Israel</w:t>
      </w:r>
      <w:r w:rsidRPr="00673D8C">
        <w:rPr>
          <w:lang w:val="es-ES"/>
        </w:rPr>
        <w:t xml:space="preserve">, </w:t>
      </w:r>
      <w:r w:rsidRPr="000D401F">
        <w:rPr>
          <w:b/>
          <w:bCs/>
          <w:lang w:val="es-ES"/>
        </w:rPr>
        <w:t>Brasil</w:t>
      </w:r>
      <w:r w:rsidRPr="000F2B7E">
        <w:rPr>
          <w:lang w:val="es-ES"/>
        </w:rPr>
        <w:t>, la</w:t>
      </w:r>
      <w:r w:rsidRPr="000D401F">
        <w:rPr>
          <w:b/>
          <w:bCs/>
          <w:lang w:val="es-ES"/>
        </w:rPr>
        <w:t xml:space="preserve"> República de Corea</w:t>
      </w:r>
      <w:r w:rsidRPr="000F2B7E">
        <w:rPr>
          <w:lang w:val="es-ES"/>
        </w:rPr>
        <w:t xml:space="preserve">, </w:t>
      </w:r>
      <w:r w:rsidRPr="000D401F">
        <w:rPr>
          <w:b/>
          <w:bCs/>
          <w:lang w:val="es-ES"/>
        </w:rPr>
        <w:t>Sud</w:t>
      </w:r>
      <w:r w:rsidR="000F2B7E">
        <w:rPr>
          <w:b/>
          <w:bCs/>
          <w:lang w:val="es-ES"/>
        </w:rPr>
        <w:t>á</w:t>
      </w:r>
      <w:r w:rsidRPr="000D401F">
        <w:rPr>
          <w:b/>
          <w:bCs/>
          <w:lang w:val="es-ES"/>
        </w:rPr>
        <w:t>frica</w:t>
      </w:r>
      <w:r w:rsidRPr="000F2B7E">
        <w:rPr>
          <w:lang w:val="es-ES"/>
        </w:rPr>
        <w:t xml:space="preserve">, las </w:t>
      </w:r>
      <w:r w:rsidRPr="000D401F">
        <w:rPr>
          <w:b/>
          <w:bCs/>
          <w:lang w:val="es-ES"/>
        </w:rPr>
        <w:t>Bahamas</w:t>
      </w:r>
      <w:r w:rsidRPr="000F2B7E">
        <w:rPr>
          <w:lang w:val="es-ES"/>
        </w:rPr>
        <w:t xml:space="preserve">, </w:t>
      </w:r>
      <w:r w:rsidRPr="000D401F">
        <w:rPr>
          <w:b/>
          <w:bCs/>
          <w:lang w:val="es-ES"/>
        </w:rPr>
        <w:t>Zimbabwe</w:t>
      </w:r>
      <w:r w:rsidRPr="000F2B7E">
        <w:rPr>
          <w:lang w:val="es-ES"/>
        </w:rPr>
        <w:t xml:space="preserve">, </w:t>
      </w:r>
      <w:r w:rsidRPr="000D401F">
        <w:rPr>
          <w:b/>
          <w:bCs/>
          <w:lang w:val="es-ES"/>
        </w:rPr>
        <w:t>el Reino Unido</w:t>
      </w:r>
      <w:r w:rsidRPr="000F2B7E">
        <w:rPr>
          <w:lang w:val="es-ES"/>
        </w:rPr>
        <w:t xml:space="preserve">, </w:t>
      </w:r>
      <w:r w:rsidRPr="000D401F">
        <w:rPr>
          <w:b/>
          <w:bCs/>
          <w:lang w:val="es-ES"/>
        </w:rPr>
        <w:t>Côte d'Ivoire</w:t>
      </w:r>
      <w:r w:rsidRPr="000F2B7E">
        <w:rPr>
          <w:lang w:val="es-ES"/>
        </w:rPr>
        <w:t xml:space="preserve">, </w:t>
      </w:r>
      <w:r w:rsidRPr="000D401F">
        <w:rPr>
          <w:b/>
          <w:bCs/>
          <w:lang w:val="es-ES"/>
        </w:rPr>
        <w:t>Burkina Faso</w:t>
      </w:r>
      <w:r w:rsidRPr="000F2B7E">
        <w:rPr>
          <w:lang w:val="es-ES"/>
        </w:rPr>
        <w:t xml:space="preserve">, </w:t>
      </w:r>
      <w:r w:rsidRPr="000D401F">
        <w:rPr>
          <w:b/>
          <w:bCs/>
          <w:lang w:val="es-ES"/>
        </w:rPr>
        <w:t>Túnez</w:t>
      </w:r>
      <w:r w:rsidRPr="000F2B7E">
        <w:rPr>
          <w:lang w:val="es-ES"/>
        </w:rPr>
        <w:t xml:space="preserve">, </w:t>
      </w:r>
      <w:r w:rsidRPr="000D401F">
        <w:rPr>
          <w:b/>
          <w:bCs/>
          <w:lang w:val="es-ES"/>
        </w:rPr>
        <w:t>China</w:t>
      </w:r>
      <w:r w:rsidRPr="000F2B7E">
        <w:rPr>
          <w:lang w:val="es-ES"/>
        </w:rPr>
        <w:t xml:space="preserve"> y </w:t>
      </w:r>
      <w:r w:rsidRPr="000D401F">
        <w:rPr>
          <w:b/>
          <w:bCs/>
          <w:lang w:val="es-ES"/>
        </w:rPr>
        <w:t>Argelia</w:t>
      </w:r>
      <w:r w:rsidRPr="000F2B7E">
        <w:rPr>
          <w:lang w:val="es-ES"/>
        </w:rPr>
        <w:t xml:space="preserve">, </w:t>
      </w:r>
      <w:r w:rsidRPr="000D401F">
        <w:rPr>
          <w:lang w:val="es-ES"/>
        </w:rPr>
        <w:t xml:space="preserve">hablando en nombre del Grupo </w:t>
      </w:r>
      <w:r w:rsidR="000F2B7E">
        <w:rPr>
          <w:lang w:val="es-ES"/>
        </w:rPr>
        <w:t>Africano</w:t>
      </w:r>
      <w:r w:rsidRPr="000D401F">
        <w:rPr>
          <w:lang w:val="es-ES"/>
        </w:rPr>
        <w:t xml:space="preserve">, el </w:t>
      </w:r>
      <w:r w:rsidRPr="000D401F">
        <w:rPr>
          <w:b/>
          <w:bCs/>
          <w:lang w:val="es-ES"/>
        </w:rPr>
        <w:t xml:space="preserve">Presidente </w:t>
      </w:r>
      <w:r w:rsidRPr="000D401F">
        <w:rPr>
          <w:lang w:val="es-ES"/>
        </w:rPr>
        <w:t>da las gracias a los miembros de la Comisión</w:t>
      </w:r>
      <w:r w:rsidR="000F2B7E">
        <w:rPr>
          <w:lang w:val="es-ES"/>
        </w:rPr>
        <w:t> </w:t>
      </w:r>
      <w:r w:rsidRPr="000D401F">
        <w:rPr>
          <w:lang w:val="es-ES"/>
        </w:rPr>
        <w:t>6 y a su President</w:t>
      </w:r>
      <w:r w:rsidR="000F2B7E">
        <w:rPr>
          <w:lang w:val="es-ES"/>
        </w:rPr>
        <w:t>a</w:t>
      </w:r>
      <w:r w:rsidRPr="000D401F">
        <w:rPr>
          <w:lang w:val="es-ES"/>
        </w:rPr>
        <w:t xml:space="preserve"> por el excelente trabajo realizado sobre estas importantes y difíciles cuestiones.</w:t>
      </w:r>
    </w:p>
    <w:p w14:paraId="32C7EAE1" w14:textId="6B56126F" w:rsidR="000D401F" w:rsidRPr="000D401F" w:rsidRDefault="000D401F" w:rsidP="00805D57">
      <w:pPr>
        <w:pStyle w:val="Heading1"/>
        <w:rPr>
          <w:lang w:val="es-ES"/>
        </w:rPr>
      </w:pPr>
      <w:r w:rsidRPr="00E359FD">
        <w:rPr>
          <w:lang w:val="es-ES"/>
        </w:rPr>
        <w:t>3</w:t>
      </w:r>
      <w:r w:rsidRPr="00E359FD">
        <w:rPr>
          <w:lang w:val="es-ES"/>
        </w:rPr>
        <w:tab/>
        <w:t>Informe de la Presidenta de la Comisión</w:t>
      </w:r>
      <w:r w:rsidR="00A75E8D">
        <w:rPr>
          <w:lang w:val="es-ES"/>
        </w:rPr>
        <w:t> </w:t>
      </w:r>
      <w:r w:rsidRPr="00E359FD">
        <w:rPr>
          <w:lang w:val="es-ES"/>
        </w:rPr>
        <w:t>5 (Documento</w:t>
      </w:r>
      <w:r w:rsidR="00A75E8D">
        <w:rPr>
          <w:lang w:val="es-ES"/>
        </w:rPr>
        <w:t> </w:t>
      </w:r>
      <w:hyperlink r:id="rId21" w:history="1">
        <w:r w:rsidRPr="00E359FD">
          <w:rPr>
            <w:rStyle w:val="Hyperlink"/>
            <w:lang w:val="es-ES"/>
          </w:rPr>
          <w:t>189</w:t>
        </w:r>
      </w:hyperlink>
      <w:r w:rsidRPr="00E359FD">
        <w:rPr>
          <w:lang w:val="es-ES"/>
        </w:rPr>
        <w:t>)</w:t>
      </w:r>
    </w:p>
    <w:p w14:paraId="3A8A7FCC" w14:textId="154243FA" w:rsidR="000D401F" w:rsidRPr="000D401F" w:rsidRDefault="000D401F" w:rsidP="00A655BA">
      <w:pPr>
        <w:rPr>
          <w:lang w:val="es-ES"/>
        </w:rPr>
      </w:pPr>
      <w:r w:rsidRPr="000D401F">
        <w:rPr>
          <w:lang w:val="es-ES"/>
        </w:rPr>
        <w:t>3.1</w:t>
      </w:r>
      <w:r w:rsidRPr="000D401F">
        <w:rPr>
          <w:lang w:val="es-ES"/>
        </w:rPr>
        <w:tab/>
        <w:t xml:space="preserve">La </w:t>
      </w:r>
      <w:r w:rsidRPr="000D401F">
        <w:rPr>
          <w:b/>
          <w:bCs/>
          <w:lang w:val="es-ES"/>
        </w:rPr>
        <w:t>Presidenta de la Comisión 5</w:t>
      </w:r>
      <w:r w:rsidRPr="00480F81">
        <w:rPr>
          <w:lang w:val="es-ES"/>
        </w:rPr>
        <w:t xml:space="preserve"> </w:t>
      </w:r>
      <w:r w:rsidRPr="000D401F">
        <w:rPr>
          <w:lang w:val="es-ES"/>
        </w:rPr>
        <w:t>presenta el Informe contenido en el Documento 189 y declara que la Comisión</w:t>
      </w:r>
      <w:r w:rsidR="00480F81">
        <w:rPr>
          <w:lang w:val="es-ES"/>
        </w:rPr>
        <w:t> </w:t>
      </w:r>
      <w:r w:rsidRPr="000D401F">
        <w:rPr>
          <w:lang w:val="es-ES"/>
        </w:rPr>
        <w:t>5 se ha reunido en nueve ocasiones, realizando sus trabajos con arreglo al mandato contenido en el Documento</w:t>
      </w:r>
      <w:r w:rsidR="00480F81">
        <w:rPr>
          <w:lang w:val="es-ES"/>
        </w:rPr>
        <w:t> </w:t>
      </w:r>
      <w:r w:rsidRPr="000D401F">
        <w:rPr>
          <w:lang w:val="es-ES"/>
        </w:rPr>
        <w:t xml:space="preserve">DT/8. La Comisión ha examinado las propuestas asignadas por la Plenaria y recomienda la adopción de cuatro </w:t>
      </w:r>
      <w:r w:rsidR="00480F81">
        <w:rPr>
          <w:lang w:val="es-ES"/>
        </w:rPr>
        <w:t>r</w:t>
      </w:r>
      <w:r w:rsidRPr="000D401F">
        <w:rPr>
          <w:lang w:val="es-ES"/>
        </w:rPr>
        <w:t>esoluciones nuevas y 17 revisadas.</w:t>
      </w:r>
    </w:p>
    <w:p w14:paraId="6E558894" w14:textId="2D37DE00" w:rsidR="000D401F" w:rsidRPr="000D401F" w:rsidRDefault="000D401F" w:rsidP="00A655BA">
      <w:pPr>
        <w:rPr>
          <w:lang w:val="es-ES"/>
        </w:rPr>
      </w:pPr>
      <w:r w:rsidRPr="000D401F">
        <w:rPr>
          <w:lang w:val="es-ES"/>
        </w:rPr>
        <w:t>3.2</w:t>
      </w:r>
      <w:r w:rsidRPr="000D401F">
        <w:rPr>
          <w:lang w:val="es-ES"/>
        </w:rPr>
        <w:tab/>
        <w:t xml:space="preserve">Señala la atención </w:t>
      </w:r>
      <w:r w:rsidR="00480F81">
        <w:rPr>
          <w:lang w:val="es-ES"/>
        </w:rPr>
        <w:t xml:space="preserve">de </w:t>
      </w:r>
      <w:r w:rsidRPr="000D401F">
        <w:rPr>
          <w:lang w:val="es-ES"/>
        </w:rPr>
        <w:t>lo siguiente: la adopción de la recomendación</w:t>
      </w:r>
      <w:r w:rsidR="00A75E8D">
        <w:rPr>
          <w:lang w:val="es-ES"/>
        </w:rPr>
        <w:t> </w:t>
      </w:r>
      <w:r w:rsidRPr="000D401F">
        <w:rPr>
          <w:lang w:val="es-ES"/>
        </w:rPr>
        <w:t>1 en relación con la revisión de la Resolución</w:t>
      </w:r>
      <w:r w:rsidR="00A75E8D">
        <w:rPr>
          <w:lang w:val="es-ES"/>
        </w:rPr>
        <w:t> </w:t>
      </w:r>
      <w:r w:rsidRPr="000D401F">
        <w:rPr>
          <w:lang w:val="es-ES"/>
        </w:rPr>
        <w:t>119 (Rev. Antalya, 2006) y de la recomendación</w:t>
      </w:r>
      <w:r w:rsidR="00A75E8D">
        <w:rPr>
          <w:lang w:val="es-ES"/>
        </w:rPr>
        <w:t> </w:t>
      </w:r>
      <w:r w:rsidRPr="000D401F">
        <w:rPr>
          <w:lang w:val="es-ES"/>
        </w:rPr>
        <w:t>2 en relación con la revisión de la Resolución</w:t>
      </w:r>
      <w:r w:rsidR="00A75E8D">
        <w:rPr>
          <w:lang w:val="es-ES"/>
        </w:rPr>
        <w:t> </w:t>
      </w:r>
      <w:r w:rsidRPr="000D401F">
        <w:rPr>
          <w:lang w:val="es-ES"/>
        </w:rPr>
        <w:t>167 (Rev. Antalya, 2006)</w:t>
      </w:r>
      <w:r w:rsidR="00E359FD">
        <w:rPr>
          <w:lang w:val="es-ES"/>
        </w:rPr>
        <w:t>,</w:t>
      </w:r>
      <w:r w:rsidRPr="000D401F">
        <w:rPr>
          <w:lang w:val="es-ES"/>
        </w:rPr>
        <w:t xml:space="preserve"> la necesidad de seguir racionalizando el texto de la revisión de la Resolución</w:t>
      </w:r>
      <w:r w:rsidR="00A75E8D">
        <w:rPr>
          <w:lang w:val="es-ES"/>
        </w:rPr>
        <w:t> </w:t>
      </w:r>
      <w:r w:rsidRPr="000D401F">
        <w:rPr>
          <w:lang w:val="es-ES"/>
        </w:rPr>
        <w:t>182 (Rev. Busán, 2014) en la Conferencia de Plenipotenciarios de</w:t>
      </w:r>
      <w:r w:rsidR="00E359FD">
        <w:rPr>
          <w:lang w:val="es-ES"/>
        </w:rPr>
        <w:t> </w:t>
      </w:r>
      <w:r w:rsidRPr="000D401F">
        <w:rPr>
          <w:lang w:val="es-ES"/>
        </w:rPr>
        <w:t>2026, a fin de disminuir la redundancia; el título modificado de la Resolución</w:t>
      </w:r>
      <w:r w:rsidR="00F31477">
        <w:rPr>
          <w:lang w:val="es-ES"/>
        </w:rPr>
        <w:t> </w:t>
      </w:r>
      <w:r w:rsidRPr="000D401F">
        <w:rPr>
          <w:lang w:val="es-ES"/>
        </w:rPr>
        <w:t>188 (Rev.</w:t>
      </w:r>
      <w:r w:rsidR="00E359FD">
        <w:rPr>
          <w:lang w:val="es-ES"/>
        </w:rPr>
        <w:t> </w:t>
      </w:r>
      <w:r w:rsidRPr="000D401F">
        <w:rPr>
          <w:lang w:val="es-ES"/>
        </w:rPr>
        <w:t>Dubái,</w:t>
      </w:r>
      <w:r w:rsidR="00E359FD">
        <w:rPr>
          <w:lang w:val="es-ES"/>
        </w:rPr>
        <w:t> </w:t>
      </w:r>
      <w:r w:rsidRPr="000D401F">
        <w:rPr>
          <w:lang w:val="es-ES"/>
        </w:rPr>
        <w:t>2018); y la decisión de no modificar la Resolución</w:t>
      </w:r>
      <w:r w:rsidR="00F31477">
        <w:rPr>
          <w:lang w:val="es-ES"/>
        </w:rPr>
        <w:t> </w:t>
      </w:r>
      <w:r w:rsidRPr="000D401F">
        <w:rPr>
          <w:lang w:val="es-ES"/>
        </w:rPr>
        <w:t>100 (Minneápolis, 1998).</w:t>
      </w:r>
    </w:p>
    <w:p w14:paraId="62657CF1" w14:textId="141AFA12" w:rsidR="000D401F" w:rsidRPr="000D401F" w:rsidRDefault="000D401F" w:rsidP="00A655BA">
      <w:pPr>
        <w:rPr>
          <w:lang w:val="es-ES"/>
        </w:rPr>
      </w:pPr>
      <w:r w:rsidRPr="00E359FD">
        <w:rPr>
          <w:lang w:val="es-ES"/>
        </w:rPr>
        <w:t>3.3</w:t>
      </w:r>
      <w:r w:rsidRPr="000D401F">
        <w:rPr>
          <w:lang w:val="es-ES"/>
        </w:rPr>
        <w:tab/>
        <w:t xml:space="preserve">Las cuatro nuevas </w:t>
      </w:r>
      <w:r w:rsidR="00E359FD">
        <w:rPr>
          <w:lang w:val="es-ES"/>
        </w:rPr>
        <w:t>r</w:t>
      </w:r>
      <w:r w:rsidRPr="000D401F">
        <w:rPr>
          <w:lang w:val="es-ES"/>
        </w:rPr>
        <w:t>esoluciones adoptadas relativas a la utilización de asignaciones de frecuencias por instalaciones radioeléctricas militares de servicios de defensa nacional</w:t>
      </w:r>
      <w:r w:rsidR="00E359FD">
        <w:rPr>
          <w:lang w:val="es-ES"/>
        </w:rPr>
        <w:t>;</w:t>
      </w:r>
      <w:r w:rsidRPr="000D401F">
        <w:rPr>
          <w:lang w:val="es-ES"/>
        </w:rPr>
        <w:t xml:space="preserve"> </w:t>
      </w:r>
      <w:r w:rsidR="00E359FD" w:rsidRPr="00F31477">
        <w:rPr>
          <w:lang w:val="es-ES"/>
        </w:rPr>
        <w:t>la c</w:t>
      </w:r>
      <w:r w:rsidRPr="00F31477">
        <w:rPr>
          <w:lang w:val="es-ES"/>
        </w:rPr>
        <w:t>ontinuidad de las actividades</w:t>
      </w:r>
      <w:r w:rsidR="00E359FD">
        <w:rPr>
          <w:lang w:val="es-ES"/>
        </w:rPr>
        <w:t>;</w:t>
      </w:r>
      <w:r w:rsidRPr="000D401F">
        <w:rPr>
          <w:lang w:val="es-ES"/>
        </w:rPr>
        <w:t xml:space="preserve"> la Agenda "Espacio2030"; y la sostenibilidad de los recursos de espectro y órbita. En relación con este último texto (Resolución COM5/4 (Bucarest, 2022)), los Estados Miembros de la Región Árabe han presentado la siguiente declaración para que se incluya en las actas de la Plenaria:</w:t>
      </w:r>
    </w:p>
    <w:p w14:paraId="6A770808" w14:textId="6612E3EA" w:rsidR="000D401F" w:rsidRPr="000D401F" w:rsidRDefault="000D401F" w:rsidP="00FE5D73">
      <w:pPr>
        <w:rPr>
          <w:lang w:val="es-ES"/>
        </w:rPr>
      </w:pPr>
      <w:r w:rsidRPr="000D401F">
        <w:rPr>
          <w:lang w:val="es-ES"/>
        </w:rPr>
        <w:t xml:space="preserve">"Al examinar la nueva </w:t>
      </w:r>
      <w:r w:rsidR="00E359FD">
        <w:rPr>
          <w:lang w:val="es-ES"/>
        </w:rPr>
        <w:t>r</w:t>
      </w:r>
      <w:r w:rsidRPr="000D401F">
        <w:rPr>
          <w:lang w:val="es-ES"/>
        </w:rPr>
        <w:t>esolución sobre sostenibilidad del espectro de frecuencias radioeléctricas y los recursos de órbitas de satélites asociados utilizados por los servicios espaciales, se invita al Director de la Oficina de Radiocomunicaciones a tener en cuenta la sostenibilidad del espacio exterior en la aplicación de los métodos de la Oficina"</w:t>
      </w:r>
      <w:r w:rsidR="00E359FD">
        <w:rPr>
          <w:lang w:val="es-ES"/>
        </w:rPr>
        <w:t>.</w:t>
      </w:r>
    </w:p>
    <w:p w14:paraId="737C1CFB" w14:textId="34DD5A4D" w:rsidR="000D401F" w:rsidRPr="000D401F" w:rsidRDefault="000D401F" w:rsidP="00A655BA">
      <w:pPr>
        <w:rPr>
          <w:lang w:val="es-ES"/>
        </w:rPr>
      </w:pPr>
      <w:r w:rsidRPr="000D401F">
        <w:rPr>
          <w:lang w:val="es-ES"/>
        </w:rPr>
        <w:t>3.4</w:t>
      </w:r>
      <w:r w:rsidRPr="000D401F">
        <w:rPr>
          <w:lang w:val="es-ES"/>
        </w:rPr>
        <w:tab/>
        <w:t>La Comisión no ha llegado a un consenso sobre las propuestas relativas a la revisión de la Resolución</w:t>
      </w:r>
      <w:r w:rsidR="00A75E8D">
        <w:rPr>
          <w:lang w:val="es-ES"/>
        </w:rPr>
        <w:t> </w:t>
      </w:r>
      <w:r w:rsidRPr="000D401F">
        <w:rPr>
          <w:lang w:val="es-ES"/>
        </w:rPr>
        <w:t>146 (Rev. Dubái, 2018).</w:t>
      </w:r>
    </w:p>
    <w:p w14:paraId="7B70AF9B" w14:textId="21AC929F" w:rsidR="000D401F" w:rsidRPr="000D401F" w:rsidRDefault="000D401F" w:rsidP="00A655BA">
      <w:pPr>
        <w:rPr>
          <w:lang w:val="es-ES"/>
        </w:rPr>
      </w:pPr>
      <w:r w:rsidRPr="000D401F">
        <w:rPr>
          <w:lang w:val="es-ES"/>
        </w:rPr>
        <w:t>3.5</w:t>
      </w:r>
      <w:r w:rsidRPr="000D401F">
        <w:rPr>
          <w:lang w:val="es-ES"/>
        </w:rPr>
        <w:tab/>
        <w:t xml:space="preserve">Asimismo, decidió no adoptar la propuesta de </w:t>
      </w:r>
      <w:r w:rsidR="00C914CC">
        <w:rPr>
          <w:lang w:val="es-ES"/>
        </w:rPr>
        <w:t>r</w:t>
      </w:r>
      <w:r w:rsidRPr="000D401F">
        <w:rPr>
          <w:lang w:val="es-ES"/>
        </w:rPr>
        <w:t xml:space="preserve">esolución sobre la participación de la UIT en Memorandos de Entendimiento, que es el objeto de la recomendación 3; la propuesta de </w:t>
      </w:r>
      <w:r w:rsidR="00C914CC">
        <w:rPr>
          <w:lang w:val="es-ES"/>
        </w:rPr>
        <w:t>r</w:t>
      </w:r>
      <w:r w:rsidRPr="000D401F">
        <w:rPr>
          <w:lang w:val="es-ES"/>
        </w:rPr>
        <w:t>esolución relativa al mandato de los funcionarios de elección de la Unión; la propuesta de decisión relativa a la realización de campañas electorales, objeto de la recomendación</w:t>
      </w:r>
      <w:r w:rsidR="00C914CC">
        <w:rPr>
          <w:lang w:val="es-ES"/>
        </w:rPr>
        <w:t> </w:t>
      </w:r>
      <w:r w:rsidRPr="000D401F">
        <w:rPr>
          <w:lang w:val="es-ES"/>
        </w:rPr>
        <w:t>4; la propuesta de resolución relativa a la participación de la industria, objeto de la recomendación</w:t>
      </w:r>
      <w:r w:rsidR="00C914CC">
        <w:rPr>
          <w:lang w:val="es-ES"/>
        </w:rPr>
        <w:t> </w:t>
      </w:r>
      <w:r w:rsidRPr="000D401F">
        <w:rPr>
          <w:lang w:val="es-ES"/>
        </w:rPr>
        <w:t>5</w:t>
      </w:r>
      <w:bookmarkStart w:id="7" w:name="_Hlk117548665"/>
      <w:bookmarkEnd w:id="7"/>
      <w:r w:rsidR="00C914CC">
        <w:rPr>
          <w:lang w:val="es-ES"/>
        </w:rPr>
        <w:t>.</w:t>
      </w:r>
    </w:p>
    <w:p w14:paraId="2D0DD934" w14:textId="7FE95429" w:rsidR="000D401F" w:rsidRPr="000D401F" w:rsidRDefault="000D401F" w:rsidP="00A655BA">
      <w:pPr>
        <w:rPr>
          <w:lang w:val="es-ES"/>
        </w:rPr>
      </w:pPr>
      <w:r w:rsidRPr="000D401F">
        <w:rPr>
          <w:lang w:val="es-ES"/>
        </w:rPr>
        <w:t>3.6</w:t>
      </w:r>
      <w:r w:rsidRPr="000D401F">
        <w:rPr>
          <w:lang w:val="es-ES"/>
        </w:rPr>
        <w:tab/>
        <w:t xml:space="preserve">La propuesta de </w:t>
      </w:r>
      <w:r w:rsidR="00C914CC">
        <w:rPr>
          <w:lang w:val="es-ES"/>
        </w:rPr>
        <w:t>r</w:t>
      </w:r>
      <w:r w:rsidRPr="000D401F">
        <w:rPr>
          <w:lang w:val="es-ES"/>
        </w:rPr>
        <w:t>esolución relativa a los derechos de los Estados Miembros y Miembros de Sector en la UIT (Propuesta RUS/88/1) no ha sido adoptada, y la declaración de la Federación de Rusia al respecto figura en el §</w:t>
      </w:r>
      <w:r w:rsidR="00C914CC">
        <w:rPr>
          <w:lang w:val="es-ES"/>
        </w:rPr>
        <w:t> </w:t>
      </w:r>
      <w:r w:rsidRPr="000D401F">
        <w:rPr>
          <w:lang w:val="es-ES"/>
        </w:rPr>
        <w:t xml:space="preserve">2.6.5 del </w:t>
      </w:r>
      <w:r w:rsidR="00C914CC">
        <w:rPr>
          <w:lang w:val="es-ES"/>
        </w:rPr>
        <w:t>i</w:t>
      </w:r>
      <w:r w:rsidRPr="000D401F">
        <w:rPr>
          <w:lang w:val="es-ES"/>
        </w:rPr>
        <w:t>nforme.</w:t>
      </w:r>
    </w:p>
    <w:p w14:paraId="0752582A" w14:textId="77777777" w:rsidR="000D401F" w:rsidRPr="000D401F" w:rsidRDefault="000D401F" w:rsidP="00C914CC">
      <w:pPr>
        <w:keepNext/>
        <w:keepLines/>
        <w:rPr>
          <w:lang w:val="es-ES"/>
        </w:rPr>
      </w:pPr>
      <w:r w:rsidRPr="000D401F">
        <w:rPr>
          <w:lang w:val="es-ES"/>
        </w:rPr>
        <w:t>3.7</w:t>
      </w:r>
      <w:r w:rsidRPr="000D401F">
        <w:rPr>
          <w:lang w:val="es-ES"/>
        </w:rPr>
        <w:tab/>
        <w:t xml:space="preserve">El </w:t>
      </w:r>
      <w:r w:rsidRPr="000D401F">
        <w:rPr>
          <w:b/>
          <w:bCs/>
          <w:lang w:val="es-ES"/>
        </w:rPr>
        <w:t>delegado de la República Checa</w:t>
      </w:r>
      <w:r w:rsidRPr="000D401F">
        <w:rPr>
          <w:lang w:val="es-ES"/>
        </w:rPr>
        <w:t xml:space="preserve"> formula la siguiente declaración:</w:t>
      </w:r>
    </w:p>
    <w:p w14:paraId="7D0D068A" w14:textId="6944EEEF" w:rsidR="000D401F" w:rsidRPr="000D401F" w:rsidRDefault="000D401F" w:rsidP="00FE5D73">
      <w:pPr>
        <w:rPr>
          <w:lang w:val="es-ES"/>
        </w:rPr>
      </w:pPr>
      <w:r w:rsidRPr="000D401F">
        <w:rPr>
          <w:lang w:val="es-ES"/>
        </w:rPr>
        <w:t xml:space="preserve">"Deseamos realizar una intervención en nombre de los 27 Estados Miembros de la Unión Europea, Ucrania, Australia, Canadá, </w:t>
      </w:r>
      <w:r w:rsidR="00C914CC">
        <w:rPr>
          <w:lang w:val="es-ES"/>
        </w:rPr>
        <w:t xml:space="preserve">el </w:t>
      </w:r>
      <w:r w:rsidRPr="000D401F">
        <w:rPr>
          <w:lang w:val="es-ES"/>
        </w:rPr>
        <w:t xml:space="preserve">Reino Unido y </w:t>
      </w:r>
      <w:r w:rsidR="00C914CC">
        <w:rPr>
          <w:lang w:val="es-ES"/>
        </w:rPr>
        <w:t xml:space="preserve">los </w:t>
      </w:r>
      <w:r w:rsidRPr="000D401F">
        <w:rPr>
          <w:lang w:val="es-ES"/>
        </w:rPr>
        <w:t>Estados Unidos.</w:t>
      </w:r>
    </w:p>
    <w:p w14:paraId="77C0E0AE" w14:textId="71D03E59" w:rsidR="000D401F" w:rsidRPr="000D401F" w:rsidRDefault="000D401F" w:rsidP="00FE5D73">
      <w:pPr>
        <w:rPr>
          <w:lang w:val="es-ES"/>
        </w:rPr>
      </w:pPr>
      <w:r w:rsidRPr="000D401F">
        <w:rPr>
          <w:lang w:val="es-ES"/>
        </w:rPr>
        <w:lastRenderedPageBreak/>
        <w:t>La intervención se refiere a la declaración de Rusia, contenida en el informe de la Comisión</w:t>
      </w:r>
      <w:r w:rsidR="00C914CC">
        <w:rPr>
          <w:lang w:val="es-ES"/>
        </w:rPr>
        <w:t> </w:t>
      </w:r>
      <w:r w:rsidRPr="000D401F">
        <w:rPr>
          <w:lang w:val="es-ES"/>
        </w:rPr>
        <w:t>5 y que se refiere a la contribución ahora retirada contenida en el Documento</w:t>
      </w:r>
      <w:r w:rsidR="00C914CC">
        <w:rPr>
          <w:lang w:val="es-ES"/>
        </w:rPr>
        <w:t> </w:t>
      </w:r>
      <w:r w:rsidRPr="000D401F">
        <w:rPr>
          <w:lang w:val="es-ES"/>
        </w:rPr>
        <w:t>88. Rogamos que esta intervención se haga constar en las actas de la Plenaria</w:t>
      </w:r>
      <w:r w:rsidR="00A655BA">
        <w:rPr>
          <w:lang w:val="es-ES"/>
        </w:rPr>
        <w:t>.</w:t>
      </w:r>
    </w:p>
    <w:p w14:paraId="3D78597D" w14:textId="30328B52" w:rsidR="000D401F" w:rsidRPr="000D401F" w:rsidRDefault="000D401F" w:rsidP="00FE5D73">
      <w:pPr>
        <w:rPr>
          <w:lang w:val="es-ES"/>
        </w:rPr>
      </w:pPr>
      <w:r w:rsidRPr="000D401F">
        <w:rPr>
          <w:lang w:val="es-ES"/>
        </w:rPr>
        <w:t xml:space="preserve">La contribución </w:t>
      </w:r>
      <w:r w:rsidR="00C914CC">
        <w:rPr>
          <w:lang w:val="es-ES"/>
        </w:rPr>
        <w:t>N</w:t>
      </w:r>
      <w:r w:rsidRPr="000D401F">
        <w:rPr>
          <w:lang w:val="es-ES"/>
        </w:rPr>
        <w:t>º</w:t>
      </w:r>
      <w:r w:rsidR="00C914CC">
        <w:rPr>
          <w:lang w:val="es-ES"/>
        </w:rPr>
        <w:t> </w:t>
      </w:r>
      <w:r w:rsidRPr="000D401F">
        <w:rPr>
          <w:lang w:val="es-ES"/>
        </w:rPr>
        <w:t>88, presentada como garantía de los derechos de los Estados Miembros, socavaría de hecho los derechos y la capacidad de los Estados Miembros para decidir, en las conferencias y asambleas de los Sectores, sobre las presidencias y vicepresidencias de las Comisiones de Estudio y Grupos Asesores de los Sectores. Así, el Documento</w:t>
      </w:r>
      <w:r w:rsidR="00C914CC">
        <w:rPr>
          <w:lang w:val="es-ES"/>
        </w:rPr>
        <w:t> </w:t>
      </w:r>
      <w:r w:rsidRPr="000D401F">
        <w:rPr>
          <w:lang w:val="es-ES"/>
        </w:rPr>
        <w:t>88 no sólo atentaría contra la Constitución de la UIT, sino que sentaría un peligroso precedente para socavar las decisiones tomadas por los Estados Miembros con arreglo a las normas y procedimientos establecidos.</w:t>
      </w:r>
    </w:p>
    <w:p w14:paraId="4D0DE800" w14:textId="378D93FB" w:rsidR="000D401F" w:rsidRPr="000D401F" w:rsidRDefault="000D401F" w:rsidP="00FE5D73">
      <w:pPr>
        <w:rPr>
          <w:lang w:val="es-ES"/>
        </w:rPr>
      </w:pPr>
      <w:r w:rsidRPr="000D401F">
        <w:rPr>
          <w:lang w:val="es-ES"/>
        </w:rPr>
        <w:t>Por añadidura, el Documento</w:t>
      </w:r>
      <w:r w:rsidR="00C914CC">
        <w:rPr>
          <w:lang w:val="es-ES"/>
        </w:rPr>
        <w:t> </w:t>
      </w:r>
      <w:r w:rsidRPr="000D401F">
        <w:rPr>
          <w:lang w:val="es-ES"/>
        </w:rPr>
        <w:t>88 se basa en la falsa premisa de que se han vulnerado los derechos humanos de los candidatos a presidentes y vicepresidentes de las Comisiones de Estudio y los Grupos Asesores de la UIT. Lo que no es cierto. Ser nombrado o ser elegido presidente o vicepresidente no es un derecho humano. Los Estados Miembros de la UIT tienen el derecho soberano de decidir qué candidatos son los más adecuados para dirigir los trabajos de las Comisiones de Estudio de manera eficaz y en un espíritu confianza y el consenso.</w:t>
      </w:r>
    </w:p>
    <w:p w14:paraId="298A2ECE" w14:textId="4B5D569C" w:rsidR="000D401F" w:rsidRPr="000D401F" w:rsidRDefault="000D401F" w:rsidP="00FE5D73">
      <w:pPr>
        <w:rPr>
          <w:lang w:val="es-ES"/>
        </w:rPr>
      </w:pPr>
      <w:r w:rsidRPr="000D401F">
        <w:rPr>
          <w:lang w:val="es-ES"/>
        </w:rPr>
        <w:t>Por estas razones, que ponen en tela de juicio tanto su mérito como su base jurídica, el Documento</w:t>
      </w:r>
      <w:r w:rsidR="00C914CC">
        <w:rPr>
          <w:lang w:val="es-ES"/>
        </w:rPr>
        <w:t> </w:t>
      </w:r>
      <w:r w:rsidRPr="000D401F">
        <w:rPr>
          <w:lang w:val="es-ES"/>
        </w:rPr>
        <w:t>88 fue rechazado rotundamente por la mayoría de las delegaciones y no prosperó.</w:t>
      </w:r>
    </w:p>
    <w:p w14:paraId="35325068" w14:textId="1683CD13" w:rsidR="000D401F" w:rsidRPr="000D401F" w:rsidRDefault="000D401F" w:rsidP="00FE5D73">
      <w:pPr>
        <w:rPr>
          <w:lang w:val="es-ES"/>
        </w:rPr>
      </w:pPr>
      <w:r w:rsidRPr="000D401F">
        <w:rPr>
          <w:lang w:val="es-ES"/>
        </w:rPr>
        <w:t>Por último, quisiéramos dar las gracias a la Presidenta de la Comisión</w:t>
      </w:r>
      <w:r w:rsidR="00C914CC">
        <w:rPr>
          <w:lang w:val="es-ES"/>
        </w:rPr>
        <w:t> </w:t>
      </w:r>
      <w:r w:rsidRPr="000D401F">
        <w:rPr>
          <w:lang w:val="es-ES"/>
        </w:rPr>
        <w:t>5 por su extraordinaria gestión, ejercida con espíritu de transparencia e inclusión".</w:t>
      </w:r>
    </w:p>
    <w:p w14:paraId="664368C4" w14:textId="23D26B6D" w:rsidR="000D401F" w:rsidRPr="000D401F" w:rsidRDefault="000D401F" w:rsidP="00A655BA">
      <w:pPr>
        <w:rPr>
          <w:lang w:val="es-ES"/>
        </w:rPr>
      </w:pPr>
      <w:r w:rsidRPr="000D401F">
        <w:rPr>
          <w:lang w:val="es-ES"/>
        </w:rPr>
        <w:t>3.8</w:t>
      </w:r>
      <w:r w:rsidRPr="000D401F">
        <w:rPr>
          <w:lang w:val="es-ES"/>
        </w:rPr>
        <w:tab/>
        <w:t>El</w:t>
      </w:r>
      <w:r w:rsidRPr="000D401F">
        <w:rPr>
          <w:b/>
          <w:bCs/>
          <w:lang w:val="es-ES"/>
        </w:rPr>
        <w:t xml:space="preserve"> delegado de la Federación de Rusia</w:t>
      </w:r>
      <w:r w:rsidRPr="000D401F">
        <w:rPr>
          <w:lang w:val="es-ES"/>
        </w:rPr>
        <w:t xml:space="preserve">, en respuesta a la declaración de la República Checa, desea disipar cualquier duda en cuanto a los fundamentos jurídicos de la propuesta de la Federación de Rusia y recuerda que la propuesta ha sido respaldada por varios Estados Miembros de las regiones y que los que ahora expresan sus reservas se han negado a examinarla. La Federación de Rusia presentará una respuesta a esa declaración para que conste en las actas, que se reproduce en el </w:t>
      </w:r>
      <w:r w:rsidRPr="00C914CC">
        <w:rPr>
          <w:b/>
          <w:bCs/>
          <w:lang w:val="es-ES"/>
        </w:rPr>
        <w:t>Anexo</w:t>
      </w:r>
      <w:r w:rsidR="00A75E8D">
        <w:rPr>
          <w:b/>
          <w:bCs/>
          <w:lang w:val="es-ES"/>
        </w:rPr>
        <w:t> </w:t>
      </w:r>
      <w:r w:rsidRPr="00C914CC">
        <w:rPr>
          <w:b/>
          <w:bCs/>
          <w:lang w:val="es-ES"/>
        </w:rPr>
        <w:t>A</w:t>
      </w:r>
      <w:r w:rsidRPr="000D401F">
        <w:rPr>
          <w:lang w:val="es-ES"/>
        </w:rPr>
        <w:t>.</w:t>
      </w:r>
    </w:p>
    <w:p w14:paraId="43170FE1" w14:textId="4D05BAE0" w:rsidR="000D401F" w:rsidRPr="00A655BA" w:rsidRDefault="000D401F" w:rsidP="00A655BA">
      <w:r w:rsidRPr="000D401F">
        <w:rPr>
          <w:lang w:val="es-ES"/>
        </w:rPr>
        <w:t>3.9</w:t>
      </w:r>
      <w:r w:rsidRPr="000D401F">
        <w:rPr>
          <w:lang w:val="es-ES"/>
        </w:rPr>
        <w:tab/>
        <w:t>Se</w:t>
      </w:r>
      <w:r w:rsidRPr="000D401F">
        <w:rPr>
          <w:b/>
          <w:bCs/>
          <w:lang w:val="es-ES"/>
        </w:rPr>
        <w:t xml:space="preserve"> toma nota </w:t>
      </w:r>
      <w:r w:rsidRPr="000D401F">
        <w:rPr>
          <w:lang w:val="es-ES"/>
        </w:rPr>
        <w:t xml:space="preserve">del Informe de la Presidenta de la Comisión 5 (Documento 189) y de las declaraciones contenidas en el </w:t>
      </w:r>
      <w:r w:rsidR="00C914CC">
        <w:rPr>
          <w:lang w:val="es-ES"/>
        </w:rPr>
        <w:t>I</w:t>
      </w:r>
      <w:r w:rsidRPr="000D401F">
        <w:rPr>
          <w:lang w:val="es-ES"/>
        </w:rPr>
        <w:t xml:space="preserve">nforme y de las formuladas en la Sesión Plenaria. Se </w:t>
      </w:r>
      <w:r w:rsidRPr="000D401F">
        <w:rPr>
          <w:b/>
          <w:bCs/>
          <w:lang w:val="es-ES"/>
        </w:rPr>
        <w:t xml:space="preserve">aprueban </w:t>
      </w:r>
      <w:r w:rsidRPr="000D401F">
        <w:rPr>
          <w:lang w:val="es-ES"/>
        </w:rPr>
        <w:t>las cinco recomendaciones contenidas en el informe y las recomendaciones consignadas en las actas de la Plenaria.</w:t>
      </w:r>
    </w:p>
    <w:p w14:paraId="66C8FB0F" w14:textId="60C90F5C" w:rsidR="000D401F" w:rsidRPr="000D401F" w:rsidRDefault="000D401F" w:rsidP="00A655BA">
      <w:pPr>
        <w:rPr>
          <w:lang w:val="es-ES"/>
        </w:rPr>
      </w:pPr>
      <w:r w:rsidRPr="000D401F">
        <w:rPr>
          <w:lang w:val="es-ES"/>
        </w:rPr>
        <w:t>3.10</w:t>
      </w:r>
      <w:r w:rsidRPr="000D401F">
        <w:rPr>
          <w:lang w:val="es-ES"/>
        </w:rPr>
        <w:tab/>
        <w:t>Haciéndose eco del agradecimiento a la Presidenta de la Comisión 5 por su dedicación, su sabia gestión, su flexibilidad y su paciencia a la hora de llevar a buen término el difícil orden del día, con integridad, imparcialidad y espíritu de compromiso e inclusión, que han expresado los delegados de la</w:t>
      </w:r>
      <w:r w:rsidRPr="000D401F">
        <w:rPr>
          <w:b/>
          <w:bCs/>
          <w:lang w:val="es-ES"/>
        </w:rPr>
        <w:t xml:space="preserve"> República Islámica de</w:t>
      </w:r>
      <w:r w:rsidR="00C914CC">
        <w:rPr>
          <w:b/>
          <w:bCs/>
          <w:lang w:val="es-ES"/>
        </w:rPr>
        <w:t>l</w:t>
      </w:r>
      <w:r w:rsidRPr="000D401F">
        <w:rPr>
          <w:b/>
          <w:bCs/>
          <w:lang w:val="es-ES"/>
        </w:rPr>
        <w:t xml:space="preserve"> Irán</w:t>
      </w:r>
      <w:r w:rsidRPr="00C914CC">
        <w:rPr>
          <w:lang w:val="es-ES"/>
        </w:rPr>
        <w:t>, la</w:t>
      </w:r>
      <w:r w:rsidRPr="000D401F">
        <w:rPr>
          <w:b/>
          <w:bCs/>
          <w:lang w:val="es-ES"/>
        </w:rPr>
        <w:t xml:space="preserve"> República de Corea</w:t>
      </w:r>
      <w:r w:rsidRPr="00C914CC">
        <w:rPr>
          <w:lang w:val="es-ES"/>
        </w:rPr>
        <w:t xml:space="preserve">, </w:t>
      </w:r>
      <w:r w:rsidRPr="000D401F">
        <w:rPr>
          <w:b/>
          <w:bCs/>
          <w:lang w:val="es-ES"/>
        </w:rPr>
        <w:t>Brasil</w:t>
      </w:r>
      <w:r w:rsidRPr="00C914CC">
        <w:rPr>
          <w:lang w:val="es-ES"/>
        </w:rPr>
        <w:t>,</w:t>
      </w:r>
      <w:r w:rsidR="00C914CC" w:rsidRPr="00C914CC">
        <w:rPr>
          <w:lang w:val="es-ES"/>
        </w:rPr>
        <w:t xml:space="preserve"> los</w:t>
      </w:r>
      <w:r w:rsidRPr="00C914CC">
        <w:rPr>
          <w:lang w:val="es-ES"/>
        </w:rPr>
        <w:t xml:space="preserve"> </w:t>
      </w:r>
      <w:r w:rsidRPr="000D401F">
        <w:rPr>
          <w:b/>
          <w:bCs/>
          <w:lang w:val="es-ES"/>
        </w:rPr>
        <w:t>Estados Unidos</w:t>
      </w:r>
      <w:r w:rsidRPr="00C914CC">
        <w:rPr>
          <w:lang w:val="es-ES"/>
        </w:rPr>
        <w:t xml:space="preserve">, </w:t>
      </w:r>
      <w:r w:rsidRPr="000D401F">
        <w:rPr>
          <w:b/>
          <w:bCs/>
          <w:lang w:val="es-ES"/>
        </w:rPr>
        <w:t>Rumania</w:t>
      </w:r>
      <w:r w:rsidRPr="00C914CC">
        <w:rPr>
          <w:lang w:val="es-ES"/>
        </w:rPr>
        <w:t xml:space="preserve">, </w:t>
      </w:r>
      <w:r w:rsidRPr="000D401F">
        <w:rPr>
          <w:lang w:val="es-ES"/>
        </w:rPr>
        <w:t xml:space="preserve">también en nombre de la CEPT, </w:t>
      </w:r>
      <w:r w:rsidRPr="000D401F">
        <w:rPr>
          <w:b/>
          <w:bCs/>
          <w:lang w:val="es-ES"/>
        </w:rPr>
        <w:t>Tailandia</w:t>
      </w:r>
      <w:r w:rsidRPr="00C914CC">
        <w:rPr>
          <w:lang w:val="es-ES"/>
        </w:rPr>
        <w:t xml:space="preserve">, </w:t>
      </w:r>
      <w:r w:rsidRPr="000D401F">
        <w:rPr>
          <w:b/>
          <w:bCs/>
          <w:lang w:val="es-ES"/>
        </w:rPr>
        <w:t>Nigeria</w:t>
      </w:r>
      <w:r w:rsidRPr="00C914CC">
        <w:rPr>
          <w:lang w:val="es-ES"/>
        </w:rPr>
        <w:t xml:space="preserve">, </w:t>
      </w:r>
      <w:r w:rsidRPr="000D401F">
        <w:rPr>
          <w:b/>
          <w:bCs/>
          <w:lang w:val="es-ES"/>
        </w:rPr>
        <w:t>Papua Nueva Guinea</w:t>
      </w:r>
      <w:r w:rsidRPr="00C914CC">
        <w:rPr>
          <w:lang w:val="es-ES"/>
        </w:rPr>
        <w:t xml:space="preserve">, los </w:t>
      </w:r>
      <w:r w:rsidRPr="000D401F">
        <w:rPr>
          <w:b/>
          <w:bCs/>
          <w:lang w:val="es-ES"/>
        </w:rPr>
        <w:t>Emiratos Árabes Unidos</w:t>
      </w:r>
      <w:r w:rsidRPr="00C914CC">
        <w:rPr>
          <w:lang w:val="es-ES"/>
        </w:rPr>
        <w:t xml:space="preserve">, </w:t>
      </w:r>
      <w:r w:rsidRPr="000D401F">
        <w:rPr>
          <w:b/>
          <w:bCs/>
          <w:lang w:val="es-ES"/>
        </w:rPr>
        <w:t>Japón</w:t>
      </w:r>
      <w:r w:rsidRPr="00C914CC">
        <w:rPr>
          <w:lang w:val="es-ES"/>
        </w:rPr>
        <w:t xml:space="preserve">, </w:t>
      </w:r>
      <w:r w:rsidRPr="000D401F">
        <w:rPr>
          <w:b/>
          <w:bCs/>
          <w:lang w:val="es-ES"/>
        </w:rPr>
        <w:t>Arabia Saudita</w:t>
      </w:r>
      <w:r w:rsidRPr="00C914CC">
        <w:rPr>
          <w:lang w:val="es-ES"/>
        </w:rPr>
        <w:t>,</w:t>
      </w:r>
      <w:r w:rsidR="00C914CC">
        <w:rPr>
          <w:lang w:val="es-ES"/>
        </w:rPr>
        <w:t xml:space="preserve"> la</w:t>
      </w:r>
      <w:r w:rsidRPr="00C914CC">
        <w:rPr>
          <w:lang w:val="es-ES"/>
        </w:rPr>
        <w:t xml:space="preserve"> </w:t>
      </w:r>
      <w:r w:rsidRPr="000D401F">
        <w:rPr>
          <w:b/>
          <w:bCs/>
          <w:lang w:val="es-ES"/>
        </w:rPr>
        <w:t>India</w:t>
      </w:r>
      <w:r w:rsidRPr="00C914CC">
        <w:rPr>
          <w:lang w:val="es-ES"/>
        </w:rPr>
        <w:t xml:space="preserve">, la </w:t>
      </w:r>
      <w:r w:rsidRPr="000D401F">
        <w:rPr>
          <w:b/>
          <w:bCs/>
          <w:lang w:val="es-ES"/>
        </w:rPr>
        <w:t>Federación de Rusia</w:t>
      </w:r>
      <w:r w:rsidRPr="00851B61">
        <w:rPr>
          <w:lang w:val="es-ES"/>
        </w:rPr>
        <w:t xml:space="preserve"> y </w:t>
      </w:r>
      <w:r w:rsidRPr="000D401F">
        <w:rPr>
          <w:b/>
          <w:bCs/>
          <w:lang w:val="es-ES"/>
        </w:rPr>
        <w:t>Túnez</w:t>
      </w:r>
      <w:r w:rsidRPr="00851B61">
        <w:rPr>
          <w:lang w:val="es-ES"/>
        </w:rPr>
        <w:t>,</w:t>
      </w:r>
      <w:r w:rsidRPr="000D401F">
        <w:rPr>
          <w:lang w:val="es-ES"/>
        </w:rPr>
        <w:t xml:space="preserve"> el </w:t>
      </w:r>
      <w:r w:rsidRPr="000D401F">
        <w:rPr>
          <w:b/>
          <w:bCs/>
          <w:lang w:val="es-ES"/>
        </w:rPr>
        <w:t xml:space="preserve">Presidente </w:t>
      </w:r>
      <w:r w:rsidRPr="000D401F">
        <w:rPr>
          <w:lang w:val="es-ES"/>
        </w:rPr>
        <w:t>felicita a la Presidenta de la Comisión</w:t>
      </w:r>
      <w:r w:rsidR="00C040B3">
        <w:rPr>
          <w:lang w:val="es-ES"/>
        </w:rPr>
        <w:t> </w:t>
      </w:r>
      <w:r w:rsidRPr="000D401F">
        <w:rPr>
          <w:lang w:val="es-ES"/>
        </w:rPr>
        <w:t>5 por su trabajo. El hecho de que dos de las tres Comisiones sustantivas hayan estado presididas por mujeres constituye un mensaje contundente de la Unión.</w:t>
      </w:r>
    </w:p>
    <w:p w14:paraId="475463DD" w14:textId="77777777" w:rsidR="000D401F" w:rsidRPr="000D401F" w:rsidRDefault="000D401F" w:rsidP="00805D57">
      <w:pPr>
        <w:pStyle w:val="Heading1"/>
        <w:rPr>
          <w:lang w:val="es-ES"/>
        </w:rPr>
      </w:pPr>
      <w:r w:rsidRPr="000D401F">
        <w:rPr>
          <w:lang w:val="es-ES"/>
        </w:rPr>
        <w:t>4</w:t>
      </w:r>
      <w:r w:rsidRPr="000D401F">
        <w:rPr>
          <w:lang w:val="es-ES"/>
        </w:rPr>
        <w:tab/>
        <w:t>Presentación a los Presidentes de las Comisiones</w:t>
      </w:r>
    </w:p>
    <w:p w14:paraId="0B87E0F7" w14:textId="6E789ACE" w:rsidR="000D401F" w:rsidRPr="000D401F" w:rsidRDefault="000D401F" w:rsidP="00A655BA">
      <w:pPr>
        <w:rPr>
          <w:lang w:val="es-ES"/>
        </w:rPr>
      </w:pPr>
      <w:r w:rsidRPr="000D401F">
        <w:rPr>
          <w:lang w:val="es-ES"/>
        </w:rPr>
        <w:t>4.1</w:t>
      </w:r>
      <w:r w:rsidRPr="000D401F">
        <w:rPr>
          <w:lang w:val="es-ES"/>
        </w:rPr>
        <w:tab/>
        <w:t>El</w:t>
      </w:r>
      <w:r w:rsidRPr="000D401F">
        <w:rPr>
          <w:b/>
          <w:bCs/>
          <w:lang w:val="es-ES"/>
        </w:rPr>
        <w:t xml:space="preserve"> Secretario General </w:t>
      </w:r>
      <w:r w:rsidRPr="000D401F">
        <w:rPr>
          <w:lang w:val="es-ES"/>
        </w:rPr>
        <w:t>entrega certificados a los Presidentes de las Comisiones por sus esfuerzos durante la Conferencia.</w:t>
      </w:r>
    </w:p>
    <w:p w14:paraId="76CE28BD" w14:textId="179633FC" w:rsidR="000D401F" w:rsidRPr="000D401F" w:rsidRDefault="000D401F" w:rsidP="00805D57">
      <w:pPr>
        <w:pStyle w:val="Heading1"/>
        <w:rPr>
          <w:u w:val="single"/>
          <w:lang w:val="es-ES"/>
        </w:rPr>
      </w:pPr>
      <w:r w:rsidRPr="000D401F">
        <w:rPr>
          <w:lang w:val="es-ES"/>
        </w:rPr>
        <w:lastRenderedPageBreak/>
        <w:t>5</w:t>
      </w:r>
      <w:r w:rsidRPr="000D401F">
        <w:rPr>
          <w:lang w:val="es-ES"/>
        </w:rPr>
        <w:tab/>
        <w:t>Vigésima tercera serie de textos sometidos por la Comisión de Redacción en primera lectura (B23) (Document</w:t>
      </w:r>
      <w:r w:rsidR="00A655BA">
        <w:rPr>
          <w:lang w:val="es-ES"/>
        </w:rPr>
        <w:t>o</w:t>
      </w:r>
      <w:r w:rsidR="00A75E8D">
        <w:rPr>
          <w:lang w:val="es-ES"/>
        </w:rPr>
        <w:t> </w:t>
      </w:r>
      <w:hyperlink r:id="rId22" w:history="1">
        <w:r w:rsidRPr="00851B61">
          <w:rPr>
            <w:rStyle w:val="Hyperlink"/>
            <w:lang w:val="es-ES"/>
          </w:rPr>
          <w:t>193</w:t>
        </w:r>
      </w:hyperlink>
      <w:r w:rsidRPr="000D401F">
        <w:rPr>
          <w:lang w:val="es-ES"/>
        </w:rPr>
        <w:t>)</w:t>
      </w:r>
    </w:p>
    <w:p w14:paraId="5DFDBFA9" w14:textId="287B69F7" w:rsidR="000D401F" w:rsidRPr="000D401F" w:rsidRDefault="000D401F" w:rsidP="00805D57">
      <w:pPr>
        <w:pStyle w:val="Headingb"/>
        <w:rPr>
          <w:lang w:val="es-ES"/>
        </w:rPr>
      </w:pPr>
      <w:r w:rsidRPr="000D401F">
        <w:rPr>
          <w:lang w:val="es-ES"/>
        </w:rPr>
        <w:t>Proyecto de Decisión 5 (Rev. B</w:t>
      </w:r>
      <w:r w:rsidR="00A655BA">
        <w:rPr>
          <w:lang w:val="es-ES"/>
        </w:rPr>
        <w:t>u</w:t>
      </w:r>
      <w:r w:rsidRPr="000D401F">
        <w:rPr>
          <w:lang w:val="es-ES"/>
        </w:rPr>
        <w:t>carest, 2022) – Ingresos y gastos de la Unión para el periodo</w:t>
      </w:r>
      <w:r w:rsidR="00A85B6B">
        <w:rPr>
          <w:lang w:val="es-ES"/>
        </w:rPr>
        <w:t> </w:t>
      </w:r>
      <w:r w:rsidRPr="000D401F">
        <w:rPr>
          <w:lang w:val="es-ES"/>
        </w:rPr>
        <w:t>2024</w:t>
      </w:r>
      <w:r w:rsidR="00A85B6B">
        <w:rPr>
          <w:lang w:val="es-ES"/>
        </w:rPr>
        <w:noBreakHyphen/>
      </w:r>
      <w:r w:rsidRPr="000D401F">
        <w:rPr>
          <w:lang w:val="es-ES"/>
        </w:rPr>
        <w:t>2027</w:t>
      </w:r>
    </w:p>
    <w:p w14:paraId="6AAEB0E6" w14:textId="036C3C05" w:rsidR="000D401F" w:rsidRPr="00851B61" w:rsidRDefault="000D401F" w:rsidP="00A655BA">
      <w:pPr>
        <w:rPr>
          <w:lang w:val="es-ES"/>
        </w:rPr>
      </w:pPr>
      <w:r w:rsidRPr="000D401F">
        <w:rPr>
          <w:lang w:val="es-ES"/>
        </w:rPr>
        <w:t>5.1</w:t>
      </w:r>
      <w:r w:rsidRPr="000D401F">
        <w:rPr>
          <w:lang w:val="es-ES"/>
        </w:rPr>
        <w:tab/>
      </w:r>
      <w:r w:rsidRPr="00851B61">
        <w:rPr>
          <w:b/>
          <w:bCs/>
          <w:lang w:val="es-ES"/>
        </w:rPr>
        <w:t>Adoptad</w:t>
      </w:r>
      <w:r w:rsidR="00851B61">
        <w:rPr>
          <w:b/>
          <w:bCs/>
          <w:lang w:val="es-ES"/>
        </w:rPr>
        <w:t>o</w:t>
      </w:r>
      <w:r w:rsidR="00851B61" w:rsidRPr="00851B61">
        <w:rPr>
          <w:lang w:val="es-ES"/>
        </w:rPr>
        <w:t>.</w:t>
      </w:r>
    </w:p>
    <w:p w14:paraId="4AC56715" w14:textId="6F9C3E1C" w:rsidR="000D401F" w:rsidRPr="000D401F" w:rsidRDefault="000D401F" w:rsidP="00805D57">
      <w:pPr>
        <w:pStyle w:val="Headingb"/>
        <w:rPr>
          <w:lang w:val="es-ES"/>
        </w:rPr>
      </w:pPr>
      <w:r w:rsidRPr="000D401F">
        <w:rPr>
          <w:lang w:val="es-ES"/>
        </w:rPr>
        <w:t>SUP Resolución</w:t>
      </w:r>
      <w:r w:rsidR="00A75E8D">
        <w:rPr>
          <w:lang w:val="es-ES"/>
        </w:rPr>
        <w:t> </w:t>
      </w:r>
      <w:r w:rsidRPr="000D401F">
        <w:rPr>
          <w:lang w:val="es-ES"/>
        </w:rPr>
        <w:t>11 (Rev. Busán, 2018) – Eventos ITU Telecom</w:t>
      </w:r>
    </w:p>
    <w:p w14:paraId="12107051" w14:textId="77777777" w:rsidR="000D401F" w:rsidRPr="00851B61" w:rsidRDefault="000D401F" w:rsidP="00A655BA">
      <w:pPr>
        <w:rPr>
          <w:lang w:val="es-ES"/>
        </w:rPr>
      </w:pPr>
      <w:r w:rsidRPr="000D401F">
        <w:rPr>
          <w:lang w:val="es-ES"/>
        </w:rPr>
        <w:t>5.2</w:t>
      </w:r>
      <w:r w:rsidRPr="000D401F">
        <w:rPr>
          <w:lang w:val="es-ES"/>
        </w:rPr>
        <w:tab/>
      </w:r>
      <w:r w:rsidRPr="00851B61">
        <w:rPr>
          <w:b/>
          <w:bCs/>
          <w:lang w:val="es-ES"/>
        </w:rPr>
        <w:t>Aprobada</w:t>
      </w:r>
      <w:r w:rsidRPr="000D401F">
        <w:rPr>
          <w:lang w:val="es-ES"/>
        </w:rPr>
        <w:t>.</w:t>
      </w:r>
    </w:p>
    <w:p w14:paraId="1BB1852E" w14:textId="36A44163" w:rsidR="000D401F" w:rsidRPr="000D401F" w:rsidRDefault="000D401F" w:rsidP="00A655BA">
      <w:pPr>
        <w:rPr>
          <w:lang w:val="es-ES"/>
        </w:rPr>
      </w:pPr>
      <w:r w:rsidRPr="000D401F">
        <w:rPr>
          <w:lang w:val="es-ES"/>
        </w:rPr>
        <w:t>5.3</w:t>
      </w:r>
      <w:r w:rsidRPr="000D401F">
        <w:rPr>
          <w:lang w:val="es-ES"/>
        </w:rPr>
        <w:tab/>
        <w:t xml:space="preserve">Se </w:t>
      </w:r>
      <w:r w:rsidRPr="000D401F">
        <w:rPr>
          <w:b/>
          <w:bCs/>
          <w:lang w:val="es-ES"/>
        </w:rPr>
        <w:t>aprueba</w:t>
      </w:r>
      <w:r w:rsidRPr="00851B61">
        <w:rPr>
          <w:lang w:val="es-ES"/>
        </w:rPr>
        <w:t xml:space="preserve"> </w:t>
      </w:r>
      <w:r w:rsidRPr="000D401F">
        <w:rPr>
          <w:lang w:val="es-ES"/>
        </w:rPr>
        <w:t>la vigésima tercera serie de textos sometidos por la Comisión de Redacción en primera lectura (B23) (Document</w:t>
      </w:r>
      <w:r w:rsidR="00A655BA">
        <w:rPr>
          <w:lang w:val="es-ES"/>
        </w:rPr>
        <w:t>o</w:t>
      </w:r>
      <w:r w:rsidR="00A75E8D">
        <w:rPr>
          <w:lang w:val="es-ES"/>
        </w:rPr>
        <w:t> </w:t>
      </w:r>
      <w:r w:rsidRPr="000D401F">
        <w:rPr>
          <w:lang w:val="es-ES"/>
        </w:rPr>
        <w:t>193)</w:t>
      </w:r>
      <w:r w:rsidR="00851B61">
        <w:rPr>
          <w:lang w:val="es-ES"/>
        </w:rPr>
        <w:t>.</w:t>
      </w:r>
    </w:p>
    <w:p w14:paraId="044F0091" w14:textId="3A256CA3" w:rsidR="000D401F" w:rsidRPr="000D401F" w:rsidRDefault="000D401F" w:rsidP="00805D57">
      <w:pPr>
        <w:pStyle w:val="Heading1"/>
        <w:rPr>
          <w:lang w:val="es-ES"/>
        </w:rPr>
      </w:pPr>
      <w:r w:rsidRPr="000D401F">
        <w:rPr>
          <w:lang w:val="es-ES"/>
        </w:rPr>
        <w:t>6</w:t>
      </w:r>
      <w:r w:rsidRPr="000D401F">
        <w:rPr>
          <w:lang w:val="es-ES"/>
        </w:rPr>
        <w:tab/>
        <w:t>Vigésima tercera serie de textos sometidos por la Comisión de Redacción – segunda lectura (Document</w:t>
      </w:r>
      <w:r w:rsidR="00A655BA">
        <w:rPr>
          <w:lang w:val="es-ES"/>
        </w:rPr>
        <w:t>o</w:t>
      </w:r>
      <w:r w:rsidR="00A75E8D">
        <w:rPr>
          <w:lang w:val="es-ES"/>
        </w:rPr>
        <w:t> </w:t>
      </w:r>
      <w:hyperlink r:id="rId23" w:history="1">
        <w:r w:rsidRPr="00851B61">
          <w:rPr>
            <w:rStyle w:val="Hyperlink"/>
            <w:lang w:val="es-ES"/>
          </w:rPr>
          <w:t>193</w:t>
        </w:r>
      </w:hyperlink>
      <w:r w:rsidRPr="000D401F">
        <w:rPr>
          <w:lang w:val="es-ES"/>
        </w:rPr>
        <w:t>)</w:t>
      </w:r>
    </w:p>
    <w:p w14:paraId="65D57FC2" w14:textId="5CCE5B6B" w:rsidR="000D401F" w:rsidRPr="000D401F" w:rsidRDefault="000D401F" w:rsidP="00A655BA">
      <w:pPr>
        <w:rPr>
          <w:bCs/>
          <w:lang w:val="es-ES"/>
        </w:rPr>
      </w:pPr>
      <w:r w:rsidRPr="000D401F">
        <w:rPr>
          <w:lang w:val="es-ES"/>
        </w:rPr>
        <w:t>6.1</w:t>
      </w:r>
      <w:r w:rsidRPr="000D401F">
        <w:rPr>
          <w:lang w:val="es-ES"/>
        </w:rPr>
        <w:tab/>
        <w:t xml:space="preserve">Se </w:t>
      </w:r>
      <w:r w:rsidRPr="000D401F">
        <w:rPr>
          <w:b/>
          <w:bCs/>
          <w:lang w:val="es-ES"/>
        </w:rPr>
        <w:t>aprueba</w:t>
      </w:r>
      <w:r w:rsidRPr="00851B61">
        <w:rPr>
          <w:lang w:val="es-ES"/>
        </w:rPr>
        <w:t xml:space="preserve"> </w:t>
      </w:r>
      <w:r w:rsidRPr="000D401F">
        <w:rPr>
          <w:lang w:val="es-ES"/>
        </w:rPr>
        <w:t>la vigésima tercera serie de textos sometidos por la Comisión de Redacción (Documento</w:t>
      </w:r>
      <w:r w:rsidR="00A75E8D">
        <w:rPr>
          <w:lang w:val="es-ES"/>
        </w:rPr>
        <w:t> </w:t>
      </w:r>
      <w:r w:rsidRPr="000D401F">
        <w:rPr>
          <w:lang w:val="es-ES"/>
        </w:rPr>
        <w:t>193)</w:t>
      </w:r>
      <w:r w:rsidR="00851B61">
        <w:rPr>
          <w:lang w:val="es-ES"/>
        </w:rPr>
        <w:t>.</w:t>
      </w:r>
    </w:p>
    <w:p w14:paraId="4A932173" w14:textId="5E9114CF" w:rsidR="000D401F" w:rsidRPr="000D401F" w:rsidRDefault="000D401F" w:rsidP="00805D57">
      <w:pPr>
        <w:pStyle w:val="Heading1"/>
        <w:rPr>
          <w:lang w:val="es-ES"/>
        </w:rPr>
      </w:pPr>
      <w:r w:rsidRPr="000D401F">
        <w:rPr>
          <w:lang w:val="es-ES"/>
        </w:rPr>
        <w:t>7</w:t>
      </w:r>
      <w:r w:rsidRPr="000D401F">
        <w:rPr>
          <w:lang w:val="es-ES"/>
        </w:rPr>
        <w:tab/>
        <w:t>Vigésima cuarta serie de textos sometidos por la Comisión de Redacción en primera lectura (B24) (Document</w:t>
      </w:r>
      <w:r w:rsidR="00A655BA">
        <w:rPr>
          <w:lang w:val="es-ES"/>
        </w:rPr>
        <w:t>o</w:t>
      </w:r>
      <w:r w:rsidR="00A75E8D">
        <w:rPr>
          <w:lang w:val="es-ES"/>
        </w:rPr>
        <w:t> </w:t>
      </w:r>
      <w:hyperlink r:id="rId24" w:history="1">
        <w:r w:rsidRPr="00851B61">
          <w:rPr>
            <w:rStyle w:val="Hyperlink"/>
            <w:lang w:val="es-ES"/>
          </w:rPr>
          <w:t>194</w:t>
        </w:r>
      </w:hyperlink>
      <w:r w:rsidRPr="000D401F">
        <w:rPr>
          <w:lang w:val="es-ES"/>
        </w:rPr>
        <w:t>)</w:t>
      </w:r>
    </w:p>
    <w:p w14:paraId="097708CE" w14:textId="4B1CD3D7" w:rsidR="000D401F" w:rsidRPr="000D401F" w:rsidRDefault="000D401F" w:rsidP="00805D57">
      <w:pPr>
        <w:pStyle w:val="Headingb"/>
        <w:rPr>
          <w:lang w:val="es-ES"/>
        </w:rPr>
      </w:pPr>
      <w:r w:rsidRPr="000D401F">
        <w:rPr>
          <w:lang w:val="es-ES"/>
        </w:rPr>
        <w:t>Proyecto de Resolución</w:t>
      </w:r>
      <w:r w:rsidR="00A75E8D">
        <w:rPr>
          <w:lang w:val="es-ES"/>
        </w:rPr>
        <w:t> </w:t>
      </w:r>
      <w:r w:rsidRPr="000D401F">
        <w:rPr>
          <w:lang w:val="es-ES"/>
        </w:rPr>
        <w:t>102 (Rev. Bucarest, 2022) – Función de la UIT con respecto a las cuestiones de política pública internacional relacionada con Internet y la gestión de los recursos de Internet, incluidos los nombres de dominio y las direcciones</w:t>
      </w:r>
    </w:p>
    <w:p w14:paraId="36997A03" w14:textId="6BE1A8FD" w:rsidR="000D401F" w:rsidRPr="000D401F" w:rsidRDefault="000D401F" w:rsidP="00805D57">
      <w:pPr>
        <w:pStyle w:val="Headingb"/>
        <w:rPr>
          <w:lang w:val="es-ES"/>
        </w:rPr>
      </w:pPr>
      <w:r w:rsidRPr="000D401F">
        <w:rPr>
          <w:lang w:val="es-ES"/>
        </w:rPr>
        <w:t>Proyecto de Resolución</w:t>
      </w:r>
      <w:r w:rsidR="00A75E8D">
        <w:rPr>
          <w:lang w:val="es-ES"/>
        </w:rPr>
        <w:t> </w:t>
      </w:r>
      <w:r w:rsidRPr="000D401F">
        <w:rPr>
          <w:lang w:val="es-ES"/>
        </w:rPr>
        <w:t>205 (Rev. Bucarest, 2022) – Papel de la UIT en el fomento de la innovación centrada en las telecomunicaciones/tecnologías de la información y la comunicación para impulsar la economía y la sociedad digitales</w:t>
      </w:r>
    </w:p>
    <w:p w14:paraId="38EAA141" w14:textId="45EB444D" w:rsidR="000D401F" w:rsidRPr="000D401F" w:rsidRDefault="000D401F" w:rsidP="00A655BA">
      <w:pPr>
        <w:rPr>
          <w:lang w:val="es-ES"/>
        </w:rPr>
      </w:pPr>
      <w:r w:rsidRPr="000D401F">
        <w:rPr>
          <w:lang w:val="es-ES"/>
        </w:rPr>
        <w:t>7.1</w:t>
      </w:r>
      <w:r w:rsidRPr="000D401F">
        <w:rPr>
          <w:lang w:val="es-ES"/>
        </w:rPr>
        <w:tab/>
      </w:r>
      <w:r w:rsidRPr="00A655BA">
        <w:rPr>
          <w:b/>
          <w:bCs/>
          <w:lang w:val="es-ES"/>
        </w:rPr>
        <w:t>Adoptad</w:t>
      </w:r>
      <w:r w:rsidR="00851B61">
        <w:rPr>
          <w:b/>
          <w:bCs/>
          <w:lang w:val="es-ES"/>
        </w:rPr>
        <w:t>os</w:t>
      </w:r>
      <w:r w:rsidRPr="000D401F">
        <w:rPr>
          <w:lang w:val="es-ES"/>
        </w:rPr>
        <w:t>.</w:t>
      </w:r>
    </w:p>
    <w:p w14:paraId="1C38FE20" w14:textId="5BD4D2AF" w:rsidR="000D401F" w:rsidRPr="000D401F" w:rsidRDefault="000D401F" w:rsidP="00A655BA">
      <w:pPr>
        <w:rPr>
          <w:bCs/>
          <w:lang w:val="es-ES"/>
        </w:rPr>
      </w:pPr>
      <w:r w:rsidRPr="000D401F">
        <w:rPr>
          <w:lang w:val="es-ES"/>
        </w:rPr>
        <w:t>7.2</w:t>
      </w:r>
      <w:r w:rsidRPr="000D401F">
        <w:rPr>
          <w:lang w:val="es-ES"/>
        </w:rPr>
        <w:tab/>
        <w:t xml:space="preserve">Se </w:t>
      </w:r>
      <w:r w:rsidRPr="000D401F">
        <w:rPr>
          <w:b/>
          <w:bCs/>
          <w:lang w:val="es-ES"/>
        </w:rPr>
        <w:t>aprueba</w:t>
      </w:r>
      <w:r w:rsidRPr="000D401F">
        <w:rPr>
          <w:lang w:val="es-ES"/>
        </w:rPr>
        <w:t xml:space="preserve"> la vigésima cuarta serie de textos sometidos por la Comisión de Redacción en primera lectura (B24) (Document</w:t>
      </w:r>
      <w:r w:rsidR="00A655BA">
        <w:rPr>
          <w:lang w:val="es-ES"/>
        </w:rPr>
        <w:t>o</w:t>
      </w:r>
      <w:r w:rsidR="00A75E8D">
        <w:rPr>
          <w:lang w:val="es-ES"/>
        </w:rPr>
        <w:t> </w:t>
      </w:r>
      <w:r w:rsidRPr="000D401F">
        <w:rPr>
          <w:lang w:val="es-ES"/>
        </w:rPr>
        <w:t>194)</w:t>
      </w:r>
      <w:r w:rsidR="00A655BA">
        <w:rPr>
          <w:lang w:val="es-ES"/>
        </w:rPr>
        <w:t>.</w:t>
      </w:r>
    </w:p>
    <w:p w14:paraId="5179DE5A" w14:textId="2FF81281" w:rsidR="000D401F" w:rsidRPr="000D401F" w:rsidRDefault="000D401F" w:rsidP="00A85B6B">
      <w:pPr>
        <w:pStyle w:val="Heading1"/>
        <w:rPr>
          <w:lang w:val="es-ES"/>
        </w:rPr>
      </w:pPr>
      <w:r w:rsidRPr="000D401F">
        <w:rPr>
          <w:lang w:val="es-ES"/>
        </w:rPr>
        <w:t>8</w:t>
      </w:r>
      <w:r w:rsidRPr="000D401F">
        <w:rPr>
          <w:lang w:val="es-ES"/>
        </w:rPr>
        <w:tab/>
        <w:t>Vigésima cuarta serie de textos sometidos por la Comisión de Redacción – segunda lectura (Document</w:t>
      </w:r>
      <w:r w:rsidR="00A655BA">
        <w:rPr>
          <w:lang w:val="es-ES"/>
        </w:rPr>
        <w:t>o</w:t>
      </w:r>
      <w:r w:rsidR="00A75E8D">
        <w:rPr>
          <w:lang w:val="es-ES"/>
        </w:rPr>
        <w:t> </w:t>
      </w:r>
      <w:hyperlink r:id="rId25" w:history="1">
        <w:r w:rsidRPr="00851B61">
          <w:rPr>
            <w:rStyle w:val="Hyperlink"/>
            <w:lang w:val="es-ES"/>
          </w:rPr>
          <w:t>194</w:t>
        </w:r>
      </w:hyperlink>
      <w:r w:rsidRPr="000D401F">
        <w:rPr>
          <w:lang w:val="es-ES"/>
        </w:rPr>
        <w:t>)</w:t>
      </w:r>
    </w:p>
    <w:p w14:paraId="4B53FC89" w14:textId="77164195" w:rsidR="000D401F" w:rsidRPr="000D401F" w:rsidRDefault="000D401F" w:rsidP="00A655BA">
      <w:pPr>
        <w:rPr>
          <w:bCs/>
          <w:lang w:val="es-ES"/>
        </w:rPr>
      </w:pPr>
      <w:r w:rsidRPr="000D401F">
        <w:rPr>
          <w:lang w:val="es-ES"/>
        </w:rPr>
        <w:t>8.1</w:t>
      </w:r>
      <w:r w:rsidRPr="000D401F">
        <w:rPr>
          <w:lang w:val="es-ES"/>
        </w:rPr>
        <w:tab/>
        <w:t xml:space="preserve">Se </w:t>
      </w:r>
      <w:r w:rsidRPr="000D401F">
        <w:rPr>
          <w:b/>
          <w:bCs/>
          <w:lang w:val="es-ES"/>
        </w:rPr>
        <w:t xml:space="preserve">aprueba </w:t>
      </w:r>
      <w:r w:rsidRPr="000D401F">
        <w:rPr>
          <w:lang w:val="es-ES"/>
        </w:rPr>
        <w:t>la vigésima cuarta serie de textos sometidos por la Comisión de Redacción en segunda lectura (Documento</w:t>
      </w:r>
      <w:r w:rsidR="00A75E8D">
        <w:rPr>
          <w:lang w:val="es-ES"/>
        </w:rPr>
        <w:t> </w:t>
      </w:r>
      <w:r w:rsidRPr="000D401F">
        <w:rPr>
          <w:lang w:val="es-ES"/>
        </w:rPr>
        <w:t>194)</w:t>
      </w:r>
      <w:r w:rsidR="00A655BA">
        <w:rPr>
          <w:lang w:val="es-ES"/>
        </w:rPr>
        <w:t>.</w:t>
      </w:r>
    </w:p>
    <w:p w14:paraId="700BE570" w14:textId="1F118757" w:rsidR="000D401F" w:rsidRPr="000D401F" w:rsidRDefault="000D401F" w:rsidP="00A85B6B">
      <w:pPr>
        <w:pStyle w:val="Heading1"/>
        <w:rPr>
          <w:lang w:val="es-ES"/>
        </w:rPr>
      </w:pPr>
      <w:r w:rsidRPr="000D401F">
        <w:rPr>
          <w:lang w:val="es-ES"/>
        </w:rPr>
        <w:t>9</w:t>
      </w:r>
      <w:r w:rsidRPr="000D401F">
        <w:rPr>
          <w:lang w:val="es-ES"/>
        </w:rPr>
        <w:tab/>
        <w:t>Vigésima sexta serie de textos sometidos por la Comisión de Redacción en primera lectura (B26) (Document</w:t>
      </w:r>
      <w:r w:rsidR="00A655BA">
        <w:rPr>
          <w:lang w:val="es-ES"/>
        </w:rPr>
        <w:t>o</w:t>
      </w:r>
      <w:r w:rsidR="00A75E8D">
        <w:rPr>
          <w:lang w:val="es-ES"/>
        </w:rPr>
        <w:t> </w:t>
      </w:r>
      <w:hyperlink r:id="rId26" w:history="1">
        <w:r w:rsidRPr="00851B61">
          <w:rPr>
            <w:rStyle w:val="Hyperlink"/>
            <w:lang w:val="es-ES"/>
          </w:rPr>
          <w:t>196</w:t>
        </w:r>
      </w:hyperlink>
      <w:r w:rsidRPr="000D401F">
        <w:rPr>
          <w:lang w:val="es-ES"/>
        </w:rPr>
        <w:t>)</w:t>
      </w:r>
    </w:p>
    <w:p w14:paraId="136DF971" w14:textId="77777777" w:rsidR="000D401F" w:rsidRPr="000D401F" w:rsidRDefault="000D401F" w:rsidP="00A85B6B">
      <w:pPr>
        <w:pStyle w:val="Headingb"/>
        <w:rPr>
          <w:lang w:val="es-ES"/>
        </w:rPr>
      </w:pPr>
      <w:r w:rsidRPr="000D401F">
        <w:rPr>
          <w:lang w:val="es-ES"/>
        </w:rPr>
        <w:t>Resolución 71 (Rev. Bucarest, 2022) – Plan Estratégico de la Unión para 2024-2027</w:t>
      </w:r>
    </w:p>
    <w:p w14:paraId="7D073259" w14:textId="77777777" w:rsidR="000D401F" w:rsidRPr="000D401F" w:rsidRDefault="000D401F" w:rsidP="00A655BA">
      <w:pPr>
        <w:rPr>
          <w:lang w:val="es-ES"/>
        </w:rPr>
      </w:pPr>
      <w:r w:rsidRPr="000D401F">
        <w:rPr>
          <w:lang w:val="es-ES"/>
        </w:rPr>
        <w:t>9.1</w:t>
      </w:r>
      <w:r w:rsidRPr="000D401F">
        <w:rPr>
          <w:lang w:val="es-ES"/>
        </w:rPr>
        <w:tab/>
      </w:r>
      <w:r w:rsidRPr="00A655BA">
        <w:rPr>
          <w:b/>
          <w:bCs/>
          <w:lang w:val="es-ES"/>
        </w:rPr>
        <w:t>Adoptada</w:t>
      </w:r>
      <w:r w:rsidRPr="000D401F">
        <w:rPr>
          <w:lang w:val="es-ES"/>
        </w:rPr>
        <w:t>.</w:t>
      </w:r>
    </w:p>
    <w:p w14:paraId="1823796B" w14:textId="7ECA335E" w:rsidR="000D401F" w:rsidRPr="000D401F" w:rsidRDefault="000D401F" w:rsidP="00A655BA">
      <w:pPr>
        <w:rPr>
          <w:bCs/>
          <w:lang w:val="es-ES"/>
        </w:rPr>
      </w:pPr>
      <w:r w:rsidRPr="000D401F">
        <w:rPr>
          <w:lang w:val="es-ES"/>
        </w:rPr>
        <w:lastRenderedPageBreak/>
        <w:t>9.2</w:t>
      </w:r>
      <w:r w:rsidRPr="000D401F">
        <w:rPr>
          <w:lang w:val="es-ES"/>
        </w:rPr>
        <w:tab/>
        <w:t xml:space="preserve">Se </w:t>
      </w:r>
      <w:r w:rsidRPr="000D401F">
        <w:rPr>
          <w:b/>
          <w:bCs/>
          <w:lang w:val="es-ES"/>
        </w:rPr>
        <w:t>aprueba</w:t>
      </w:r>
      <w:r w:rsidRPr="00851B61">
        <w:rPr>
          <w:lang w:val="es-ES"/>
        </w:rPr>
        <w:t xml:space="preserve"> </w:t>
      </w:r>
      <w:r w:rsidRPr="000D401F">
        <w:rPr>
          <w:lang w:val="es-ES"/>
        </w:rPr>
        <w:t>la vigésima sexta serie de textos sometidos por la Comisión de Redacción en primera lectura (B26) (Document</w:t>
      </w:r>
      <w:r w:rsidR="00A655BA">
        <w:rPr>
          <w:lang w:val="es-ES"/>
        </w:rPr>
        <w:t>o</w:t>
      </w:r>
      <w:r w:rsidR="00FF7D5B">
        <w:rPr>
          <w:lang w:val="es-ES"/>
        </w:rPr>
        <w:t> </w:t>
      </w:r>
      <w:r w:rsidRPr="000D401F">
        <w:rPr>
          <w:lang w:val="es-ES"/>
        </w:rPr>
        <w:t>196)</w:t>
      </w:r>
      <w:r w:rsidR="00A655BA">
        <w:rPr>
          <w:lang w:val="es-ES"/>
        </w:rPr>
        <w:t>.</w:t>
      </w:r>
    </w:p>
    <w:p w14:paraId="23F5C5BB" w14:textId="56A5DF9D" w:rsidR="000D401F" w:rsidRPr="000D401F" w:rsidRDefault="000D401F" w:rsidP="00A85B6B">
      <w:pPr>
        <w:pStyle w:val="Heading1"/>
        <w:rPr>
          <w:lang w:val="es-ES"/>
        </w:rPr>
      </w:pPr>
      <w:r w:rsidRPr="000D401F">
        <w:rPr>
          <w:lang w:val="es-ES"/>
        </w:rPr>
        <w:t>10</w:t>
      </w:r>
      <w:r w:rsidRPr="000D401F">
        <w:rPr>
          <w:lang w:val="es-ES"/>
        </w:rPr>
        <w:tab/>
        <w:t>Vigésima sexta serie de textos sometidos por la Comisión de Redacción – segunda lectura (Document</w:t>
      </w:r>
      <w:r w:rsidR="00A655BA">
        <w:rPr>
          <w:lang w:val="es-ES"/>
        </w:rPr>
        <w:t>o</w:t>
      </w:r>
      <w:r w:rsidR="00A75E8D">
        <w:rPr>
          <w:lang w:val="es-ES"/>
        </w:rPr>
        <w:t> </w:t>
      </w:r>
      <w:hyperlink r:id="rId27" w:history="1">
        <w:r w:rsidRPr="00851B61">
          <w:rPr>
            <w:rStyle w:val="Hyperlink"/>
            <w:lang w:val="es-ES"/>
          </w:rPr>
          <w:t>196</w:t>
        </w:r>
      </w:hyperlink>
      <w:r w:rsidRPr="000D401F">
        <w:rPr>
          <w:lang w:val="es-ES"/>
        </w:rPr>
        <w:t>)</w:t>
      </w:r>
    </w:p>
    <w:p w14:paraId="26AF51D4" w14:textId="0728EC65" w:rsidR="000D401F" w:rsidRPr="000D401F" w:rsidRDefault="000D401F" w:rsidP="00A655BA">
      <w:pPr>
        <w:rPr>
          <w:bCs/>
          <w:lang w:val="es-ES"/>
        </w:rPr>
      </w:pPr>
      <w:r w:rsidRPr="000D401F">
        <w:rPr>
          <w:lang w:val="es-ES"/>
        </w:rPr>
        <w:t>10.1</w:t>
      </w:r>
      <w:r w:rsidRPr="000D401F">
        <w:rPr>
          <w:lang w:val="es-ES"/>
        </w:rPr>
        <w:tab/>
        <w:t xml:space="preserve">Se </w:t>
      </w:r>
      <w:r w:rsidRPr="000D401F">
        <w:rPr>
          <w:b/>
          <w:bCs/>
          <w:lang w:val="es-ES"/>
        </w:rPr>
        <w:t xml:space="preserve">aprueba </w:t>
      </w:r>
      <w:r w:rsidRPr="000D401F">
        <w:rPr>
          <w:lang w:val="es-ES"/>
        </w:rPr>
        <w:t>la vigésima sexta serie de textos sometidos por la Comisión de Redacción en segunda lectura (Documento</w:t>
      </w:r>
      <w:r w:rsidR="00FF7D5B">
        <w:rPr>
          <w:lang w:val="es-ES"/>
        </w:rPr>
        <w:t> </w:t>
      </w:r>
      <w:r w:rsidRPr="000D401F">
        <w:rPr>
          <w:lang w:val="es-ES"/>
        </w:rPr>
        <w:t>196)</w:t>
      </w:r>
      <w:r w:rsidR="00851B61">
        <w:rPr>
          <w:lang w:val="es-ES"/>
        </w:rPr>
        <w:t>.</w:t>
      </w:r>
    </w:p>
    <w:p w14:paraId="2EE30304" w14:textId="40612D8F" w:rsidR="000D401F" w:rsidRPr="000D401F" w:rsidRDefault="000D401F" w:rsidP="00A85B6B">
      <w:pPr>
        <w:pStyle w:val="Heading1"/>
        <w:rPr>
          <w:lang w:val="es-ES"/>
        </w:rPr>
      </w:pPr>
      <w:r w:rsidRPr="000D401F">
        <w:rPr>
          <w:lang w:val="es-ES"/>
        </w:rPr>
        <w:t>11</w:t>
      </w:r>
      <w:r w:rsidRPr="000D401F">
        <w:rPr>
          <w:lang w:val="es-ES"/>
        </w:rPr>
        <w:tab/>
        <w:t>Decimoquinta serie de textos sometidos por la Comisión de Redacción en primera lectura (B15) (Document</w:t>
      </w:r>
      <w:r w:rsidR="00A655BA">
        <w:rPr>
          <w:lang w:val="es-ES"/>
        </w:rPr>
        <w:t>o</w:t>
      </w:r>
      <w:r w:rsidR="00A75E8D">
        <w:rPr>
          <w:lang w:val="es-ES"/>
        </w:rPr>
        <w:t> </w:t>
      </w:r>
      <w:hyperlink r:id="rId28" w:history="1">
        <w:r w:rsidRPr="00851B61">
          <w:rPr>
            <w:rStyle w:val="Hyperlink"/>
            <w:lang w:val="es-ES"/>
          </w:rPr>
          <w:t>166</w:t>
        </w:r>
      </w:hyperlink>
      <w:r w:rsidRPr="000D401F">
        <w:rPr>
          <w:lang w:val="es-ES"/>
        </w:rPr>
        <w:t>)</w:t>
      </w:r>
    </w:p>
    <w:p w14:paraId="55F7717D" w14:textId="401EE2D0" w:rsidR="000D401F" w:rsidRPr="000D401F" w:rsidRDefault="000D401F" w:rsidP="00A85B6B">
      <w:pPr>
        <w:pStyle w:val="Headingb"/>
        <w:rPr>
          <w:lang w:val="es-ES"/>
        </w:rPr>
      </w:pPr>
      <w:r w:rsidRPr="000D401F">
        <w:rPr>
          <w:lang w:val="es-ES"/>
        </w:rPr>
        <w:t>Proyecto de Resolución 137 (Rev. Bucarest, 20</w:t>
      </w:r>
      <w:r w:rsidR="00FF7D5B">
        <w:rPr>
          <w:lang w:val="es-ES"/>
        </w:rPr>
        <w:t>22</w:t>
      </w:r>
      <w:r w:rsidRPr="000D401F">
        <w:rPr>
          <w:lang w:val="es-ES"/>
        </w:rPr>
        <w:t>) – Instalación de redes futuras en los países en desarrollo</w:t>
      </w:r>
    </w:p>
    <w:p w14:paraId="10C9BBBA" w14:textId="77777777" w:rsidR="000D401F" w:rsidRPr="000D401F" w:rsidRDefault="000D401F" w:rsidP="00A85B6B">
      <w:pPr>
        <w:pStyle w:val="Headingb"/>
        <w:rPr>
          <w:lang w:val="es-ES"/>
        </w:rPr>
      </w:pPr>
      <w:r w:rsidRPr="000D401F">
        <w:rPr>
          <w:lang w:val="es-ES"/>
        </w:rPr>
        <w:t>Proyecto de Resolución 203 (Rev. Bucarest, 2022) – Conectividad a redes de banda ancha</w:t>
      </w:r>
    </w:p>
    <w:p w14:paraId="263396F4" w14:textId="7BF014C2" w:rsidR="000D401F" w:rsidRPr="000D401F" w:rsidRDefault="000D401F" w:rsidP="00A655BA">
      <w:pPr>
        <w:rPr>
          <w:lang w:val="es-ES"/>
        </w:rPr>
      </w:pPr>
      <w:r w:rsidRPr="000D401F">
        <w:rPr>
          <w:lang w:val="es-ES"/>
        </w:rPr>
        <w:t>11.1</w:t>
      </w:r>
      <w:r w:rsidRPr="000D401F">
        <w:rPr>
          <w:lang w:val="es-ES"/>
        </w:rPr>
        <w:tab/>
      </w:r>
      <w:r w:rsidRPr="00FF7D5B">
        <w:rPr>
          <w:b/>
          <w:bCs/>
          <w:lang w:val="es-ES"/>
        </w:rPr>
        <w:t>Adoptado</w:t>
      </w:r>
      <w:r w:rsidR="00FF7D5B">
        <w:rPr>
          <w:b/>
          <w:bCs/>
          <w:lang w:val="es-ES"/>
        </w:rPr>
        <w:t>s</w:t>
      </w:r>
      <w:r w:rsidRPr="000D401F">
        <w:rPr>
          <w:lang w:val="es-ES"/>
        </w:rPr>
        <w:t>.</w:t>
      </w:r>
    </w:p>
    <w:p w14:paraId="2432D3F4" w14:textId="32568346" w:rsidR="000D401F" w:rsidRPr="000D401F" w:rsidRDefault="000D401F" w:rsidP="00A655BA">
      <w:pPr>
        <w:rPr>
          <w:lang w:val="es-ES"/>
        </w:rPr>
      </w:pPr>
      <w:r w:rsidRPr="000D401F">
        <w:rPr>
          <w:lang w:val="es-ES"/>
        </w:rPr>
        <w:t>11.2</w:t>
      </w:r>
      <w:r w:rsidRPr="000D401F">
        <w:rPr>
          <w:lang w:val="es-ES"/>
        </w:rPr>
        <w:tab/>
        <w:t xml:space="preserve">Se </w:t>
      </w:r>
      <w:r w:rsidRPr="000D401F">
        <w:rPr>
          <w:b/>
          <w:bCs/>
          <w:lang w:val="es-ES"/>
        </w:rPr>
        <w:t xml:space="preserve">aprueba </w:t>
      </w:r>
      <w:r w:rsidRPr="000D401F">
        <w:rPr>
          <w:lang w:val="es-ES"/>
        </w:rPr>
        <w:t>la decimoquinta serie de textos sometidos por la Comisión de Redacción en primera lectura (B15) (Document</w:t>
      </w:r>
      <w:r w:rsidR="00A655BA">
        <w:rPr>
          <w:lang w:val="es-ES"/>
        </w:rPr>
        <w:t>o</w:t>
      </w:r>
      <w:r w:rsidR="00FF7D5B">
        <w:rPr>
          <w:lang w:val="es-ES"/>
        </w:rPr>
        <w:t> </w:t>
      </w:r>
      <w:r w:rsidRPr="000D401F">
        <w:rPr>
          <w:lang w:val="es-ES"/>
        </w:rPr>
        <w:t>166)</w:t>
      </w:r>
      <w:r w:rsidR="00A655BA">
        <w:rPr>
          <w:lang w:val="es-ES"/>
        </w:rPr>
        <w:t>.</w:t>
      </w:r>
    </w:p>
    <w:p w14:paraId="4CF9EBCA" w14:textId="6AE1F4B9" w:rsidR="000D401F" w:rsidRPr="000D401F" w:rsidRDefault="000D401F" w:rsidP="00A85B6B">
      <w:pPr>
        <w:pStyle w:val="Heading1"/>
        <w:rPr>
          <w:lang w:val="es-ES"/>
        </w:rPr>
      </w:pPr>
      <w:r w:rsidRPr="000D401F">
        <w:rPr>
          <w:lang w:val="es-ES"/>
        </w:rPr>
        <w:t>12</w:t>
      </w:r>
      <w:r w:rsidRPr="000D401F">
        <w:rPr>
          <w:lang w:val="es-ES"/>
        </w:rPr>
        <w:tab/>
        <w:t>Decimoquinta serie de textos sometidos por la Comisión de Redacción – segunda lectura (Document</w:t>
      </w:r>
      <w:r w:rsidR="00A655BA">
        <w:rPr>
          <w:lang w:val="es-ES"/>
        </w:rPr>
        <w:t>o</w:t>
      </w:r>
      <w:r w:rsidR="00A75E8D">
        <w:rPr>
          <w:lang w:val="es-ES"/>
        </w:rPr>
        <w:t> </w:t>
      </w:r>
      <w:hyperlink r:id="rId29" w:history="1">
        <w:r w:rsidRPr="00851B61">
          <w:rPr>
            <w:rStyle w:val="Hyperlink"/>
            <w:lang w:val="es-ES"/>
          </w:rPr>
          <w:t>166</w:t>
        </w:r>
      </w:hyperlink>
      <w:r w:rsidRPr="000D401F">
        <w:rPr>
          <w:lang w:val="es-ES"/>
        </w:rPr>
        <w:t>)</w:t>
      </w:r>
    </w:p>
    <w:p w14:paraId="2AD78E68" w14:textId="5AD4F50F" w:rsidR="000D401F" w:rsidRPr="000D401F" w:rsidRDefault="000D401F" w:rsidP="00A655BA">
      <w:pPr>
        <w:rPr>
          <w:bCs/>
          <w:lang w:val="es-ES"/>
        </w:rPr>
      </w:pPr>
      <w:r w:rsidRPr="000D401F">
        <w:rPr>
          <w:lang w:val="es-ES"/>
        </w:rPr>
        <w:t>12.1</w:t>
      </w:r>
      <w:r w:rsidRPr="000D401F">
        <w:rPr>
          <w:lang w:val="es-ES"/>
        </w:rPr>
        <w:tab/>
        <w:t xml:space="preserve">Se </w:t>
      </w:r>
      <w:r w:rsidRPr="000D401F">
        <w:rPr>
          <w:b/>
          <w:bCs/>
          <w:lang w:val="es-ES"/>
        </w:rPr>
        <w:t>aprueba</w:t>
      </w:r>
      <w:r w:rsidRPr="00FF7D5B">
        <w:rPr>
          <w:lang w:val="es-ES"/>
        </w:rPr>
        <w:t xml:space="preserve"> </w:t>
      </w:r>
      <w:r w:rsidRPr="000D401F">
        <w:rPr>
          <w:lang w:val="es-ES"/>
        </w:rPr>
        <w:t>la decimoquinta serie de textos sometidos por la Comisión de Redacción en segunda lectura (Documento</w:t>
      </w:r>
      <w:r w:rsidR="00FF7D5B">
        <w:rPr>
          <w:lang w:val="es-ES"/>
        </w:rPr>
        <w:t> </w:t>
      </w:r>
      <w:r w:rsidRPr="000D401F">
        <w:rPr>
          <w:lang w:val="es-ES"/>
        </w:rPr>
        <w:t>166)</w:t>
      </w:r>
      <w:r w:rsidR="00A655BA">
        <w:rPr>
          <w:lang w:val="es-ES"/>
        </w:rPr>
        <w:t>.</w:t>
      </w:r>
    </w:p>
    <w:p w14:paraId="2A7F0672" w14:textId="4D3AD345" w:rsidR="000D401F" w:rsidRPr="000D401F" w:rsidRDefault="000D401F" w:rsidP="00A85B6B">
      <w:pPr>
        <w:pStyle w:val="Heading1"/>
        <w:rPr>
          <w:lang w:val="es-ES"/>
        </w:rPr>
      </w:pPr>
      <w:r w:rsidRPr="000D401F">
        <w:rPr>
          <w:lang w:val="es-ES"/>
        </w:rPr>
        <w:t>13</w:t>
      </w:r>
      <w:r w:rsidRPr="000D401F">
        <w:rPr>
          <w:lang w:val="es-ES"/>
        </w:rPr>
        <w:tab/>
        <w:t>Vigésima octava serie de textos sometidos por la Comisión de Redacción en primera lectura (B28) (Document</w:t>
      </w:r>
      <w:r w:rsidR="00A655BA">
        <w:rPr>
          <w:lang w:val="es-ES"/>
        </w:rPr>
        <w:t>o</w:t>
      </w:r>
      <w:r w:rsidR="00A75E8D">
        <w:rPr>
          <w:lang w:val="es-ES"/>
        </w:rPr>
        <w:t> </w:t>
      </w:r>
      <w:hyperlink r:id="rId30" w:history="1">
        <w:r w:rsidRPr="00FF7D5B">
          <w:rPr>
            <w:rStyle w:val="Hyperlink"/>
            <w:lang w:val="es-ES"/>
          </w:rPr>
          <w:t>198</w:t>
        </w:r>
      </w:hyperlink>
      <w:r w:rsidRPr="000D401F">
        <w:rPr>
          <w:lang w:val="es-ES"/>
        </w:rPr>
        <w:t>)</w:t>
      </w:r>
    </w:p>
    <w:p w14:paraId="66271502" w14:textId="62A42617" w:rsidR="000D401F" w:rsidRPr="000D401F" w:rsidRDefault="000D401F" w:rsidP="00A85B6B">
      <w:pPr>
        <w:pStyle w:val="Headingb"/>
        <w:rPr>
          <w:lang w:val="es-ES"/>
        </w:rPr>
      </w:pPr>
      <w:r w:rsidRPr="000D401F">
        <w:rPr>
          <w:lang w:val="es-ES"/>
        </w:rPr>
        <w:t>Proyecto de Resolución</w:t>
      </w:r>
      <w:r w:rsidR="00A75E8D">
        <w:rPr>
          <w:lang w:val="es-ES"/>
        </w:rPr>
        <w:t> </w:t>
      </w:r>
      <w:r w:rsidRPr="000D401F">
        <w:rPr>
          <w:lang w:val="es-ES"/>
        </w:rPr>
        <w:t>167 (Rev. Bucarest, 2022) – Fortalecimiento y fomento de las capacidades de la UIT para celebrar reuniones totalmente virtuales y reuniones presenciales con participación a distancia, y los medios electrónicos para avanzar la labor de la Unión</w:t>
      </w:r>
    </w:p>
    <w:p w14:paraId="045DE684" w14:textId="679C4197" w:rsidR="000D401F" w:rsidRPr="000D401F" w:rsidRDefault="000D401F" w:rsidP="00A655BA">
      <w:pPr>
        <w:rPr>
          <w:lang w:val="es-ES"/>
        </w:rPr>
      </w:pPr>
      <w:r w:rsidRPr="000D401F">
        <w:rPr>
          <w:lang w:val="es-ES"/>
        </w:rPr>
        <w:t>13.1</w:t>
      </w:r>
      <w:r w:rsidRPr="000D401F">
        <w:rPr>
          <w:lang w:val="es-ES"/>
        </w:rPr>
        <w:tab/>
      </w:r>
      <w:r w:rsidRPr="00FF7D5B">
        <w:rPr>
          <w:b/>
          <w:bCs/>
          <w:lang w:val="es-ES"/>
        </w:rPr>
        <w:t>Adoptad</w:t>
      </w:r>
      <w:r w:rsidR="00FF7D5B" w:rsidRPr="00FF7D5B">
        <w:rPr>
          <w:b/>
          <w:bCs/>
          <w:lang w:val="es-ES"/>
        </w:rPr>
        <w:t>o</w:t>
      </w:r>
      <w:r w:rsidRPr="000D401F">
        <w:rPr>
          <w:lang w:val="es-ES"/>
        </w:rPr>
        <w:t>.</w:t>
      </w:r>
    </w:p>
    <w:p w14:paraId="216101F0" w14:textId="74CC400B" w:rsidR="000D401F" w:rsidRPr="000D401F" w:rsidRDefault="000D401F" w:rsidP="00A655BA">
      <w:pPr>
        <w:rPr>
          <w:lang w:val="es-ES"/>
        </w:rPr>
      </w:pPr>
      <w:r w:rsidRPr="000D401F">
        <w:rPr>
          <w:lang w:val="es-ES"/>
        </w:rPr>
        <w:t>13.2</w:t>
      </w:r>
      <w:r w:rsidRPr="000D401F">
        <w:rPr>
          <w:lang w:val="es-ES"/>
        </w:rPr>
        <w:tab/>
        <w:t xml:space="preserve">Se </w:t>
      </w:r>
      <w:r w:rsidRPr="000D401F">
        <w:rPr>
          <w:b/>
          <w:bCs/>
          <w:lang w:val="es-ES"/>
        </w:rPr>
        <w:t>aprueba</w:t>
      </w:r>
      <w:r w:rsidRPr="000D401F">
        <w:rPr>
          <w:lang w:val="es-ES"/>
        </w:rPr>
        <w:t xml:space="preserve"> la vigésima octava serie de textos sometidos por la Comisión de Redacción en primera lectura (B28) (Document</w:t>
      </w:r>
      <w:r w:rsidR="00A655BA">
        <w:rPr>
          <w:lang w:val="es-ES"/>
        </w:rPr>
        <w:t>o</w:t>
      </w:r>
      <w:r w:rsidR="00FF7D5B">
        <w:rPr>
          <w:lang w:val="es-ES"/>
        </w:rPr>
        <w:t> </w:t>
      </w:r>
      <w:r w:rsidRPr="000D401F">
        <w:rPr>
          <w:lang w:val="es-ES"/>
        </w:rPr>
        <w:t>198)</w:t>
      </w:r>
      <w:r w:rsidR="00A655BA">
        <w:rPr>
          <w:lang w:val="es-ES"/>
        </w:rPr>
        <w:t>.</w:t>
      </w:r>
    </w:p>
    <w:p w14:paraId="21941F91" w14:textId="5804042A" w:rsidR="000D401F" w:rsidRPr="000D401F" w:rsidRDefault="000D401F" w:rsidP="00A85B6B">
      <w:pPr>
        <w:pStyle w:val="Heading1"/>
        <w:rPr>
          <w:lang w:val="es-ES"/>
        </w:rPr>
      </w:pPr>
      <w:r w:rsidRPr="000D401F">
        <w:rPr>
          <w:lang w:val="es-ES"/>
        </w:rPr>
        <w:t>14</w:t>
      </w:r>
      <w:r w:rsidRPr="000D401F">
        <w:rPr>
          <w:lang w:val="es-ES"/>
        </w:rPr>
        <w:tab/>
        <w:t>Vigésima octava serie de textos sometidos por la Comisión de Redacción – segunda lectura (Document</w:t>
      </w:r>
      <w:r w:rsidR="00A655BA">
        <w:rPr>
          <w:lang w:val="es-ES"/>
        </w:rPr>
        <w:t>o</w:t>
      </w:r>
      <w:r w:rsidR="00A75E8D">
        <w:rPr>
          <w:lang w:val="es-ES"/>
        </w:rPr>
        <w:t> </w:t>
      </w:r>
      <w:hyperlink r:id="rId31" w:history="1">
        <w:r w:rsidRPr="00FF7D5B">
          <w:rPr>
            <w:rStyle w:val="Hyperlink"/>
            <w:lang w:val="es-ES"/>
          </w:rPr>
          <w:t>198</w:t>
        </w:r>
      </w:hyperlink>
      <w:r w:rsidRPr="000D401F">
        <w:rPr>
          <w:lang w:val="es-ES"/>
        </w:rPr>
        <w:t>)</w:t>
      </w:r>
    </w:p>
    <w:p w14:paraId="4A8BCD2D" w14:textId="58396BD9" w:rsidR="000D401F" w:rsidRPr="000D401F" w:rsidRDefault="000D401F" w:rsidP="00A655BA">
      <w:pPr>
        <w:rPr>
          <w:bCs/>
          <w:lang w:val="es-ES"/>
        </w:rPr>
      </w:pPr>
      <w:r w:rsidRPr="000D401F">
        <w:rPr>
          <w:lang w:val="es-ES"/>
        </w:rPr>
        <w:t>14.1</w:t>
      </w:r>
      <w:r w:rsidRPr="000D401F">
        <w:rPr>
          <w:lang w:val="es-ES"/>
        </w:rPr>
        <w:tab/>
        <w:t xml:space="preserve">Se </w:t>
      </w:r>
      <w:r w:rsidRPr="00FF7D5B">
        <w:rPr>
          <w:b/>
          <w:bCs/>
          <w:lang w:val="es-ES"/>
        </w:rPr>
        <w:t>aprueba</w:t>
      </w:r>
      <w:r w:rsidRPr="000D401F">
        <w:rPr>
          <w:lang w:val="es-ES"/>
        </w:rPr>
        <w:t xml:space="preserve"> la vigésima octava serie de textos sometidos por la Comisión de Redacción en segunda lectura (Documento</w:t>
      </w:r>
      <w:r w:rsidR="00FF7D5B">
        <w:rPr>
          <w:lang w:val="es-ES"/>
        </w:rPr>
        <w:t> </w:t>
      </w:r>
      <w:r w:rsidRPr="000D401F">
        <w:rPr>
          <w:lang w:val="es-ES"/>
        </w:rPr>
        <w:t>198)</w:t>
      </w:r>
      <w:r w:rsidR="00A655BA">
        <w:rPr>
          <w:lang w:val="es-ES"/>
        </w:rPr>
        <w:t>.</w:t>
      </w:r>
    </w:p>
    <w:p w14:paraId="704B0678" w14:textId="562B2AED" w:rsidR="000D401F" w:rsidRPr="000D401F" w:rsidRDefault="000D401F" w:rsidP="00A85B6B">
      <w:pPr>
        <w:pStyle w:val="Heading1"/>
        <w:rPr>
          <w:lang w:val="es-ES"/>
        </w:rPr>
      </w:pPr>
      <w:bookmarkStart w:id="8" w:name="_Hlk116656777"/>
      <w:r w:rsidRPr="000D401F">
        <w:rPr>
          <w:lang w:val="es-ES"/>
        </w:rPr>
        <w:lastRenderedPageBreak/>
        <w:t>15</w:t>
      </w:r>
      <w:r w:rsidRPr="000D401F">
        <w:rPr>
          <w:lang w:val="es-ES"/>
        </w:rPr>
        <w:tab/>
        <w:t>Vigésima séptima serie de textos sometidos por la Comisión de Redacción en primera lectura (B27) (Document</w:t>
      </w:r>
      <w:r w:rsidR="00A655BA">
        <w:rPr>
          <w:lang w:val="es-ES"/>
        </w:rPr>
        <w:t>o</w:t>
      </w:r>
      <w:r w:rsidR="00A75E8D">
        <w:rPr>
          <w:lang w:val="es-ES"/>
        </w:rPr>
        <w:t> </w:t>
      </w:r>
      <w:hyperlink r:id="rId32" w:history="1">
        <w:r w:rsidRPr="00292DFA">
          <w:rPr>
            <w:rStyle w:val="Hyperlink"/>
            <w:lang w:val="es-ES"/>
          </w:rPr>
          <w:t>197</w:t>
        </w:r>
      </w:hyperlink>
      <w:r w:rsidRPr="000D401F">
        <w:rPr>
          <w:lang w:val="es-ES"/>
        </w:rPr>
        <w:t>)</w:t>
      </w:r>
    </w:p>
    <w:p w14:paraId="0944229B" w14:textId="071A38FB" w:rsidR="000D401F" w:rsidRPr="000D401F" w:rsidRDefault="000D401F" w:rsidP="00A85B6B">
      <w:pPr>
        <w:pStyle w:val="Headingb"/>
        <w:rPr>
          <w:lang w:val="es-ES"/>
        </w:rPr>
      </w:pPr>
      <w:r w:rsidRPr="000D401F">
        <w:rPr>
          <w:lang w:val="es-ES"/>
        </w:rPr>
        <w:t>Proyecto de Resolución</w:t>
      </w:r>
      <w:r w:rsidR="00A75E8D">
        <w:rPr>
          <w:lang w:val="es-ES"/>
        </w:rPr>
        <w:t> </w:t>
      </w:r>
      <w:r w:rsidRPr="000D401F">
        <w:rPr>
          <w:lang w:val="es-ES"/>
        </w:rPr>
        <w:t>130 (Rev. Bucarest, 2022) – Fortalecimiento de la función de la UIT en la creación de confianza y seguridad en la utilización de las tecnologías de la información y la comunicación</w:t>
      </w:r>
      <w:bookmarkStart w:id="9" w:name="_Toc406757688"/>
      <w:bookmarkEnd w:id="9"/>
    </w:p>
    <w:p w14:paraId="15F05546" w14:textId="77777777" w:rsidR="000D401F" w:rsidRPr="000D401F" w:rsidRDefault="000D401F" w:rsidP="00A655BA">
      <w:pPr>
        <w:rPr>
          <w:bCs/>
          <w:lang w:val="es-ES"/>
        </w:rPr>
      </w:pPr>
      <w:r w:rsidRPr="000D401F">
        <w:rPr>
          <w:lang w:val="es-ES"/>
        </w:rPr>
        <w:t>15.1</w:t>
      </w:r>
      <w:r w:rsidRPr="000D401F">
        <w:rPr>
          <w:lang w:val="es-ES"/>
        </w:rPr>
        <w:tab/>
        <w:t xml:space="preserve">El </w:t>
      </w:r>
      <w:r w:rsidRPr="000D401F">
        <w:rPr>
          <w:b/>
          <w:bCs/>
          <w:lang w:val="es-ES"/>
        </w:rPr>
        <w:t xml:space="preserve">Presidente de la Comisión de Redacción </w:t>
      </w:r>
      <w:r w:rsidRPr="000D401F">
        <w:rPr>
          <w:lang w:val="es-ES"/>
        </w:rPr>
        <w:t xml:space="preserve">declara que los corchetes del </w:t>
      </w:r>
      <w:r w:rsidRPr="000D401F">
        <w:rPr>
          <w:i/>
          <w:iCs/>
          <w:lang w:val="es-ES"/>
        </w:rPr>
        <w:t xml:space="preserve">recordando h) </w:t>
      </w:r>
      <w:r w:rsidRPr="000D401F">
        <w:rPr>
          <w:lang w:val="es-ES"/>
        </w:rPr>
        <w:t>se han incluido por error en la versión inglesa y se suprimirán.</w:t>
      </w:r>
    </w:p>
    <w:p w14:paraId="4004246A" w14:textId="2CFB98E5" w:rsidR="000D401F" w:rsidRPr="000D401F" w:rsidRDefault="000D401F" w:rsidP="00A85B6B">
      <w:pPr>
        <w:pStyle w:val="Headingb"/>
        <w:rPr>
          <w:lang w:val="es-ES"/>
        </w:rPr>
      </w:pPr>
      <w:r w:rsidRPr="000D401F">
        <w:rPr>
          <w:lang w:val="es-ES"/>
        </w:rPr>
        <w:t>Proyecto de Resolución</w:t>
      </w:r>
      <w:r w:rsidR="00A75E8D">
        <w:rPr>
          <w:lang w:val="es-ES"/>
        </w:rPr>
        <w:t> </w:t>
      </w:r>
      <w:r w:rsidRPr="000D401F">
        <w:rPr>
          <w:lang w:val="es-ES"/>
        </w:rPr>
        <w:t xml:space="preserve">131 (Rev. </w:t>
      </w:r>
      <w:r w:rsidR="00292DFA">
        <w:rPr>
          <w:lang w:val="es-ES"/>
        </w:rPr>
        <w:t>Bucarest</w:t>
      </w:r>
      <w:r w:rsidRPr="000D401F">
        <w:rPr>
          <w:lang w:val="es-ES"/>
        </w:rPr>
        <w:t>, 2022) – Medición de las tecnologías de la información y la comunicación para la construcción de una sociedad de la información integradora e inclusiva</w:t>
      </w:r>
    </w:p>
    <w:p w14:paraId="79F5C302" w14:textId="6FE86E88" w:rsidR="000D401F" w:rsidRPr="000D401F" w:rsidRDefault="000D401F" w:rsidP="00A85B6B">
      <w:pPr>
        <w:pStyle w:val="Headingb"/>
        <w:rPr>
          <w:lang w:val="es-ES"/>
        </w:rPr>
      </w:pPr>
      <w:r w:rsidRPr="000D401F">
        <w:rPr>
          <w:lang w:val="es-ES"/>
        </w:rPr>
        <w:t>Proyecto de Resolución</w:t>
      </w:r>
      <w:r w:rsidR="00A75E8D">
        <w:rPr>
          <w:lang w:val="es-ES"/>
        </w:rPr>
        <w:t> </w:t>
      </w:r>
      <w:r w:rsidRPr="000D401F">
        <w:rPr>
          <w:lang w:val="es-ES"/>
        </w:rPr>
        <w:t>139 (Rev. Bucarest, 2022) – Utilización de las telecomunicaciones/tecnologías de la información y la comunicación para reducir la brecha digital y crear una sociedad de la información inclusiva</w:t>
      </w:r>
    </w:p>
    <w:p w14:paraId="64470F06" w14:textId="741581FB" w:rsidR="000D401F" w:rsidRPr="000D401F" w:rsidRDefault="000D401F" w:rsidP="00A655BA">
      <w:pPr>
        <w:rPr>
          <w:lang w:val="es-ES"/>
        </w:rPr>
      </w:pPr>
      <w:r w:rsidRPr="000D401F">
        <w:rPr>
          <w:lang w:val="es-ES"/>
        </w:rPr>
        <w:t>15.2</w:t>
      </w:r>
      <w:r w:rsidRPr="000D401F">
        <w:rPr>
          <w:lang w:val="es-ES"/>
        </w:rPr>
        <w:tab/>
      </w:r>
      <w:r w:rsidRPr="00292DFA">
        <w:rPr>
          <w:b/>
          <w:bCs/>
          <w:lang w:val="es-ES"/>
        </w:rPr>
        <w:t>Adoptado</w:t>
      </w:r>
      <w:r w:rsidR="00292DFA" w:rsidRPr="00292DFA">
        <w:rPr>
          <w:b/>
          <w:bCs/>
          <w:lang w:val="es-ES"/>
        </w:rPr>
        <w:t>s</w:t>
      </w:r>
      <w:r w:rsidRPr="000D401F">
        <w:rPr>
          <w:lang w:val="es-ES"/>
        </w:rPr>
        <w:t>.</w:t>
      </w:r>
    </w:p>
    <w:p w14:paraId="15183738" w14:textId="43819E92" w:rsidR="000D401F" w:rsidRPr="000D401F" w:rsidRDefault="000D401F" w:rsidP="00A655BA">
      <w:pPr>
        <w:rPr>
          <w:bCs/>
          <w:lang w:val="es-ES"/>
        </w:rPr>
      </w:pPr>
      <w:r w:rsidRPr="000D401F">
        <w:rPr>
          <w:lang w:val="es-ES"/>
        </w:rPr>
        <w:t>15.3</w:t>
      </w:r>
      <w:r w:rsidRPr="000D401F">
        <w:rPr>
          <w:lang w:val="es-ES"/>
        </w:rPr>
        <w:tab/>
        <w:t xml:space="preserve">Se </w:t>
      </w:r>
      <w:r w:rsidRPr="000D401F">
        <w:rPr>
          <w:b/>
          <w:bCs/>
          <w:lang w:val="es-ES"/>
        </w:rPr>
        <w:t>aprueba</w:t>
      </w:r>
      <w:r w:rsidRPr="00292DFA">
        <w:rPr>
          <w:lang w:val="es-ES"/>
        </w:rPr>
        <w:t xml:space="preserve"> </w:t>
      </w:r>
      <w:r w:rsidRPr="000D401F">
        <w:rPr>
          <w:lang w:val="es-ES"/>
        </w:rPr>
        <w:t>la vigésima séptima serie de textos sometidos por la Comisión de Redacción en primera lectura (B27) (Document</w:t>
      </w:r>
      <w:r w:rsidR="00A655BA">
        <w:rPr>
          <w:lang w:val="es-ES"/>
        </w:rPr>
        <w:t>o</w:t>
      </w:r>
      <w:r w:rsidR="00292DFA">
        <w:rPr>
          <w:lang w:val="es-ES"/>
        </w:rPr>
        <w:t> </w:t>
      </w:r>
      <w:r w:rsidRPr="000D401F">
        <w:rPr>
          <w:lang w:val="es-ES"/>
        </w:rPr>
        <w:t>197)</w:t>
      </w:r>
      <w:r w:rsidR="00A655BA">
        <w:rPr>
          <w:lang w:val="es-ES"/>
        </w:rPr>
        <w:t>.</w:t>
      </w:r>
    </w:p>
    <w:p w14:paraId="5D0B113F" w14:textId="6F6AFAF0" w:rsidR="000D401F" w:rsidRPr="000D401F" w:rsidRDefault="000D401F" w:rsidP="00A85B6B">
      <w:pPr>
        <w:pStyle w:val="Heading1"/>
        <w:rPr>
          <w:lang w:val="es-ES"/>
        </w:rPr>
      </w:pPr>
      <w:r w:rsidRPr="000D401F">
        <w:rPr>
          <w:lang w:val="es-ES"/>
        </w:rPr>
        <w:t>16</w:t>
      </w:r>
      <w:r w:rsidRPr="000D401F">
        <w:rPr>
          <w:lang w:val="es-ES"/>
        </w:rPr>
        <w:tab/>
        <w:t>Vigésima séptima serie de textos sometidos por la Comisión de Redacción – segunda lectura (Document</w:t>
      </w:r>
      <w:r w:rsidR="00A655BA">
        <w:rPr>
          <w:lang w:val="es-ES"/>
        </w:rPr>
        <w:t>o</w:t>
      </w:r>
      <w:r w:rsidR="00A75E8D">
        <w:rPr>
          <w:lang w:val="es-ES"/>
        </w:rPr>
        <w:t> </w:t>
      </w:r>
      <w:hyperlink r:id="rId33" w:history="1">
        <w:r w:rsidRPr="00292DFA">
          <w:rPr>
            <w:rStyle w:val="Hyperlink"/>
            <w:lang w:val="es-ES"/>
          </w:rPr>
          <w:t>197</w:t>
        </w:r>
      </w:hyperlink>
      <w:r w:rsidRPr="000D401F">
        <w:rPr>
          <w:lang w:val="es-ES"/>
        </w:rPr>
        <w:t>)</w:t>
      </w:r>
    </w:p>
    <w:p w14:paraId="0CA176AE" w14:textId="481DF82A" w:rsidR="000D401F" w:rsidRPr="000D401F" w:rsidRDefault="000D401F" w:rsidP="00A655BA">
      <w:pPr>
        <w:rPr>
          <w:bCs/>
          <w:lang w:val="es-ES"/>
        </w:rPr>
      </w:pPr>
      <w:r w:rsidRPr="000D401F">
        <w:rPr>
          <w:lang w:val="es-ES"/>
        </w:rPr>
        <w:t>16.1</w:t>
      </w:r>
      <w:r w:rsidRPr="000D401F">
        <w:rPr>
          <w:lang w:val="es-ES"/>
        </w:rPr>
        <w:tab/>
        <w:t xml:space="preserve">Se </w:t>
      </w:r>
      <w:r w:rsidRPr="000D401F">
        <w:rPr>
          <w:b/>
          <w:bCs/>
          <w:lang w:val="es-ES"/>
        </w:rPr>
        <w:t>aprueba</w:t>
      </w:r>
      <w:r w:rsidRPr="00292DFA">
        <w:rPr>
          <w:lang w:val="es-ES"/>
        </w:rPr>
        <w:t xml:space="preserve"> </w:t>
      </w:r>
      <w:r w:rsidRPr="000D401F">
        <w:rPr>
          <w:lang w:val="es-ES"/>
        </w:rPr>
        <w:t>la vigésima séptima serie de textos sometidos por la Comisión de Redacción en segunda lectura (Documento</w:t>
      </w:r>
      <w:r w:rsidR="00292DFA">
        <w:rPr>
          <w:lang w:val="es-ES"/>
        </w:rPr>
        <w:t> </w:t>
      </w:r>
      <w:r w:rsidRPr="000D401F">
        <w:rPr>
          <w:lang w:val="es-ES"/>
        </w:rPr>
        <w:t>197)</w:t>
      </w:r>
      <w:r w:rsidR="00292DFA">
        <w:rPr>
          <w:lang w:val="es-ES"/>
        </w:rPr>
        <w:t>.</w:t>
      </w:r>
    </w:p>
    <w:p w14:paraId="2952AE0E" w14:textId="1E2D1A65" w:rsidR="000D401F" w:rsidRPr="000D401F" w:rsidRDefault="000D401F" w:rsidP="00A655BA">
      <w:pPr>
        <w:rPr>
          <w:lang w:val="es-ES"/>
        </w:rPr>
      </w:pPr>
      <w:r w:rsidRPr="000D401F">
        <w:rPr>
          <w:lang w:val="es-ES"/>
        </w:rPr>
        <w:t>16.2</w:t>
      </w:r>
      <w:r w:rsidRPr="000D401F">
        <w:rPr>
          <w:lang w:val="es-ES"/>
        </w:rPr>
        <w:tab/>
      </w:r>
      <w:r w:rsidR="00480F81">
        <w:rPr>
          <w:lang w:val="es-ES"/>
        </w:rPr>
        <w:t>La</w:t>
      </w:r>
      <w:r w:rsidRPr="000D401F">
        <w:rPr>
          <w:lang w:val="es-ES"/>
        </w:rPr>
        <w:t xml:space="preserve"> </w:t>
      </w:r>
      <w:r w:rsidRPr="000D401F">
        <w:rPr>
          <w:b/>
          <w:bCs/>
          <w:lang w:val="es-ES"/>
        </w:rPr>
        <w:t>delegad</w:t>
      </w:r>
      <w:r w:rsidR="00480F81">
        <w:rPr>
          <w:b/>
          <w:bCs/>
          <w:lang w:val="es-ES"/>
        </w:rPr>
        <w:t>a</w:t>
      </w:r>
      <w:r w:rsidRPr="000D401F">
        <w:rPr>
          <w:b/>
          <w:bCs/>
          <w:lang w:val="es-ES"/>
        </w:rPr>
        <w:t xml:space="preserve"> de </w:t>
      </w:r>
      <w:r w:rsidR="00480F81">
        <w:rPr>
          <w:b/>
          <w:bCs/>
          <w:lang w:val="es-ES"/>
        </w:rPr>
        <w:t xml:space="preserve">los </w:t>
      </w:r>
      <w:r w:rsidRPr="000D401F">
        <w:rPr>
          <w:b/>
          <w:bCs/>
          <w:lang w:val="es-ES"/>
        </w:rPr>
        <w:t xml:space="preserve">Estados Unidos </w:t>
      </w:r>
      <w:r w:rsidRPr="000D401F">
        <w:rPr>
          <w:lang w:val="es-ES"/>
        </w:rPr>
        <w:t>formula la siguiente declaración:</w:t>
      </w:r>
    </w:p>
    <w:p w14:paraId="785B07A9" w14:textId="0CA70908" w:rsidR="00292DFA" w:rsidRDefault="000D401F" w:rsidP="00FE5D73">
      <w:pPr>
        <w:rPr>
          <w:lang w:val="es-ES"/>
        </w:rPr>
      </w:pPr>
      <w:r w:rsidRPr="000D401F">
        <w:rPr>
          <w:lang w:val="es-ES"/>
        </w:rPr>
        <w:t>"Estados Unidos desea hacer constar su gran consternación por el hecho de que la presente Conferencia de Plenipotenciarios no haya incluido instrucciones explícitas en la Resolución</w:t>
      </w:r>
      <w:r w:rsidR="00292DFA">
        <w:rPr>
          <w:lang w:val="es-ES"/>
        </w:rPr>
        <w:t> </w:t>
      </w:r>
      <w:r w:rsidRPr="000D401F">
        <w:rPr>
          <w:lang w:val="es-ES"/>
        </w:rPr>
        <w:t xml:space="preserve">139 para seguir apoyando y coordinando los esfuerzos para conectar a las mujeres y las niñas en toda su diversidad, a los jóvenes y a los grupos vulnerables, a los pueblos indígenas, a las personas mayores y a las personas con discapacidad y </w:t>
      </w:r>
      <w:r w:rsidR="00845E90">
        <w:rPr>
          <w:lang w:val="es-ES"/>
        </w:rPr>
        <w:t xml:space="preserve">con </w:t>
      </w:r>
      <w:r w:rsidRPr="000D401F">
        <w:rPr>
          <w:lang w:val="es-ES"/>
        </w:rPr>
        <w:t>necesidades espec</w:t>
      </w:r>
      <w:r w:rsidR="00845E90">
        <w:rPr>
          <w:lang w:val="es-ES"/>
        </w:rPr>
        <w:t>iales</w:t>
      </w:r>
      <w:r w:rsidRPr="000D401F">
        <w:rPr>
          <w:lang w:val="es-ES"/>
        </w:rPr>
        <w:t>, a pesar del abrumador apoyo.</w:t>
      </w:r>
    </w:p>
    <w:p w14:paraId="72FF7F64" w14:textId="7E40005E" w:rsidR="000D401F" w:rsidRPr="000D401F" w:rsidRDefault="000D401F" w:rsidP="00FE5D73">
      <w:pPr>
        <w:rPr>
          <w:lang w:val="es-ES"/>
        </w:rPr>
      </w:pPr>
      <w:r w:rsidRPr="000D401F">
        <w:rPr>
          <w:lang w:val="es-ES"/>
        </w:rPr>
        <w:t>Consideramos que este hecho resulta especialmente vergonzoso dado lo histórico de esta Conferencia, en la que hemos elegido como Secretaria General de la UIT a Doreen Bogdan-Martin, la primera mujer en ocupar este cargo en los 157 años de existencia de la organización.</w:t>
      </w:r>
    </w:p>
    <w:p w14:paraId="4EC71C62" w14:textId="2C782231" w:rsidR="000D401F" w:rsidRPr="000D401F" w:rsidRDefault="000D401F" w:rsidP="00FE5D73">
      <w:pPr>
        <w:rPr>
          <w:lang w:val="es-ES"/>
        </w:rPr>
      </w:pPr>
      <w:r w:rsidRPr="000D401F">
        <w:rPr>
          <w:lang w:val="es-ES"/>
        </w:rPr>
        <w:t xml:space="preserve">En la declaración política formulada por Estados Unidos al inicio de esta Conferencia, reafirmamos nuestro compromiso de trabajar con la comunidad internacional para cerrar las brechas digitales, incluida la brecha digital de género, cuyas repercusiones económicas son enormes para todas las mujeres y niñas. Según UNICEF, </w:t>
      </w:r>
      <w:r w:rsidR="007D39C0">
        <w:rPr>
          <w:lang w:val="es-ES"/>
        </w:rPr>
        <w:t>'</w:t>
      </w:r>
      <w:r w:rsidR="004D52FB">
        <w:rPr>
          <w:lang w:val="es-ES"/>
        </w:rPr>
        <w:t>a</w:t>
      </w:r>
      <w:r w:rsidRPr="000D401F">
        <w:rPr>
          <w:lang w:val="es-ES"/>
        </w:rPr>
        <w:t xml:space="preserve"> medida que se amplíe la digitalización de las economías, el crecimiento económico y social dependerá cada vez más de la capacidad de las personas para utilizar la tecnología</w:t>
      </w:r>
      <w:r w:rsidR="007D39C0">
        <w:rPr>
          <w:lang w:val="es-ES"/>
        </w:rPr>
        <w:t>'</w:t>
      </w:r>
      <w:r w:rsidRPr="000D401F">
        <w:rPr>
          <w:lang w:val="es-ES"/>
        </w:rPr>
        <w:t>. Sin embargo, las mujeres y las niñas están muy por detrás de los hombres y niños en cuanto a la adopción, acceso, utilización y alfabetización digital.</w:t>
      </w:r>
    </w:p>
    <w:p w14:paraId="4798BB96" w14:textId="144E34BC" w:rsidR="000D401F" w:rsidRPr="000D401F" w:rsidRDefault="000D401F" w:rsidP="00F31477">
      <w:pPr>
        <w:keepNext/>
        <w:keepLines/>
        <w:rPr>
          <w:lang w:val="es-ES"/>
        </w:rPr>
      </w:pPr>
      <w:r w:rsidRPr="000D401F">
        <w:rPr>
          <w:lang w:val="es-ES"/>
        </w:rPr>
        <w:lastRenderedPageBreak/>
        <w:t xml:space="preserve">Muchos Estados Miembros de todas las regiones se hicieron eco de sentimientos similares en sus propias declaraciones políticas, destacando merecidamente las iniciativas nacionales dirigidas concretamente a las mujeres y las niñas, los jóvenes y las personas con discapacidad y </w:t>
      </w:r>
      <w:r w:rsidR="00845E90">
        <w:rPr>
          <w:lang w:val="es-ES"/>
        </w:rPr>
        <w:t xml:space="preserve">con </w:t>
      </w:r>
      <w:r w:rsidRPr="000D401F">
        <w:rPr>
          <w:lang w:val="es-ES"/>
        </w:rPr>
        <w:t xml:space="preserve">necesidades </w:t>
      </w:r>
      <w:r w:rsidR="004D52FB">
        <w:rPr>
          <w:lang w:val="es-ES"/>
        </w:rPr>
        <w:t>especiales</w:t>
      </w:r>
      <w:r w:rsidRPr="000D401F">
        <w:rPr>
          <w:lang w:val="es-ES"/>
        </w:rPr>
        <w:t>. Para nuestra decepción, algunos de estos mismos Estados Miembros no pasaron de las palabras a los hechos cuando hubo que revisar la Resolución</w:t>
      </w:r>
      <w:r w:rsidR="00A75E8D">
        <w:rPr>
          <w:lang w:val="es-ES"/>
        </w:rPr>
        <w:t> </w:t>
      </w:r>
      <w:r w:rsidRPr="000D401F">
        <w:rPr>
          <w:lang w:val="es-ES"/>
        </w:rPr>
        <w:t>139, y defendieron posiciones directamente contrarias a las prioridades que habían alegado en sus declaraciones.</w:t>
      </w:r>
    </w:p>
    <w:p w14:paraId="4961371E" w14:textId="3A5FB42A" w:rsidR="000D401F" w:rsidRPr="000D401F" w:rsidRDefault="000D401F" w:rsidP="00FE5D73">
      <w:pPr>
        <w:rPr>
          <w:lang w:val="es-ES"/>
        </w:rPr>
      </w:pPr>
      <w:r w:rsidRPr="000D401F">
        <w:rPr>
          <w:lang w:val="es-ES"/>
        </w:rPr>
        <w:t>No obstante, Sr. Presidente, los hechos son indiscutibles:</w:t>
      </w:r>
    </w:p>
    <w:p w14:paraId="318C5AA2" w14:textId="38B926A2" w:rsidR="000D401F" w:rsidRPr="000D401F" w:rsidRDefault="00A655BA" w:rsidP="00FE5D73">
      <w:pPr>
        <w:pStyle w:val="enumlev1"/>
        <w:rPr>
          <w:lang w:val="es-ES"/>
        </w:rPr>
      </w:pPr>
      <w:r w:rsidRPr="00A655BA">
        <w:rPr>
          <w:lang w:val="es-ES"/>
        </w:rPr>
        <w:t>•</w:t>
      </w:r>
      <w:r>
        <w:rPr>
          <w:lang w:val="es-ES"/>
        </w:rPr>
        <w:tab/>
      </w:r>
      <w:r w:rsidR="000D401F" w:rsidRPr="000D401F">
        <w:rPr>
          <w:lang w:val="es-ES"/>
        </w:rPr>
        <w:t xml:space="preserve">El informe del UIT-D </w:t>
      </w:r>
      <w:r w:rsidR="000D401F" w:rsidRPr="000D401F">
        <w:rPr>
          <w:i/>
          <w:iCs/>
          <w:lang w:val="es-ES"/>
        </w:rPr>
        <w:t>Medición del Desarrollo Digital: Hechos y Cifras de 2021</w:t>
      </w:r>
      <w:r w:rsidR="000D401F" w:rsidRPr="000D401F">
        <w:rPr>
          <w:lang w:val="es-ES"/>
        </w:rPr>
        <w:t xml:space="preserve"> concluye que, pese a que se ha alcanzado la paridad de género en algunas regiones, la brecha digital de género sigue siendo amplia en muchas regiones, incluidos los países menos desarrollados, los países en desarrollo sin litoral, África y los Estados </w:t>
      </w:r>
      <w:r w:rsidR="00EA7D71" w:rsidRPr="000D401F">
        <w:rPr>
          <w:lang w:val="es-ES"/>
        </w:rPr>
        <w:t>Árabes</w:t>
      </w:r>
      <w:r w:rsidR="000D401F" w:rsidRPr="000D401F">
        <w:rPr>
          <w:lang w:val="es-ES"/>
        </w:rPr>
        <w:t>.</w:t>
      </w:r>
    </w:p>
    <w:p w14:paraId="707DBF6E" w14:textId="09D58687" w:rsidR="000D401F" w:rsidRPr="000D401F" w:rsidRDefault="00A655BA" w:rsidP="00FE5D73">
      <w:pPr>
        <w:pStyle w:val="enumlev1"/>
        <w:rPr>
          <w:lang w:val="es-ES"/>
        </w:rPr>
      </w:pPr>
      <w:r w:rsidRPr="00A655BA">
        <w:rPr>
          <w:lang w:val="es-ES"/>
        </w:rPr>
        <w:t>•</w:t>
      </w:r>
      <w:r>
        <w:rPr>
          <w:lang w:val="es-ES"/>
        </w:rPr>
        <w:tab/>
      </w:r>
      <w:r w:rsidR="000D401F" w:rsidRPr="000D401F">
        <w:rPr>
          <w:lang w:val="es-ES"/>
        </w:rPr>
        <w:t xml:space="preserve">En cuanto a la juventud, según un estudio conjunto de la UIT y UNICEF, más de dos tercios de los niños en edad escolar del mundo </w:t>
      </w:r>
      <w:r w:rsidR="004D52FB" w:rsidRPr="004D52FB">
        <w:rPr>
          <w:lang w:val="es-ES"/>
        </w:rPr>
        <w:t>–</w:t>
      </w:r>
      <w:r w:rsidR="000D401F" w:rsidRPr="000D401F">
        <w:rPr>
          <w:lang w:val="es-ES"/>
        </w:rPr>
        <w:t>cifra superior a 1</w:t>
      </w:r>
      <w:r w:rsidR="004D52FB">
        <w:rPr>
          <w:lang w:val="es-ES"/>
        </w:rPr>
        <w:t> </w:t>
      </w:r>
      <w:r w:rsidR="000D401F" w:rsidRPr="000D401F">
        <w:rPr>
          <w:lang w:val="es-ES"/>
        </w:rPr>
        <w:t>300 millones</w:t>
      </w:r>
      <w:r w:rsidR="004D52FB" w:rsidRPr="004D52FB">
        <w:rPr>
          <w:lang w:val="es-ES"/>
        </w:rPr>
        <w:t>–</w:t>
      </w:r>
      <w:r w:rsidR="000D401F" w:rsidRPr="000D401F">
        <w:rPr>
          <w:lang w:val="es-ES"/>
        </w:rPr>
        <w:t xml:space="preserve"> sigue careciendo de acceso a Internet en su hogar.</w:t>
      </w:r>
    </w:p>
    <w:p w14:paraId="2325E336" w14:textId="76923143" w:rsidR="000D401F" w:rsidRPr="000D401F" w:rsidRDefault="00A655BA" w:rsidP="00FE5D73">
      <w:pPr>
        <w:pStyle w:val="enumlev1"/>
        <w:rPr>
          <w:lang w:val="es-ES"/>
        </w:rPr>
      </w:pPr>
      <w:r w:rsidRPr="00A655BA">
        <w:rPr>
          <w:lang w:val="es-ES"/>
        </w:rPr>
        <w:t>•</w:t>
      </w:r>
      <w:r>
        <w:rPr>
          <w:lang w:val="es-ES"/>
        </w:rPr>
        <w:tab/>
      </w:r>
      <w:r w:rsidR="000D401F" w:rsidRPr="000D401F">
        <w:rPr>
          <w:lang w:val="es-ES"/>
        </w:rPr>
        <w:t>Por otra parte, según los datos del Programa de las Naciones Unidas para el Desarrollo, hay más de 476</w:t>
      </w:r>
      <w:r w:rsidR="00C040B3">
        <w:rPr>
          <w:lang w:val="es-ES"/>
        </w:rPr>
        <w:t> </w:t>
      </w:r>
      <w:r w:rsidR="000D401F" w:rsidRPr="000D401F">
        <w:rPr>
          <w:lang w:val="es-ES"/>
        </w:rPr>
        <w:t>millones de indígenas en el mundo y estas comunidades indígenas siguen estando insuficientemente atendidas y entre las que tienen menos probabilidades de estar conectadas a Internet.</w:t>
      </w:r>
    </w:p>
    <w:p w14:paraId="7F8A5904" w14:textId="36A12C62" w:rsidR="000D401F" w:rsidRPr="000D401F" w:rsidRDefault="00A655BA" w:rsidP="00FE5D73">
      <w:pPr>
        <w:pStyle w:val="enumlev1"/>
        <w:rPr>
          <w:lang w:val="es-ES"/>
        </w:rPr>
      </w:pPr>
      <w:r w:rsidRPr="00A655BA">
        <w:rPr>
          <w:lang w:val="es-ES"/>
        </w:rPr>
        <w:t>•</w:t>
      </w:r>
      <w:r>
        <w:rPr>
          <w:lang w:val="es-ES"/>
        </w:rPr>
        <w:tab/>
      </w:r>
      <w:r w:rsidR="000D401F" w:rsidRPr="000D401F">
        <w:rPr>
          <w:lang w:val="es-ES"/>
        </w:rPr>
        <w:t xml:space="preserve">En el informe del UIT-D </w:t>
      </w:r>
      <w:r w:rsidR="000D401F" w:rsidRPr="000D401F">
        <w:rPr>
          <w:i/>
          <w:iCs/>
          <w:lang w:val="es-ES"/>
        </w:rPr>
        <w:t xml:space="preserve">Envejecer en el mundo digital </w:t>
      </w:r>
      <w:r w:rsidR="000D401F" w:rsidRPr="004D52FB">
        <w:rPr>
          <w:lang w:val="es-ES"/>
        </w:rPr>
        <w:t>se</w:t>
      </w:r>
      <w:r w:rsidR="000D401F" w:rsidRPr="000D401F">
        <w:rPr>
          <w:i/>
          <w:iCs/>
          <w:lang w:val="es-ES"/>
        </w:rPr>
        <w:t xml:space="preserve"> </w:t>
      </w:r>
      <w:r w:rsidR="000D401F" w:rsidRPr="000D401F">
        <w:rPr>
          <w:lang w:val="es-ES"/>
        </w:rPr>
        <w:t>destaca que, para 2050, una de cada seis personas en todo el mundo tendrá más de 65</w:t>
      </w:r>
      <w:r w:rsidR="00A75E8D">
        <w:rPr>
          <w:lang w:val="es-ES"/>
        </w:rPr>
        <w:t> </w:t>
      </w:r>
      <w:r w:rsidR="000D401F" w:rsidRPr="000D401F">
        <w:rPr>
          <w:lang w:val="es-ES"/>
        </w:rPr>
        <w:t>años de edad, lo que pone de relieve la creciente importancia de conectar a la población mayor para que puedan beneficiarse de las oportunidades digitales.</w:t>
      </w:r>
    </w:p>
    <w:p w14:paraId="7985FCD0" w14:textId="6805F520" w:rsidR="000D401F" w:rsidRPr="000D401F" w:rsidRDefault="00A655BA" w:rsidP="00FE5D73">
      <w:pPr>
        <w:pStyle w:val="enumlev1"/>
        <w:rPr>
          <w:lang w:val="es-ES"/>
        </w:rPr>
      </w:pPr>
      <w:r w:rsidRPr="00A655BA">
        <w:rPr>
          <w:lang w:val="es-ES"/>
        </w:rPr>
        <w:t>•</w:t>
      </w:r>
      <w:r>
        <w:rPr>
          <w:lang w:val="es-ES"/>
        </w:rPr>
        <w:tab/>
      </w:r>
      <w:r w:rsidR="000D401F" w:rsidRPr="000D401F">
        <w:rPr>
          <w:lang w:val="es-ES"/>
        </w:rPr>
        <w:t xml:space="preserve">Por último, aunque no por ello menos importante, el informe </w:t>
      </w:r>
      <w:r w:rsidR="000D401F" w:rsidRPr="004D52FB">
        <w:rPr>
          <w:i/>
          <w:iCs/>
          <w:lang w:val="es-ES"/>
        </w:rPr>
        <w:t>GSMA Mobile Disability Gap Report 2021</w:t>
      </w:r>
      <w:r w:rsidR="000D401F" w:rsidRPr="000D401F">
        <w:rPr>
          <w:lang w:val="es-ES"/>
        </w:rPr>
        <w:t xml:space="preserve"> estima que el 15% de la población mundial vive con algún tipo de discapacidad, y sin embargo los niveles de uso de Internet móvil por las personas con discapacidad son desproporcionadamente más bajos.</w:t>
      </w:r>
    </w:p>
    <w:p w14:paraId="2440BC43" w14:textId="320D7453" w:rsidR="000D401F" w:rsidRPr="000D401F" w:rsidRDefault="000D401F" w:rsidP="00FE5D73">
      <w:pPr>
        <w:rPr>
          <w:lang w:val="es-ES"/>
        </w:rPr>
      </w:pPr>
      <w:r w:rsidRPr="000D401F">
        <w:rPr>
          <w:lang w:val="es-ES"/>
        </w:rPr>
        <w:t>No podemos obviar la realidad, señor Presidente, y nos parece inconcebible que esta Conferencia de Plenipotenciarios no haya incluido un texto de suma importancia en la Resolución</w:t>
      </w:r>
      <w:r w:rsidR="004D52FB">
        <w:rPr>
          <w:lang w:val="es-ES"/>
        </w:rPr>
        <w:t> </w:t>
      </w:r>
      <w:r w:rsidRPr="000D401F">
        <w:rPr>
          <w:lang w:val="es-ES"/>
        </w:rPr>
        <w:t>139, debido exclusivamente a las preocupaciones injustificadas y sin fundamento de una pequeña minoría de Estados Miembros.</w:t>
      </w:r>
    </w:p>
    <w:p w14:paraId="62832430" w14:textId="1A58FB73" w:rsidR="000D401F" w:rsidRPr="000D401F" w:rsidRDefault="000D401F" w:rsidP="00FE5D73">
      <w:pPr>
        <w:rPr>
          <w:lang w:val="es-ES"/>
        </w:rPr>
      </w:pPr>
      <w:r w:rsidRPr="000D401F">
        <w:rPr>
          <w:lang w:val="es-ES"/>
        </w:rPr>
        <w:t xml:space="preserve">A pesar de este decepcionante resultado, Estados Unidos sigue empeñado en hacer avanzar las iniciativas de la UIT para conectar a quiénes carecen de conexión, prestando la tan necesaria atención a las mujeres y las niñas, los jóvenes y los grupos vulnerables, los pueblos indígenas, los ancianos y las personas con discapacidad y </w:t>
      </w:r>
      <w:r w:rsidR="00845E90">
        <w:rPr>
          <w:lang w:val="es-ES"/>
        </w:rPr>
        <w:t xml:space="preserve">con </w:t>
      </w:r>
      <w:r w:rsidRPr="000D401F">
        <w:rPr>
          <w:lang w:val="es-ES"/>
        </w:rPr>
        <w:t>necesidades espec</w:t>
      </w:r>
      <w:r w:rsidR="00845E90">
        <w:rPr>
          <w:lang w:val="es-ES"/>
        </w:rPr>
        <w:t>iales</w:t>
      </w:r>
      <w:r w:rsidRPr="000D401F">
        <w:rPr>
          <w:lang w:val="es-ES"/>
        </w:rPr>
        <w:t>.</w:t>
      </w:r>
    </w:p>
    <w:p w14:paraId="5C103B13" w14:textId="3365DEBA" w:rsidR="000D401F" w:rsidRPr="000D401F" w:rsidRDefault="000D401F" w:rsidP="00FE5D73">
      <w:pPr>
        <w:rPr>
          <w:lang w:val="es-ES"/>
        </w:rPr>
      </w:pPr>
      <w:r w:rsidRPr="000D401F">
        <w:rPr>
          <w:lang w:val="es-ES"/>
        </w:rPr>
        <w:t xml:space="preserve">Instamos a todos los Estados Miembros a que se unan a nosotros para garantizar que </w:t>
      </w:r>
      <w:r w:rsidR="007D39C0">
        <w:rPr>
          <w:lang w:val="es-ES"/>
        </w:rPr>
        <w:t>'</w:t>
      </w:r>
      <w:r w:rsidRPr="000D401F">
        <w:rPr>
          <w:lang w:val="es-ES"/>
        </w:rPr>
        <w:t>nadie se quede atrás</w:t>
      </w:r>
      <w:r w:rsidR="007D39C0">
        <w:rPr>
          <w:lang w:val="es-ES"/>
        </w:rPr>
        <w:t>'</w:t>
      </w:r>
      <w:r w:rsidRPr="000D401F">
        <w:rPr>
          <w:lang w:val="es-ES"/>
        </w:rPr>
        <w:t>, en consonancia con el principal cometido y los principios morales de la UIT".</w:t>
      </w:r>
    </w:p>
    <w:p w14:paraId="75B7287B" w14:textId="7855A4E4" w:rsidR="000D401F" w:rsidRPr="000D401F" w:rsidRDefault="000D401F" w:rsidP="00292DFA">
      <w:pPr>
        <w:rPr>
          <w:lang w:val="es-ES"/>
        </w:rPr>
      </w:pPr>
      <w:r w:rsidRPr="000D401F">
        <w:rPr>
          <w:lang w:val="es-ES"/>
        </w:rPr>
        <w:t>16.3</w:t>
      </w:r>
      <w:r w:rsidRPr="000D401F">
        <w:rPr>
          <w:lang w:val="es-ES"/>
        </w:rPr>
        <w:tab/>
        <w:t xml:space="preserve">El </w:t>
      </w:r>
      <w:r w:rsidRPr="004D52FB">
        <w:rPr>
          <w:b/>
          <w:bCs/>
          <w:lang w:val="es-ES"/>
        </w:rPr>
        <w:t>delegado de Dinamarca</w:t>
      </w:r>
      <w:r w:rsidRPr="000D401F">
        <w:rPr>
          <w:lang w:val="es-ES"/>
        </w:rPr>
        <w:t xml:space="preserve"> formula la siguiente declaración en nombre de Argentina, Australia, Austria, </w:t>
      </w:r>
      <w:r w:rsidR="003A4F3C">
        <w:rPr>
          <w:lang w:val="es-ES"/>
        </w:rPr>
        <w:t xml:space="preserve">las </w:t>
      </w:r>
      <w:r w:rsidRPr="000D401F">
        <w:rPr>
          <w:lang w:val="es-ES"/>
        </w:rPr>
        <w:t xml:space="preserve">Bahamas, Bélgica, Brasil, Bulgaria, Canadá, Croacia, </w:t>
      </w:r>
      <w:r w:rsidR="003A4F3C" w:rsidRPr="000D401F">
        <w:rPr>
          <w:lang w:val="es-ES"/>
        </w:rPr>
        <w:t xml:space="preserve">Chipre, </w:t>
      </w:r>
      <w:r w:rsidR="003A4F3C">
        <w:rPr>
          <w:lang w:val="es-ES"/>
        </w:rPr>
        <w:t xml:space="preserve">la </w:t>
      </w:r>
      <w:r w:rsidR="003A4F3C" w:rsidRPr="000D401F">
        <w:rPr>
          <w:lang w:val="es-ES"/>
        </w:rPr>
        <w:t xml:space="preserve">República Checa, </w:t>
      </w:r>
      <w:r w:rsidRPr="000D401F">
        <w:rPr>
          <w:lang w:val="es-ES"/>
        </w:rPr>
        <w:t xml:space="preserve">Dinamarca, </w:t>
      </w:r>
      <w:r w:rsidR="003A4F3C">
        <w:rPr>
          <w:lang w:val="es-ES"/>
        </w:rPr>
        <w:t xml:space="preserve">la </w:t>
      </w:r>
      <w:r w:rsidRPr="000D401F">
        <w:rPr>
          <w:lang w:val="es-ES"/>
        </w:rPr>
        <w:t xml:space="preserve">República Dominicana, Estonia, Francia, </w:t>
      </w:r>
      <w:r w:rsidR="003A4F3C" w:rsidRPr="000D401F">
        <w:rPr>
          <w:lang w:val="es-ES"/>
        </w:rPr>
        <w:t xml:space="preserve">Alemania, </w:t>
      </w:r>
      <w:r w:rsidRPr="000D401F">
        <w:rPr>
          <w:lang w:val="es-ES"/>
        </w:rPr>
        <w:t xml:space="preserve">Grecia, Guatemala, Hungría, </w:t>
      </w:r>
      <w:r w:rsidR="003A4F3C" w:rsidRPr="000D401F">
        <w:rPr>
          <w:lang w:val="es-ES"/>
        </w:rPr>
        <w:t xml:space="preserve">Islandia, </w:t>
      </w:r>
      <w:r w:rsidRPr="000D401F">
        <w:rPr>
          <w:lang w:val="es-ES"/>
        </w:rPr>
        <w:t>Irlanda, Israel, Italia, Japón, Ken</w:t>
      </w:r>
      <w:r w:rsidR="003A4F3C">
        <w:rPr>
          <w:lang w:val="es-ES"/>
        </w:rPr>
        <w:t>y</w:t>
      </w:r>
      <w:r w:rsidRPr="000D401F">
        <w:rPr>
          <w:lang w:val="es-ES"/>
        </w:rPr>
        <w:t xml:space="preserve">a, </w:t>
      </w:r>
      <w:r w:rsidR="003A4F3C">
        <w:rPr>
          <w:lang w:val="es-ES"/>
        </w:rPr>
        <w:t xml:space="preserve">Liechtenstein, los </w:t>
      </w:r>
      <w:r w:rsidRPr="000D401F">
        <w:rPr>
          <w:lang w:val="es-ES"/>
        </w:rPr>
        <w:t xml:space="preserve">Países Bajos, Letonia, Lituania, Luxemburgo, Malta, México, </w:t>
      </w:r>
      <w:r w:rsidR="003A4F3C" w:rsidRPr="000D401F">
        <w:rPr>
          <w:lang w:val="es-ES"/>
        </w:rPr>
        <w:t>Nueva Zeland</w:t>
      </w:r>
      <w:r w:rsidR="003A4F3C">
        <w:rPr>
          <w:lang w:val="es-ES"/>
        </w:rPr>
        <w:t>i</w:t>
      </w:r>
      <w:r w:rsidR="003A4F3C" w:rsidRPr="000D401F">
        <w:rPr>
          <w:lang w:val="es-ES"/>
        </w:rPr>
        <w:t xml:space="preserve">a, </w:t>
      </w:r>
      <w:r w:rsidRPr="000D401F">
        <w:rPr>
          <w:lang w:val="es-ES"/>
        </w:rPr>
        <w:t>Noruega, Pap</w:t>
      </w:r>
      <w:r w:rsidR="003A4F3C">
        <w:rPr>
          <w:lang w:val="es-ES"/>
        </w:rPr>
        <w:t>u</w:t>
      </w:r>
      <w:r w:rsidRPr="000D401F">
        <w:rPr>
          <w:lang w:val="es-ES"/>
        </w:rPr>
        <w:t xml:space="preserve">a Nueva Guinea, Paraguay, Filipinas, Polonia, Portugal, Mónaco, Finlandia, </w:t>
      </w:r>
      <w:r w:rsidR="003A4F3C">
        <w:rPr>
          <w:lang w:val="es-ES"/>
        </w:rPr>
        <w:t xml:space="preserve">la </w:t>
      </w:r>
      <w:r w:rsidRPr="000D401F">
        <w:rPr>
          <w:lang w:val="es-ES"/>
        </w:rPr>
        <w:t>República de Corea, Eslovenia, Ruman</w:t>
      </w:r>
      <w:r w:rsidR="003A4F3C">
        <w:rPr>
          <w:lang w:val="es-ES"/>
        </w:rPr>
        <w:t>i</w:t>
      </w:r>
      <w:r w:rsidRPr="000D401F">
        <w:rPr>
          <w:lang w:val="es-ES"/>
        </w:rPr>
        <w:t>a, R</w:t>
      </w:r>
      <w:r w:rsidR="003A4F3C">
        <w:rPr>
          <w:lang w:val="es-ES"/>
        </w:rPr>
        <w:t>w</w:t>
      </w:r>
      <w:r w:rsidRPr="000D401F">
        <w:rPr>
          <w:lang w:val="es-ES"/>
        </w:rPr>
        <w:t xml:space="preserve">anda, Eslovaquia, España, Suecia, Suiza, Tailandia, Ucrania, </w:t>
      </w:r>
      <w:r w:rsidR="003A4F3C">
        <w:rPr>
          <w:lang w:val="es-ES"/>
        </w:rPr>
        <w:t xml:space="preserve">el </w:t>
      </w:r>
      <w:r w:rsidRPr="000D401F">
        <w:rPr>
          <w:lang w:val="es-ES"/>
        </w:rPr>
        <w:t>Reino Unido, Uruguay y Vanuatu:</w:t>
      </w:r>
    </w:p>
    <w:p w14:paraId="0E98FC0F" w14:textId="1B3DFDA1" w:rsidR="000D401F" w:rsidRPr="000D401F" w:rsidRDefault="000D401F" w:rsidP="00FE5D73">
      <w:pPr>
        <w:rPr>
          <w:lang w:val="es-ES"/>
        </w:rPr>
      </w:pPr>
      <w:r w:rsidRPr="000D401F">
        <w:rPr>
          <w:lang w:val="es-ES"/>
        </w:rPr>
        <w:lastRenderedPageBreak/>
        <w:t>"Si miramos a nuestro alrededor, vemos que en todo el mundo son muchos los que se esfuerzan por conseguir la igualdad de género. En 2019 se produjo el primer paseo espacial sólo de mujeres en la Estación Espacial Internacional. En 2020, la representación parlamentaria femenina alcanzó el 25% de los escaños en todo el mundo. Esta es la primera Conferencia de Plenipotenciarios con perspectiva de género de la UIT, y hemos elegido a la primera mujer al frente de la UIT en los 157</w:t>
      </w:r>
      <w:r w:rsidR="00EA7E37">
        <w:rPr>
          <w:lang w:val="es-ES"/>
        </w:rPr>
        <w:t> </w:t>
      </w:r>
      <w:r w:rsidRPr="000D401F">
        <w:rPr>
          <w:lang w:val="es-ES"/>
        </w:rPr>
        <w:t>años de historia de la organización. Sin embargo, aún queda mucho por hacer.</w:t>
      </w:r>
    </w:p>
    <w:p w14:paraId="1E0A8B37" w14:textId="2D14FF8A" w:rsidR="000D401F" w:rsidRPr="000D401F" w:rsidRDefault="000D401F" w:rsidP="00FE5D73">
      <w:pPr>
        <w:rPr>
          <w:lang w:val="es-ES"/>
        </w:rPr>
      </w:pPr>
      <w:r w:rsidRPr="000D401F">
        <w:rPr>
          <w:lang w:val="es-ES"/>
        </w:rPr>
        <w:t>Consideramos que el género sigue siendo un tema prioritario y transversal para la UIT. Exhortamos a reformar los métodos de trabajo de la UIT para mejorar la igualdad de género, con un objetivo real de inclusión y diversidad. Creemos que para que la labor de la UIT sirva para reducir las brechas digitales y alcanzar los ODS, es fundamental seguir esforzándose por comprender los efectos desglosados por género y promover la igualdad de género. Según los propios datos de la</w:t>
      </w:r>
      <w:r w:rsidR="0028276A">
        <w:rPr>
          <w:lang w:val="es-ES"/>
        </w:rPr>
        <w:t> </w:t>
      </w:r>
      <w:r w:rsidRPr="000D401F">
        <w:rPr>
          <w:lang w:val="es-ES"/>
        </w:rPr>
        <w:t>UIT, el porcentaje mundial de mujeres que utilizan Internet es el 48%, siendo el de hombres el</w:t>
      </w:r>
      <w:r w:rsidR="0028276A">
        <w:rPr>
          <w:lang w:val="es-ES"/>
        </w:rPr>
        <w:t> </w:t>
      </w:r>
      <w:r w:rsidRPr="000D401F">
        <w:rPr>
          <w:lang w:val="es-ES"/>
        </w:rPr>
        <w:t>58%. Por añadidura, sólo el 27% de los empleos ciberseguridad está ocupado por mujeres, y estos son sólo dos ejemplos de las brechas digitales de género muy reales.</w:t>
      </w:r>
    </w:p>
    <w:p w14:paraId="158B8690" w14:textId="3CDE7B5E" w:rsidR="000D401F" w:rsidRPr="000D401F" w:rsidRDefault="000D401F" w:rsidP="00FE5D73">
      <w:pPr>
        <w:rPr>
          <w:lang w:val="es-ES"/>
        </w:rPr>
      </w:pPr>
      <w:r w:rsidRPr="000D401F">
        <w:rPr>
          <w:lang w:val="es-ES"/>
        </w:rPr>
        <w:t xml:space="preserve">En este contexto, deseamos manifestar nuestra decepción por el hecho de que esta Conferencia haya sido incapaz de alcanzar un consenso sobre un texto importante para promover la igualdad de género en diversas </w:t>
      </w:r>
      <w:r w:rsidR="00C7666E">
        <w:rPr>
          <w:lang w:val="es-ES"/>
        </w:rPr>
        <w:t>r</w:t>
      </w:r>
      <w:r w:rsidRPr="000D401F">
        <w:rPr>
          <w:lang w:val="es-ES"/>
        </w:rPr>
        <w:t>esoluciones. Esta actitud no está en consonancia con el Objetivo de Desarrollo Sostenible</w:t>
      </w:r>
      <w:r w:rsidR="00A75E8D">
        <w:rPr>
          <w:lang w:val="es-ES"/>
        </w:rPr>
        <w:t> </w:t>
      </w:r>
      <w:r w:rsidRPr="000D401F">
        <w:rPr>
          <w:lang w:val="es-ES"/>
        </w:rPr>
        <w:t>5 ni con el sistema de las Naciones Unidas en su conjunto: debemos hacerlo mejor.</w:t>
      </w:r>
    </w:p>
    <w:p w14:paraId="24B60407" w14:textId="3CCB4406" w:rsidR="000D401F" w:rsidRPr="000D401F" w:rsidRDefault="000D401F" w:rsidP="00FE5D73">
      <w:pPr>
        <w:rPr>
          <w:lang w:val="es-ES"/>
        </w:rPr>
      </w:pPr>
      <w:r w:rsidRPr="000D401F">
        <w:rPr>
          <w:lang w:val="es-ES"/>
        </w:rPr>
        <w:t>Nunca ha sido tan importante como ahora conectar a quienes carecen de conexión. Pero sólo podemos lograrlo si trabajamos de consuno para reducir la brecha digital de género. Instamos a todos los países a reconocer la importancia de lograr la igualdad de género para que nadie se quede atrás"</w:t>
      </w:r>
      <w:r w:rsidR="00292DFA">
        <w:rPr>
          <w:lang w:val="es-ES"/>
        </w:rPr>
        <w:t>.</w:t>
      </w:r>
    </w:p>
    <w:p w14:paraId="75C53F7B" w14:textId="77777777" w:rsidR="000D401F" w:rsidRPr="000D401F" w:rsidRDefault="000D401F" w:rsidP="00A655BA">
      <w:pPr>
        <w:rPr>
          <w:lang w:val="es-ES"/>
        </w:rPr>
      </w:pPr>
      <w:r w:rsidRPr="000D401F">
        <w:rPr>
          <w:lang w:val="es-ES"/>
        </w:rPr>
        <w:t>16.4</w:t>
      </w:r>
      <w:r w:rsidRPr="000D401F">
        <w:rPr>
          <w:lang w:val="es-ES"/>
        </w:rPr>
        <w:tab/>
        <w:t xml:space="preserve">El </w:t>
      </w:r>
      <w:r w:rsidRPr="000D401F">
        <w:rPr>
          <w:b/>
          <w:bCs/>
          <w:lang w:val="es-ES"/>
        </w:rPr>
        <w:t xml:space="preserve">delegado de Canadá </w:t>
      </w:r>
      <w:r w:rsidRPr="000D401F">
        <w:rPr>
          <w:lang w:val="es-ES"/>
        </w:rPr>
        <w:t>formula la siguiente declaración:</w:t>
      </w:r>
    </w:p>
    <w:p w14:paraId="2B2141B4" w14:textId="16B6EFEA" w:rsidR="000D401F" w:rsidRPr="000D401F" w:rsidRDefault="000D401F" w:rsidP="00FE5D73">
      <w:pPr>
        <w:rPr>
          <w:lang w:val="es-ES"/>
        </w:rPr>
      </w:pPr>
      <w:r w:rsidRPr="000D401F">
        <w:rPr>
          <w:lang w:val="es-ES"/>
        </w:rPr>
        <w:t>"Permítanme comenzar con una cita:</w:t>
      </w:r>
    </w:p>
    <w:p w14:paraId="35E25F26" w14:textId="7B0099C8" w:rsidR="000D401F" w:rsidRPr="000D401F" w:rsidRDefault="00C7666E" w:rsidP="00FE5D73">
      <w:pPr>
        <w:rPr>
          <w:lang w:val="es-ES"/>
        </w:rPr>
      </w:pPr>
      <w:r>
        <w:rPr>
          <w:lang w:val="es-ES"/>
        </w:rPr>
        <w:t>'</w:t>
      </w:r>
      <w:r w:rsidR="000D401F" w:rsidRPr="000D401F">
        <w:rPr>
          <w:lang w:val="es-ES"/>
        </w:rPr>
        <w:t>No alzo mi voz para gritar, sino para que aquellos que no tienen voz puedan ser escuchados. No podemos prosperar cuando se excluye a la mitad de nosotros'</w:t>
      </w:r>
      <w:r>
        <w:rPr>
          <w:lang w:val="es-ES"/>
        </w:rPr>
        <w:t>,</w:t>
      </w:r>
      <w:r w:rsidR="000D401F" w:rsidRPr="000D401F">
        <w:rPr>
          <w:lang w:val="es-ES"/>
        </w:rPr>
        <w:t xml:space="preserve"> Malala Yousafzai, ganadora del Premio Nobel de 2014.</w:t>
      </w:r>
    </w:p>
    <w:p w14:paraId="4868F697" w14:textId="178A5E2D" w:rsidR="000D401F" w:rsidRPr="000D401F" w:rsidRDefault="000D401F" w:rsidP="00FE5D73">
      <w:pPr>
        <w:rPr>
          <w:lang w:val="es-ES"/>
        </w:rPr>
      </w:pPr>
      <w:r w:rsidRPr="000D401F">
        <w:rPr>
          <w:lang w:val="es-ES"/>
        </w:rPr>
        <w:t xml:space="preserve">El 9 de octubre de 2012, cuando se encontraba en un autobús después de hacer un examen, Malala Yousafzai, de 15 años, y otras dos niñas, fueron tiroteadas por un sicario en represalia por su activismo. Consiguió sobrevivir. Le dispararon por su activismo en defensa y promoción </w:t>
      </w:r>
      <w:r w:rsidR="00C7666E">
        <w:rPr>
          <w:lang w:val="es-ES"/>
        </w:rPr>
        <w:t xml:space="preserve">de </w:t>
      </w:r>
      <w:r w:rsidRPr="000D401F">
        <w:rPr>
          <w:lang w:val="es-ES"/>
        </w:rPr>
        <w:t>los derechos de las mujeres y las niñas: el derecho a la libertad de expresión, el derecho a la educación, el derecho a viajar, el derecho a la asistencia sanitaria, el derecho a caminar en libertad, pacíficamente y sin miedo, el derecho a disentir y el derecho a acceder y utilizar Internet. Derechos humanos fundamentales.</w:t>
      </w:r>
    </w:p>
    <w:p w14:paraId="7DC8EB20" w14:textId="42562FBF" w:rsidR="000D401F" w:rsidRPr="000D401F" w:rsidRDefault="000D401F" w:rsidP="00FE5D73">
      <w:pPr>
        <w:rPr>
          <w:lang w:val="es-ES"/>
        </w:rPr>
      </w:pPr>
      <w:r w:rsidRPr="000D401F">
        <w:rPr>
          <w:lang w:val="es-ES"/>
        </w:rPr>
        <w:t>Si Malala hubiera presenciado los debates de ayer sobre la Resolución</w:t>
      </w:r>
      <w:r w:rsidR="00C7666E">
        <w:rPr>
          <w:lang w:val="es-ES"/>
        </w:rPr>
        <w:t> </w:t>
      </w:r>
      <w:r w:rsidRPr="000D401F">
        <w:rPr>
          <w:lang w:val="es-ES"/>
        </w:rPr>
        <w:t xml:space="preserve">139 y hubiera escuchado algunas de las intervenciones condescendientes y paternalistas, probablemente se preguntaría </w:t>
      </w:r>
      <w:r w:rsidR="00C7666E">
        <w:rPr>
          <w:lang w:val="es-ES"/>
        </w:rPr>
        <w:t>'</w:t>
      </w:r>
      <w:r w:rsidRPr="000D401F">
        <w:rPr>
          <w:lang w:val="es-ES"/>
        </w:rPr>
        <w:t>¿qué hay de malo en pedir a la UIT que siga apoyando la inclusión de todas las mujeres y niñas, qué hay de malo en apoyar a los grupos vulnerables y marginados, en apoyar a las personas mayores y a las personas con discapacidad, en apoyar el cierre de la brecha digital de género?'.</w:t>
      </w:r>
    </w:p>
    <w:p w14:paraId="1FF11686" w14:textId="31066D2E" w:rsidR="000D401F" w:rsidRPr="000D401F" w:rsidRDefault="000D401F" w:rsidP="00FE5D73">
      <w:pPr>
        <w:rPr>
          <w:lang w:val="es-ES"/>
        </w:rPr>
      </w:pPr>
      <w:r w:rsidRPr="000D401F">
        <w:rPr>
          <w:lang w:val="es-ES"/>
        </w:rPr>
        <w:t xml:space="preserve">Probablemente declararía y preguntaría: </w:t>
      </w:r>
      <w:r w:rsidR="00C7666E">
        <w:rPr>
          <w:lang w:val="es-ES"/>
        </w:rPr>
        <w:t>'</w:t>
      </w:r>
      <w:r w:rsidRPr="000D401F">
        <w:rPr>
          <w:lang w:val="es-ES"/>
        </w:rPr>
        <w:t>Señores... estamos en 2022, ¿de qué tienen miedo? ¿Qué problema tienen?</w:t>
      </w:r>
      <w:r w:rsidR="00C7666E">
        <w:rPr>
          <w:lang w:val="es-ES"/>
        </w:rPr>
        <w:t>'</w:t>
      </w:r>
      <w:r w:rsidRPr="000D401F">
        <w:rPr>
          <w:lang w:val="es-ES"/>
        </w:rPr>
        <w:t>"</w:t>
      </w:r>
    </w:p>
    <w:p w14:paraId="7EF9DBBB" w14:textId="77777777" w:rsidR="000D401F" w:rsidRPr="000D401F" w:rsidRDefault="000D401F" w:rsidP="00F31477">
      <w:pPr>
        <w:keepNext/>
        <w:keepLines/>
        <w:rPr>
          <w:lang w:val="es-ES"/>
        </w:rPr>
      </w:pPr>
      <w:r w:rsidRPr="000D401F">
        <w:rPr>
          <w:lang w:val="es-ES"/>
        </w:rPr>
        <w:lastRenderedPageBreak/>
        <w:t>16.5</w:t>
      </w:r>
      <w:r w:rsidRPr="000D401F">
        <w:rPr>
          <w:lang w:val="es-ES"/>
        </w:rPr>
        <w:tab/>
        <w:t xml:space="preserve">El </w:t>
      </w:r>
      <w:r w:rsidRPr="000D401F">
        <w:rPr>
          <w:b/>
          <w:bCs/>
          <w:lang w:val="es-ES"/>
        </w:rPr>
        <w:t xml:space="preserve">delegado del Reino Unido </w:t>
      </w:r>
      <w:r w:rsidRPr="000D401F">
        <w:rPr>
          <w:lang w:val="es-ES"/>
        </w:rPr>
        <w:t>formula la siguiente declaración:</w:t>
      </w:r>
    </w:p>
    <w:p w14:paraId="526F98F5" w14:textId="77777777" w:rsidR="000D401F" w:rsidRPr="000D401F" w:rsidRDefault="000D401F" w:rsidP="00FE5D73">
      <w:pPr>
        <w:rPr>
          <w:iCs/>
          <w:lang w:val="es-ES"/>
        </w:rPr>
      </w:pPr>
      <w:r w:rsidRPr="000D401F">
        <w:rPr>
          <w:lang w:val="es-ES"/>
        </w:rPr>
        <w:t>"En nombre del Reino Unido, deseo hacerme eco de muchos otros países que han manifestado nuestra profunda decepción por el hecho de que esta Conferencia no haya sido capaz de reconocer que las mujeres y las niñas, así como otros grupos importantes, se ven especialmente afectadas por la brecha digital. Deseamos que esta declaración también conste en las actas de la Plenaria.</w:t>
      </w:r>
    </w:p>
    <w:p w14:paraId="1E4BCAF1" w14:textId="7C91AD77" w:rsidR="000D401F" w:rsidRPr="000D401F" w:rsidRDefault="000D401F" w:rsidP="00FE5D73">
      <w:pPr>
        <w:rPr>
          <w:lang w:val="es-ES"/>
        </w:rPr>
      </w:pPr>
      <w:r w:rsidRPr="000D401F">
        <w:rPr>
          <w:lang w:val="es-ES"/>
        </w:rPr>
        <w:t>Nos congratulamos de los importantes progresos realizados en esta Resolución, pero, lamentablemente, no hemos alcanzado la meta en este caso. Sin embargo, cuando hay voluntad se encuentra el camino. Confío en que, aunando los esfuerzos de los delegados presentes en esta sala, cuando volvamos a reunirnos en la próxima Conferencia de Plenipotenciarios, se habrán logrado grandes avances"</w:t>
      </w:r>
      <w:r w:rsidR="00FC6BD3">
        <w:rPr>
          <w:lang w:val="es-ES"/>
        </w:rPr>
        <w:t>.</w:t>
      </w:r>
    </w:p>
    <w:p w14:paraId="5CB55485" w14:textId="63B3A6B3" w:rsidR="000D401F" w:rsidRPr="000D401F" w:rsidRDefault="000D401F" w:rsidP="00A655BA">
      <w:pPr>
        <w:rPr>
          <w:lang w:val="es-ES"/>
        </w:rPr>
      </w:pPr>
      <w:r w:rsidRPr="000D401F">
        <w:rPr>
          <w:lang w:val="es-ES"/>
        </w:rPr>
        <w:t>16.6</w:t>
      </w:r>
      <w:r w:rsidRPr="000D401F">
        <w:rPr>
          <w:lang w:val="es-ES"/>
        </w:rPr>
        <w:tab/>
        <w:t xml:space="preserve">La </w:t>
      </w:r>
      <w:r w:rsidRPr="000D401F">
        <w:rPr>
          <w:b/>
          <w:bCs/>
          <w:lang w:val="es-ES"/>
        </w:rPr>
        <w:t>delegada de Ruman</w:t>
      </w:r>
      <w:r w:rsidR="00480F81">
        <w:rPr>
          <w:b/>
          <w:bCs/>
          <w:lang w:val="es-ES"/>
        </w:rPr>
        <w:t>i</w:t>
      </w:r>
      <w:r w:rsidRPr="000D401F">
        <w:rPr>
          <w:b/>
          <w:bCs/>
          <w:lang w:val="es-ES"/>
        </w:rPr>
        <w:t>a</w:t>
      </w:r>
      <w:r w:rsidRPr="000D401F">
        <w:rPr>
          <w:lang w:val="es-ES"/>
        </w:rPr>
        <w:t>, en nombre del país anfitrión, declara que en la UIT no tienen cabida comentarios inapropiados contra las mujeres. Se aprecia el arduo trabajo de los delegados de todos los géneros y es importante que haya respeto mutuo. Recuerda a los participantes el Código de Conducta de la UIT para impedir el acoso sexual en los eventos de la UIT o en relación con ellos. Por primera vez, más del 30 por ciento de los delegados de una Conferencia de Plenipotenciarios son mujeres, y para que esa cifra siga aumentando, la UIT debe dar ejemplo y convertirse en una organización verdaderamente inclusiva</w:t>
      </w:r>
      <w:r w:rsidR="00C50E03">
        <w:rPr>
          <w:lang w:val="es-ES"/>
        </w:rPr>
        <w:t>.</w:t>
      </w:r>
    </w:p>
    <w:p w14:paraId="33784B68" w14:textId="77777777" w:rsidR="000D401F" w:rsidRPr="000D401F" w:rsidRDefault="000D401F" w:rsidP="00A655BA">
      <w:pPr>
        <w:rPr>
          <w:lang w:val="es-ES"/>
        </w:rPr>
      </w:pPr>
      <w:r w:rsidRPr="000D401F">
        <w:rPr>
          <w:lang w:val="es-ES"/>
        </w:rPr>
        <w:t>16.7</w:t>
      </w:r>
      <w:r w:rsidRPr="000D401F">
        <w:rPr>
          <w:lang w:val="es-ES"/>
        </w:rPr>
        <w:tab/>
        <w:t xml:space="preserve">La </w:t>
      </w:r>
      <w:r w:rsidRPr="000D401F">
        <w:rPr>
          <w:b/>
          <w:bCs/>
          <w:lang w:val="es-ES"/>
        </w:rPr>
        <w:t>delegada de la República Dominicana</w:t>
      </w:r>
      <w:r w:rsidRPr="000D401F">
        <w:rPr>
          <w:lang w:val="es-ES"/>
        </w:rPr>
        <w:t>, tras hacer suyos los comentarios anteriores, formula la siguiente declaración:</w:t>
      </w:r>
    </w:p>
    <w:p w14:paraId="28F1AD80" w14:textId="6ACB35BF" w:rsidR="000D401F" w:rsidRPr="000D401F" w:rsidRDefault="000D401F" w:rsidP="00FE5D73">
      <w:pPr>
        <w:rPr>
          <w:lang w:val="es-ES"/>
        </w:rPr>
      </w:pPr>
      <w:r w:rsidRPr="000D401F">
        <w:rPr>
          <w:lang w:val="es-ES"/>
        </w:rPr>
        <w:t>"La República Dominicana reitera su pleno apoyo a la declaración formulada por el delegado de Dinamarca, no sólo como representante del Estado Dominicano, sino también como mujer y madre de una niña con discapacidad. Nos resulta extremadamente doloroso que esta Resolución adoptada por la Unión Internacional de Telecomunicaciones excluya a personas como mi hija, y por ello queremos dejar constancia de nuestro rechazo y frustración por la Resolución adoptada"</w:t>
      </w:r>
      <w:r w:rsidR="00C50E03">
        <w:rPr>
          <w:lang w:val="es-ES"/>
        </w:rPr>
        <w:t>.</w:t>
      </w:r>
    </w:p>
    <w:p w14:paraId="5A99BD5F" w14:textId="02401ADF" w:rsidR="000D401F" w:rsidRPr="000D401F" w:rsidRDefault="000D401F" w:rsidP="00A655BA">
      <w:pPr>
        <w:rPr>
          <w:lang w:val="es-ES"/>
        </w:rPr>
      </w:pPr>
      <w:r w:rsidRPr="000D401F">
        <w:rPr>
          <w:lang w:val="es-ES"/>
        </w:rPr>
        <w:t>16.8</w:t>
      </w:r>
      <w:r w:rsidRPr="000D401F">
        <w:rPr>
          <w:lang w:val="es-ES"/>
        </w:rPr>
        <w:tab/>
      </w:r>
      <w:r w:rsidR="00480F81">
        <w:rPr>
          <w:lang w:val="es-ES"/>
        </w:rPr>
        <w:t>La</w:t>
      </w:r>
      <w:r w:rsidRPr="000D401F">
        <w:rPr>
          <w:lang w:val="es-ES"/>
        </w:rPr>
        <w:t xml:space="preserve"> </w:t>
      </w:r>
      <w:r w:rsidRPr="000D401F">
        <w:rPr>
          <w:b/>
          <w:bCs/>
          <w:lang w:val="es-ES"/>
        </w:rPr>
        <w:t>delegad</w:t>
      </w:r>
      <w:r w:rsidR="00480F81">
        <w:rPr>
          <w:b/>
          <w:bCs/>
          <w:lang w:val="es-ES"/>
        </w:rPr>
        <w:t>a</w:t>
      </w:r>
      <w:r w:rsidRPr="000D401F">
        <w:rPr>
          <w:b/>
          <w:bCs/>
          <w:lang w:val="es-ES"/>
        </w:rPr>
        <w:t xml:space="preserve"> de Trinidad y T</w:t>
      </w:r>
      <w:r w:rsidR="00480F81">
        <w:rPr>
          <w:b/>
          <w:bCs/>
          <w:lang w:val="es-ES"/>
        </w:rPr>
        <w:t>a</w:t>
      </w:r>
      <w:r w:rsidRPr="000D401F">
        <w:rPr>
          <w:b/>
          <w:bCs/>
          <w:lang w:val="es-ES"/>
        </w:rPr>
        <w:t xml:space="preserve">bago </w:t>
      </w:r>
      <w:r w:rsidRPr="000D401F">
        <w:rPr>
          <w:lang w:val="es-ES"/>
        </w:rPr>
        <w:t>formula la siguiente declaración:</w:t>
      </w:r>
    </w:p>
    <w:p w14:paraId="5702D65A" w14:textId="600EC00C" w:rsidR="000D401F" w:rsidRPr="000D401F" w:rsidRDefault="000D401F" w:rsidP="00FE5D73">
      <w:pPr>
        <w:rPr>
          <w:lang w:val="es-ES"/>
        </w:rPr>
      </w:pPr>
      <w:r w:rsidRPr="000D401F">
        <w:rPr>
          <w:lang w:val="es-ES"/>
        </w:rPr>
        <w:t>"Trinidad y Tabago desea que esta declaración conste en las actas de esta Plenaria. Nos sumamos a la declaración realizada por Dinamarca en nombre de un grupo de países con ideas afines. Lamentamos que, en conjunto, no hayamos sido capaces de encontrar un consenso en temas tan cruciales como los de género, juventud y grupos desfavorecidos en relación con la Resolución</w:t>
      </w:r>
      <w:r w:rsidR="00864E86">
        <w:rPr>
          <w:lang w:val="es-ES"/>
        </w:rPr>
        <w:t> </w:t>
      </w:r>
      <w:r w:rsidRPr="000D401F">
        <w:rPr>
          <w:lang w:val="es-ES"/>
        </w:rPr>
        <w:t>139.</w:t>
      </w:r>
    </w:p>
    <w:p w14:paraId="22E629AB" w14:textId="77777777" w:rsidR="000D401F" w:rsidRPr="000D401F" w:rsidRDefault="000D401F" w:rsidP="00FE5D73">
      <w:pPr>
        <w:rPr>
          <w:lang w:val="es-ES"/>
        </w:rPr>
      </w:pPr>
      <w:r w:rsidRPr="000D401F">
        <w:rPr>
          <w:lang w:val="es-ES"/>
        </w:rPr>
        <w:t>Para Trinidad y Tabago, la representación y la inclusión son factores importantes para reducir la brecha digital y garantizar el desarrollo general, sin dejar a nadie atrás. Que la Unión haya sido incapaz de demostrar a la comunidad mundial un compromiso similar con estas cuestiones, tal y como se reconoce en los Objetivos de Desarrollo Sostenible, convierte a éste en un día triste para nosotros. Citando a uno de los Jóvenes Embajadores: soñémoslo y consigámoslo".</w:t>
      </w:r>
    </w:p>
    <w:p w14:paraId="72D938F8" w14:textId="77777777" w:rsidR="000D401F" w:rsidRPr="000D401F" w:rsidRDefault="000D401F" w:rsidP="00A655BA">
      <w:pPr>
        <w:rPr>
          <w:lang w:val="es-ES"/>
        </w:rPr>
      </w:pPr>
      <w:r w:rsidRPr="000D401F">
        <w:rPr>
          <w:lang w:val="es-ES"/>
        </w:rPr>
        <w:t>16.9</w:t>
      </w:r>
      <w:r w:rsidRPr="000D401F">
        <w:rPr>
          <w:lang w:val="es-ES"/>
        </w:rPr>
        <w:tab/>
        <w:t xml:space="preserve">El </w:t>
      </w:r>
      <w:r w:rsidRPr="000D401F">
        <w:rPr>
          <w:b/>
          <w:bCs/>
          <w:lang w:val="es-ES"/>
        </w:rPr>
        <w:t xml:space="preserve">delegado de Argentina </w:t>
      </w:r>
      <w:r w:rsidRPr="000D401F">
        <w:rPr>
          <w:lang w:val="es-ES"/>
        </w:rPr>
        <w:t>formula la siguiente declaración:</w:t>
      </w:r>
    </w:p>
    <w:p w14:paraId="126B769C" w14:textId="5786325B" w:rsidR="000D401F" w:rsidRPr="000D401F" w:rsidRDefault="000D401F" w:rsidP="00FE5D73">
      <w:pPr>
        <w:rPr>
          <w:lang w:val="es-ES"/>
        </w:rPr>
      </w:pPr>
      <w:r w:rsidRPr="000D401F">
        <w:rPr>
          <w:lang w:val="es-ES"/>
        </w:rPr>
        <w:t xml:space="preserve">"La Administración de Argentina manifiesta su profundo compromiso con la tarea de reducir todos los aspectos de la brecha digital, en particular para aquellos colectivos que, por diversas razones, no hemos logrado su inclusión. Nos parece evidente la necesidad de reconocer que la brecha digital nos afecta a todos de diferentes maneras y en mayor medida a las mujeres, los niños, los ancianos, las personas con discapacidad y </w:t>
      </w:r>
      <w:r w:rsidR="00845E90">
        <w:rPr>
          <w:lang w:val="es-ES"/>
        </w:rPr>
        <w:t xml:space="preserve">con </w:t>
      </w:r>
      <w:r w:rsidRPr="000D401F">
        <w:rPr>
          <w:lang w:val="es-ES"/>
        </w:rPr>
        <w:t xml:space="preserve">necesidades </w:t>
      </w:r>
      <w:r w:rsidR="00864E86">
        <w:rPr>
          <w:lang w:val="es-ES"/>
        </w:rPr>
        <w:t>especiales</w:t>
      </w:r>
      <w:r w:rsidRPr="000D401F">
        <w:rPr>
          <w:lang w:val="es-ES"/>
        </w:rPr>
        <w:t>, los pueblos indígenas y los grupos vulnerables, especialmente en los países en desarrollo.</w:t>
      </w:r>
    </w:p>
    <w:p w14:paraId="3FB20388" w14:textId="7D464FBF" w:rsidR="000D401F" w:rsidRPr="000D401F" w:rsidRDefault="000D401F" w:rsidP="00FE5D73">
      <w:pPr>
        <w:rPr>
          <w:lang w:val="es-ES"/>
        </w:rPr>
      </w:pPr>
      <w:r w:rsidRPr="000D401F">
        <w:rPr>
          <w:lang w:val="es-ES"/>
        </w:rPr>
        <w:lastRenderedPageBreak/>
        <w:t>Estamos convencidos de que esta conferencia marca un hito histórico al haber elegido a la primera mujer Secretaria General de la Unión en sus más de 150 años de existencia. Sin embargo, la decepción sobrevenida tras el debate de la Resolución</w:t>
      </w:r>
      <w:r w:rsidR="00864E86">
        <w:rPr>
          <w:lang w:val="es-ES"/>
        </w:rPr>
        <w:t> </w:t>
      </w:r>
      <w:r w:rsidRPr="000D401F">
        <w:rPr>
          <w:lang w:val="es-ES"/>
        </w:rPr>
        <w:t>139 nos lleva a reflexionar sobre el importante hecho de que las palabras por sí solas no son suficientes y que debemos dejar que nuestros actos hablen por nosotros. De hecho, a la vista de la conclusión del debate, creemos que la Unión en su conjunto ha fracasado a la hora de reconocer que es necesario tomar medidas para garantizar una conectividad efectiva, y reducir y eliminar la brecha digital, sin dejar a nadie atrás. Los valores y declaraciones que hemos oído repetir muchas veces durante la conferencia han chocado con una realidad que no hemos podido cambiar.</w:t>
      </w:r>
    </w:p>
    <w:p w14:paraId="2B3E4F79" w14:textId="5B1B8B58" w:rsidR="000D401F" w:rsidRPr="000D401F" w:rsidRDefault="000D401F" w:rsidP="00FE5D73">
      <w:pPr>
        <w:rPr>
          <w:lang w:val="es-ES"/>
        </w:rPr>
      </w:pPr>
      <w:r w:rsidRPr="000D401F">
        <w:rPr>
          <w:lang w:val="es-ES"/>
        </w:rPr>
        <w:t>La contradicción ante la que nos encontramos no hace más que reafirmar que aún nos queda un largo camino por recorrer, no sólo para alcanzar el Objetivo de Desarrollo Sostenible 5 sobre igualdad de género y empoderamiento de todas las mujeres y niñas, sino también para cumplir la Meta</w:t>
      </w:r>
      <w:r w:rsidR="00864E86">
        <w:rPr>
          <w:lang w:val="es-ES"/>
        </w:rPr>
        <w:t> </w:t>
      </w:r>
      <w:r w:rsidRPr="000D401F">
        <w:rPr>
          <w:lang w:val="es-ES"/>
        </w:rPr>
        <w:t>2 del Plan Estratégico aprobado hace apenas unos minutos.</w:t>
      </w:r>
    </w:p>
    <w:p w14:paraId="107BB159" w14:textId="4ABD98C4" w:rsidR="000D401F" w:rsidRPr="000D401F" w:rsidRDefault="000D401F" w:rsidP="00FE5D73">
      <w:pPr>
        <w:rPr>
          <w:lang w:val="es-ES"/>
        </w:rPr>
      </w:pPr>
      <w:r w:rsidRPr="000D401F">
        <w:rPr>
          <w:lang w:val="es-ES"/>
        </w:rPr>
        <w:t>Debemos comprometernos a lograr el consenso y garantizar que nuestras diferencias no se conviertan en obstáculos insalvables que favorezcan la imposición de ideas.</w:t>
      </w:r>
    </w:p>
    <w:p w14:paraId="744F5562" w14:textId="669A8353" w:rsidR="000D401F" w:rsidRPr="000D401F" w:rsidRDefault="000D401F" w:rsidP="00FE5D73">
      <w:pPr>
        <w:rPr>
          <w:lang w:val="es-ES"/>
        </w:rPr>
      </w:pPr>
      <w:r w:rsidRPr="000D401F">
        <w:rPr>
          <w:lang w:val="es-ES"/>
        </w:rPr>
        <w:t>Hay momentos en que necesitamos líderes que nos conduzcan desde la duda hacia la más firme convicción de que estamos dando los pasos adecuados para alcanzar un objetivo más elevado, y que con cada medida adoptada con ese fin se respetan los valores fundamentales de la Unión, de la que formamos parte. Nadie espera que esto sea tarea fácil, pero es en esos momentos cuando las personas para las que trabajamos esperan que nos alcemos para transmitir sus opiniones y necesidades y promover su visión.</w:t>
      </w:r>
    </w:p>
    <w:p w14:paraId="228B7755" w14:textId="053DE631" w:rsidR="000D401F" w:rsidRPr="000D401F" w:rsidRDefault="000D401F" w:rsidP="00FE5D73">
      <w:pPr>
        <w:rPr>
          <w:lang w:val="es-ES"/>
        </w:rPr>
      </w:pPr>
      <w:r w:rsidRPr="000D401F">
        <w:rPr>
          <w:lang w:val="es-ES"/>
        </w:rPr>
        <w:t xml:space="preserve">La República Argentina mantiene su compromiso de colaborar con la UIT para lograr una mayor conectividad, en particular para las mujeres, los niños, los ancianos, las personas con discapacidad y </w:t>
      </w:r>
      <w:r w:rsidR="00845E90">
        <w:rPr>
          <w:lang w:val="es-ES"/>
        </w:rPr>
        <w:t xml:space="preserve">con </w:t>
      </w:r>
      <w:r w:rsidRPr="000D401F">
        <w:rPr>
          <w:lang w:val="es-ES"/>
        </w:rPr>
        <w:t xml:space="preserve">necesidades </w:t>
      </w:r>
      <w:r w:rsidR="00864E86">
        <w:rPr>
          <w:lang w:val="es-ES"/>
        </w:rPr>
        <w:t>especiales</w:t>
      </w:r>
      <w:r w:rsidRPr="000D401F">
        <w:rPr>
          <w:lang w:val="es-ES"/>
        </w:rPr>
        <w:t>, los pueblos indígenas y los grupos vulnerables, con la certeza de que las acciones que emprenda la Unión nos acercarán a una sociedad de la información más inclusiva e igualitaria"</w:t>
      </w:r>
      <w:r w:rsidR="00864E86">
        <w:rPr>
          <w:lang w:val="es-ES"/>
        </w:rPr>
        <w:t>.</w:t>
      </w:r>
    </w:p>
    <w:p w14:paraId="5B6DAC8D" w14:textId="77777777" w:rsidR="000D401F" w:rsidRPr="000D401F" w:rsidRDefault="000D401F" w:rsidP="00C040B3">
      <w:pPr>
        <w:rPr>
          <w:lang w:val="es-ES"/>
        </w:rPr>
      </w:pPr>
      <w:r w:rsidRPr="000D401F">
        <w:rPr>
          <w:lang w:val="es-ES"/>
        </w:rPr>
        <w:t>16.10</w:t>
      </w:r>
      <w:r w:rsidRPr="000D401F">
        <w:rPr>
          <w:lang w:val="es-ES"/>
        </w:rPr>
        <w:tab/>
        <w:t xml:space="preserve">El </w:t>
      </w:r>
      <w:r w:rsidRPr="000D401F">
        <w:rPr>
          <w:b/>
          <w:bCs/>
          <w:lang w:val="es-ES"/>
        </w:rPr>
        <w:t xml:space="preserve">Presidente </w:t>
      </w:r>
      <w:r w:rsidRPr="000D401F">
        <w:rPr>
          <w:lang w:val="es-ES"/>
        </w:rPr>
        <w:t>asegura que todas las declaraciones e intervenciones se harán constar en acta y que el debate sobre este punto continuará en la siguiente Sesión Plenaria.</w:t>
      </w:r>
    </w:p>
    <w:p w14:paraId="198191AA" w14:textId="41863D84" w:rsidR="000D401F" w:rsidRPr="000D401F" w:rsidRDefault="000D401F" w:rsidP="000D401F">
      <w:pPr>
        <w:rPr>
          <w:b/>
          <w:bCs/>
          <w:lang w:val="es-ES"/>
        </w:rPr>
      </w:pPr>
      <w:r w:rsidRPr="000D401F">
        <w:rPr>
          <w:b/>
          <w:bCs/>
          <w:lang w:val="es-ES"/>
        </w:rPr>
        <w:t>Se levanta la sesión a las 12.55</w:t>
      </w:r>
      <w:r w:rsidR="00A75E8D">
        <w:rPr>
          <w:b/>
          <w:bCs/>
          <w:lang w:val="es-ES"/>
        </w:rPr>
        <w:t> </w:t>
      </w:r>
      <w:r w:rsidRPr="000D401F">
        <w:rPr>
          <w:b/>
          <w:bCs/>
          <w:lang w:val="es-ES"/>
        </w:rPr>
        <w:t>horas.</w:t>
      </w:r>
    </w:p>
    <w:p w14:paraId="1ABDE494" w14:textId="7366F324" w:rsidR="000D401F" w:rsidRPr="000D401F" w:rsidRDefault="000D401F" w:rsidP="00A75E8D">
      <w:pPr>
        <w:tabs>
          <w:tab w:val="clear" w:pos="851"/>
          <w:tab w:val="clear" w:pos="1134"/>
          <w:tab w:val="clear" w:pos="1701"/>
          <w:tab w:val="clear" w:pos="2268"/>
          <w:tab w:val="clear" w:pos="2835"/>
          <w:tab w:val="left" w:pos="7230"/>
        </w:tabs>
        <w:spacing w:before="1080"/>
        <w:rPr>
          <w:lang w:val="es-ES"/>
        </w:rPr>
      </w:pPr>
      <w:r w:rsidRPr="000D401F">
        <w:rPr>
          <w:lang w:val="es-ES"/>
        </w:rPr>
        <w:t>El Secretario General:</w:t>
      </w:r>
      <w:r w:rsidRPr="000D401F">
        <w:rPr>
          <w:lang w:val="es-ES"/>
        </w:rPr>
        <w:tab/>
        <w:t>El Presidente:</w:t>
      </w:r>
      <w:r w:rsidR="00316B0C">
        <w:rPr>
          <w:lang w:val="es-ES"/>
        </w:rPr>
        <w:br/>
      </w:r>
      <w:r w:rsidRPr="000D401F">
        <w:rPr>
          <w:lang w:val="es-ES"/>
        </w:rPr>
        <w:t>H. ZHAO</w:t>
      </w:r>
      <w:r w:rsidRPr="000D401F">
        <w:rPr>
          <w:lang w:val="es-ES"/>
        </w:rPr>
        <w:tab/>
        <w:t>S. SĂRMAȘ</w:t>
      </w:r>
    </w:p>
    <w:bookmarkEnd w:id="8"/>
    <w:p w14:paraId="01F6AFA0" w14:textId="77777777" w:rsidR="000D401F" w:rsidRPr="000D401F" w:rsidRDefault="000D401F" w:rsidP="00316B0C">
      <w:pPr>
        <w:spacing w:before="1080"/>
        <w:rPr>
          <w:lang w:val="es-ES"/>
        </w:rPr>
      </w:pPr>
      <w:r w:rsidRPr="000D401F">
        <w:rPr>
          <w:b/>
          <w:bCs/>
          <w:lang w:val="es-ES"/>
        </w:rPr>
        <w:t>Anexos</w:t>
      </w:r>
      <w:r w:rsidRPr="000D401F">
        <w:rPr>
          <w:lang w:val="es-ES"/>
        </w:rPr>
        <w:t>: 1</w:t>
      </w:r>
    </w:p>
    <w:p w14:paraId="6FBC46E4" w14:textId="77777777" w:rsidR="000D401F" w:rsidRPr="000D401F" w:rsidRDefault="000D401F" w:rsidP="000D401F">
      <w:pPr>
        <w:rPr>
          <w:lang w:val="es-ES"/>
        </w:rPr>
      </w:pPr>
      <w:r w:rsidRPr="000D401F">
        <w:rPr>
          <w:lang w:val="es-ES"/>
        </w:rPr>
        <w:br w:type="page"/>
      </w:r>
    </w:p>
    <w:p w14:paraId="24F89AC2" w14:textId="77777777" w:rsidR="000D401F" w:rsidRPr="000D401F" w:rsidRDefault="000D401F" w:rsidP="00A85B6B">
      <w:pPr>
        <w:pStyle w:val="AnnexNo"/>
        <w:rPr>
          <w:lang w:val="es-ES"/>
        </w:rPr>
      </w:pPr>
      <w:r w:rsidRPr="000D401F">
        <w:rPr>
          <w:lang w:val="es-ES"/>
        </w:rPr>
        <w:lastRenderedPageBreak/>
        <w:t>Anexo A</w:t>
      </w:r>
    </w:p>
    <w:p w14:paraId="7055CDAE" w14:textId="77777777" w:rsidR="000D401F" w:rsidRPr="000D401F" w:rsidRDefault="000D401F" w:rsidP="00A85B6B">
      <w:pPr>
        <w:jc w:val="right"/>
        <w:rPr>
          <w:lang w:val="es-ES"/>
        </w:rPr>
      </w:pPr>
      <w:r w:rsidRPr="000D401F">
        <w:rPr>
          <w:lang w:val="es-ES"/>
        </w:rPr>
        <w:t>Original: ruso</w:t>
      </w:r>
    </w:p>
    <w:p w14:paraId="26C077CF" w14:textId="1EE17D70" w:rsidR="000D401F" w:rsidRPr="000D401F" w:rsidRDefault="000D401F" w:rsidP="00A85B6B">
      <w:pPr>
        <w:pStyle w:val="Annextitle"/>
        <w:rPr>
          <w:lang w:val="es-ES"/>
        </w:rPr>
      </w:pPr>
      <w:r w:rsidRPr="000D401F">
        <w:rPr>
          <w:lang w:val="es-ES"/>
        </w:rPr>
        <w:t xml:space="preserve">Declaración de la Federación de Rusia </w:t>
      </w:r>
      <w:r w:rsidR="00C040B3" w:rsidRPr="00C040B3">
        <w:rPr>
          <w:lang w:val="es-ES"/>
        </w:rPr>
        <w:t xml:space="preserve">relativa a la declaración </w:t>
      </w:r>
      <w:r w:rsidR="00C040B3">
        <w:rPr>
          <w:lang w:val="es-ES"/>
        </w:rPr>
        <w:br/>
      </w:r>
      <w:r w:rsidR="00C040B3" w:rsidRPr="00C040B3">
        <w:rPr>
          <w:lang w:val="es-ES"/>
        </w:rPr>
        <w:t>de la República Checa sobre el Documento</w:t>
      </w:r>
      <w:r w:rsidR="00A75E8D">
        <w:rPr>
          <w:lang w:val="es-ES"/>
        </w:rPr>
        <w:t> </w:t>
      </w:r>
      <w:r w:rsidR="00C040B3" w:rsidRPr="00C040B3">
        <w:rPr>
          <w:lang w:val="es-ES"/>
        </w:rPr>
        <w:t xml:space="preserve">88 en relación </w:t>
      </w:r>
      <w:r w:rsidR="00C040B3">
        <w:rPr>
          <w:lang w:val="es-ES"/>
        </w:rPr>
        <w:br/>
      </w:r>
      <w:r w:rsidR="00C040B3" w:rsidRPr="00C040B3">
        <w:rPr>
          <w:lang w:val="es-ES"/>
        </w:rPr>
        <w:t>con el examen del informe de la Comisión</w:t>
      </w:r>
      <w:r w:rsidR="00A75E8D">
        <w:rPr>
          <w:lang w:val="es-ES"/>
        </w:rPr>
        <w:t> </w:t>
      </w:r>
      <w:r w:rsidR="00C040B3" w:rsidRPr="00C040B3">
        <w:rPr>
          <w:lang w:val="es-ES"/>
        </w:rPr>
        <w:t>5</w:t>
      </w:r>
    </w:p>
    <w:p w14:paraId="40C113BF" w14:textId="542E63C5" w:rsidR="000D401F" w:rsidRPr="000D401F" w:rsidRDefault="000D401F" w:rsidP="00A85B6B">
      <w:pPr>
        <w:pStyle w:val="Normalaftertitle"/>
        <w:rPr>
          <w:lang w:val="es-ES"/>
        </w:rPr>
      </w:pPr>
      <w:r w:rsidRPr="000D401F">
        <w:rPr>
          <w:lang w:val="es-ES"/>
        </w:rPr>
        <w:t>La Federación de Rusia manifiesta su categórico desacuerdo con las infundadas acusaciones contenidas en la declaración de la República Checa, en nombre de los 27</w:t>
      </w:r>
      <w:r w:rsidR="00A75E8D">
        <w:rPr>
          <w:lang w:val="es-ES"/>
        </w:rPr>
        <w:t> </w:t>
      </w:r>
      <w:r w:rsidRPr="000D401F">
        <w:rPr>
          <w:lang w:val="es-ES"/>
        </w:rPr>
        <w:t>países de la Unión Europea, Ucrania, Australia, Canadá, el Reino Unido de Gran Bretaña e Irlanda del Norte y los Estados Unidos de América sobre la declaración de la Federación de Rusia relativa al Documento</w:t>
      </w:r>
      <w:r w:rsidR="009E3262">
        <w:rPr>
          <w:lang w:val="es-ES"/>
        </w:rPr>
        <w:t> </w:t>
      </w:r>
      <w:r w:rsidRPr="000D401F">
        <w:rPr>
          <w:lang w:val="es-ES"/>
        </w:rPr>
        <w:t>88 de la Conferencia de Plenipotenciarios, incluido en el informe de la Comisión</w:t>
      </w:r>
      <w:r w:rsidR="009E3262">
        <w:rPr>
          <w:lang w:val="es-ES"/>
        </w:rPr>
        <w:t> </w:t>
      </w:r>
      <w:r w:rsidRPr="000D401F">
        <w:rPr>
          <w:lang w:val="es-ES"/>
        </w:rPr>
        <w:t>5.</w:t>
      </w:r>
    </w:p>
    <w:p w14:paraId="4A1F4E2B" w14:textId="322165F9" w:rsidR="000D401F" w:rsidRPr="000D401F" w:rsidRDefault="000D401F" w:rsidP="000D401F">
      <w:pPr>
        <w:rPr>
          <w:lang w:val="es-ES"/>
        </w:rPr>
      </w:pPr>
      <w:r w:rsidRPr="000D401F">
        <w:rPr>
          <w:lang w:val="es-ES"/>
        </w:rPr>
        <w:t>La Federación de Rusia reitera que, en las Sesiones Plenarias de la AMNT-20 y la CMDT-22, se incumplieron el Artículo</w:t>
      </w:r>
      <w:r w:rsidR="009E3262">
        <w:rPr>
          <w:lang w:val="es-ES"/>
        </w:rPr>
        <w:t> </w:t>
      </w:r>
      <w:r w:rsidRPr="000D401F">
        <w:rPr>
          <w:lang w:val="es-ES"/>
        </w:rPr>
        <w:t>3 de la Constitución de la UIT, los Artículos</w:t>
      </w:r>
      <w:r w:rsidR="009E3262">
        <w:rPr>
          <w:lang w:val="es-ES"/>
        </w:rPr>
        <w:t> </w:t>
      </w:r>
      <w:r w:rsidRPr="000D401F">
        <w:rPr>
          <w:lang w:val="es-ES"/>
        </w:rPr>
        <w:t>13, 16 y 20 del Convenio de la</w:t>
      </w:r>
      <w:r w:rsidR="009E3262">
        <w:rPr>
          <w:lang w:val="es-ES"/>
        </w:rPr>
        <w:t> </w:t>
      </w:r>
      <w:r w:rsidRPr="000D401F">
        <w:rPr>
          <w:lang w:val="es-ES"/>
        </w:rPr>
        <w:t>UIT, la Sección</w:t>
      </w:r>
      <w:r w:rsidR="009E3262">
        <w:rPr>
          <w:lang w:val="es-ES"/>
        </w:rPr>
        <w:t> </w:t>
      </w:r>
      <w:r w:rsidRPr="000D401F">
        <w:rPr>
          <w:lang w:val="es-ES"/>
        </w:rPr>
        <w:t xml:space="preserve">10 del Reglamento </w:t>
      </w:r>
      <w:r w:rsidR="009E3262">
        <w:rPr>
          <w:lang w:val="es-ES"/>
        </w:rPr>
        <w:t>g</w:t>
      </w:r>
      <w:r w:rsidRPr="000D401F">
        <w:rPr>
          <w:lang w:val="es-ES"/>
        </w:rPr>
        <w:t>eneral de las conferencias, asambleas y reuniones de la Unión y la Resolución</w:t>
      </w:r>
      <w:r w:rsidR="009E3262">
        <w:rPr>
          <w:lang w:val="es-ES"/>
        </w:rPr>
        <w:t> </w:t>
      </w:r>
      <w:r w:rsidRPr="000D401F">
        <w:rPr>
          <w:lang w:val="es-ES"/>
        </w:rPr>
        <w:t>208 de la Conferencia de Plenipotenciarios de la UIT, durante la aprobación de expertos como miembros de las Comisiones de Estudio y de los Grupos Asesores del Sector de Normalización de las Telecomunicaciones y del Sector de Desarrollo de las Telecomunicaciones. Estas decisiones contravienen las disposiciones de los textos fundamentales de la Unión, así como el Artículo</w:t>
      </w:r>
      <w:r w:rsidR="009E3262">
        <w:rPr>
          <w:lang w:val="es-ES"/>
        </w:rPr>
        <w:t> </w:t>
      </w:r>
      <w:r w:rsidRPr="000D401F">
        <w:rPr>
          <w:lang w:val="es-ES"/>
        </w:rPr>
        <w:t>2 de la Declaración Universal de los Derechos Humanos.</w:t>
      </w:r>
    </w:p>
    <w:p w14:paraId="2E06A1E9" w14:textId="24494F61" w:rsidR="000D401F" w:rsidRPr="000D401F" w:rsidRDefault="000D401F" w:rsidP="000D401F">
      <w:pPr>
        <w:rPr>
          <w:lang w:val="es-ES"/>
        </w:rPr>
      </w:pPr>
      <w:r w:rsidRPr="000D401F">
        <w:rPr>
          <w:lang w:val="es-ES"/>
        </w:rPr>
        <w:t xml:space="preserve">La Federación de Rusia está convencida de que el haber sentado este precedente de vulneración </w:t>
      </w:r>
      <w:r w:rsidR="009E3262">
        <w:rPr>
          <w:lang w:val="es-ES"/>
        </w:rPr>
        <w:t xml:space="preserve">de </w:t>
      </w:r>
      <w:r w:rsidRPr="000D401F">
        <w:rPr>
          <w:lang w:val="es-ES"/>
        </w:rPr>
        <w:t>los derechos de los Estados Miembros de la UIT por razones no previstas en la Constitución y el Convenio de la UIT podrá dar lugar a que se adopten, por motivos políticos, decisiones similares en el futuro.</w:t>
      </w:r>
    </w:p>
    <w:p w14:paraId="4F7E3CC3" w14:textId="10522911" w:rsidR="000D401F" w:rsidRPr="000D401F" w:rsidRDefault="000D401F" w:rsidP="000D401F">
      <w:pPr>
        <w:rPr>
          <w:lang w:val="es-ES"/>
        </w:rPr>
      </w:pPr>
      <w:r w:rsidRPr="000D401F">
        <w:rPr>
          <w:lang w:val="es-ES"/>
        </w:rPr>
        <w:t>El Documento</w:t>
      </w:r>
      <w:r w:rsidR="009E3262">
        <w:rPr>
          <w:lang w:val="es-ES"/>
        </w:rPr>
        <w:t> </w:t>
      </w:r>
      <w:r w:rsidRPr="000D401F">
        <w:rPr>
          <w:lang w:val="es-ES"/>
        </w:rPr>
        <w:t>88 de la Federación de Rusia tiene por objeto impedir que se tomen en el futuro medidas discriminatorias de este tipo contra los candidatos designados por los Estados Miembros, los Miembros de Sector y otras organizaciones autorizadas, y se ajusta plenamente a las reglas y procedimientos establecidos por la UIT.</w:t>
      </w:r>
    </w:p>
    <w:p w14:paraId="38EDEBDE" w14:textId="5BAFBF78" w:rsidR="000D401F" w:rsidRPr="000D401F" w:rsidRDefault="000D401F" w:rsidP="000D401F">
      <w:pPr>
        <w:rPr>
          <w:lang w:val="es-ES"/>
        </w:rPr>
      </w:pPr>
      <w:r w:rsidRPr="000D401F">
        <w:rPr>
          <w:lang w:val="es-ES"/>
        </w:rPr>
        <w:t>En cuanto a las declaraciones sobre la validez de las decisiones adoptadas durante la AMNT y la</w:t>
      </w:r>
      <w:r w:rsidR="00316B0C">
        <w:rPr>
          <w:lang w:val="es-ES"/>
        </w:rPr>
        <w:t> </w:t>
      </w:r>
      <w:r w:rsidRPr="000D401F">
        <w:rPr>
          <w:lang w:val="es-ES"/>
        </w:rPr>
        <w:t>CMDT en 2022, valoramos negativamente la actuación del Asesor Jurídico de la UIT, que fue determinante para que se adoptaran decisiones abusivas y no consensuadas, incluida la celebración de elecciones ilegítimas.</w:t>
      </w:r>
    </w:p>
    <w:p w14:paraId="1A7E7420" w14:textId="606886D8" w:rsidR="000D401F" w:rsidRPr="000D401F" w:rsidRDefault="000D401F" w:rsidP="000D401F">
      <w:pPr>
        <w:rPr>
          <w:lang w:val="es-ES"/>
        </w:rPr>
      </w:pPr>
      <w:r w:rsidRPr="000D401F">
        <w:rPr>
          <w:lang w:val="es-ES"/>
        </w:rPr>
        <w:t xml:space="preserve">La Federación </w:t>
      </w:r>
      <w:r w:rsidR="00316B0C">
        <w:rPr>
          <w:lang w:val="es-ES"/>
        </w:rPr>
        <w:t xml:space="preserve">de </w:t>
      </w:r>
      <w:r w:rsidRPr="000D401F">
        <w:rPr>
          <w:lang w:val="es-ES"/>
        </w:rPr>
        <w:t>Rus</w:t>
      </w:r>
      <w:r w:rsidR="00316B0C">
        <w:rPr>
          <w:lang w:val="es-ES"/>
        </w:rPr>
        <w:t>i</w:t>
      </w:r>
      <w:r w:rsidRPr="000D401F">
        <w:rPr>
          <w:lang w:val="es-ES"/>
        </w:rPr>
        <w:t>a señala que la elección de los candidatos debe ceñirse estrictamente a los criterios profesionales contenidos en los citados textos fundamentales de la UIT.</w:t>
      </w:r>
    </w:p>
    <w:p w14:paraId="0039A640" w14:textId="77777777" w:rsidR="000D401F" w:rsidRPr="000D401F" w:rsidRDefault="000D401F" w:rsidP="000D401F">
      <w:pPr>
        <w:rPr>
          <w:lang w:val="es-ES"/>
        </w:rPr>
      </w:pPr>
      <w:r w:rsidRPr="000D401F">
        <w:rPr>
          <w:lang w:val="es-ES"/>
        </w:rPr>
        <w:t>La Federación de Rusia insta a la Conferencia de Plenipotenciarios de 2022 de la UIT y a las futuras conferencias, asambleas y reuniones de la Unión a que hagan caso omiso de las declaraciones ajenas al mandato de la Unión, que no permitan la adopción de decisiones politizadas derivadas de esa presión, y que haga todo lo posible por evitar que se repitan precedentes que entrañen la vulneración de los derechos de un Estado Miembro de la UIT por cualquier motivo, excepto los previstos en la Constitución y el Convenio de la UIT.</w:t>
      </w:r>
    </w:p>
    <w:p w14:paraId="2581038B" w14:textId="77777777" w:rsidR="00A85B6B" w:rsidRDefault="00A85B6B" w:rsidP="0032202E">
      <w:pPr>
        <w:pStyle w:val="Reasons"/>
      </w:pPr>
    </w:p>
    <w:p w14:paraId="6171A44A" w14:textId="77777777" w:rsidR="00A85B6B" w:rsidRDefault="00A85B6B">
      <w:pPr>
        <w:jc w:val="center"/>
      </w:pPr>
      <w:r>
        <w:t>______________</w:t>
      </w:r>
    </w:p>
    <w:sectPr w:rsidR="00A85B6B" w:rsidSect="00A70E95">
      <w:headerReference w:type="default" r:id="rId34"/>
      <w:footerReference w:type="default" r:id="rId35"/>
      <w:footerReference w:type="first" r:id="rId36"/>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0F57" w14:textId="77777777" w:rsidR="00C84A65" w:rsidRDefault="00C84A65">
      <w:r>
        <w:separator/>
      </w:r>
    </w:p>
  </w:endnote>
  <w:endnote w:type="continuationSeparator" w:id="0">
    <w:p w14:paraId="7115444A"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2F6A" w14:textId="4F904EC2" w:rsidR="00805D57" w:rsidRDefault="007D39C0" w:rsidP="00805D57">
    <w:pPr>
      <w:pStyle w:val="Footer"/>
    </w:pPr>
    <w:r>
      <w:fldChar w:fldCharType="begin"/>
    </w:r>
    <w:r>
      <w:instrText xml:space="preserve"> FILENAME \p  \* MERGEFORMAT </w:instrText>
    </w:r>
    <w:r>
      <w:fldChar w:fldCharType="separate"/>
    </w:r>
    <w:r w:rsidR="00805D57">
      <w:t>P:\ESP\SG\CONF-SG\PP22\200\206S.docx</w:t>
    </w:r>
    <w:r>
      <w:fldChar w:fldCharType="end"/>
    </w:r>
    <w:r w:rsidR="00805D57">
      <w:t xml:space="preserve"> (515442)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EDA9" w14:textId="565D9321" w:rsidR="004B07DB" w:rsidRPr="00805D57" w:rsidRDefault="004B07DB" w:rsidP="00805D57">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B64373" w:rsidRPr="00D75620">
        <w:rPr>
          <w:rStyle w:val="Hyperlink"/>
          <w:sz w:val="22"/>
          <w:szCs w:val="22"/>
          <w:lang w:val="en-GB"/>
        </w:rPr>
        <w:t>www.itu.int/plenipotentiary/</w:t>
      </w:r>
    </w:hyperlink>
    <w:r w:rsidR="00B64373">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352C" w14:textId="77777777" w:rsidR="00C84A65" w:rsidRDefault="00C84A65">
      <w:r>
        <w:t>____________________</w:t>
      </w:r>
    </w:p>
  </w:footnote>
  <w:footnote w:type="continuationSeparator" w:id="0">
    <w:p w14:paraId="43F5DD3A" w14:textId="77777777" w:rsidR="00C84A65" w:rsidRDefault="00C84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64C7"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6D6C2C56" w14:textId="3C1F85A1" w:rsidR="00255FA1" w:rsidRDefault="00255FA1" w:rsidP="00C43474">
    <w:pPr>
      <w:pStyle w:val="Header"/>
    </w:pPr>
    <w:r>
      <w:rPr>
        <w:lang w:val="en-US"/>
      </w:rPr>
      <w:t>PP</w:t>
    </w:r>
    <w:r w:rsidR="009D1BE0">
      <w:rPr>
        <w:lang w:val="en-US"/>
      </w:rPr>
      <w:t>22</w:t>
    </w:r>
    <w:r>
      <w:t>/</w:t>
    </w:r>
    <w:r w:rsidR="000D401F">
      <w:t>206</w:t>
    </w:r>
    <w:r w:rsidR="009A443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04583"/>
    <w:multiLevelType w:val="hybridMultilevel"/>
    <w:tmpl w:val="CBA281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16cid:durableId="1517424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863AB"/>
    <w:rsid w:val="000A1523"/>
    <w:rsid w:val="000B1752"/>
    <w:rsid w:val="000D401F"/>
    <w:rsid w:val="000F2B7E"/>
    <w:rsid w:val="0010546D"/>
    <w:rsid w:val="00135F93"/>
    <w:rsid w:val="001632E3"/>
    <w:rsid w:val="001D4983"/>
    <w:rsid w:val="001D6EC3"/>
    <w:rsid w:val="001D787B"/>
    <w:rsid w:val="001E3D06"/>
    <w:rsid w:val="00225F6B"/>
    <w:rsid w:val="00237C17"/>
    <w:rsid w:val="00237C32"/>
    <w:rsid w:val="00242376"/>
    <w:rsid w:val="00255FA1"/>
    <w:rsid w:val="00262FF4"/>
    <w:rsid w:val="0028276A"/>
    <w:rsid w:val="00292DFA"/>
    <w:rsid w:val="002C6527"/>
    <w:rsid w:val="002E44FC"/>
    <w:rsid w:val="00316B0C"/>
    <w:rsid w:val="003707E5"/>
    <w:rsid w:val="00375610"/>
    <w:rsid w:val="00391611"/>
    <w:rsid w:val="003A4F3C"/>
    <w:rsid w:val="003D0027"/>
    <w:rsid w:val="003E6E73"/>
    <w:rsid w:val="00480F81"/>
    <w:rsid w:val="00484B72"/>
    <w:rsid w:val="00491A25"/>
    <w:rsid w:val="004A346E"/>
    <w:rsid w:val="004A63A9"/>
    <w:rsid w:val="004B07DB"/>
    <w:rsid w:val="004B09D4"/>
    <w:rsid w:val="004B0BCB"/>
    <w:rsid w:val="004C27F5"/>
    <w:rsid w:val="004C39C6"/>
    <w:rsid w:val="004D23BA"/>
    <w:rsid w:val="004D52FB"/>
    <w:rsid w:val="004E069C"/>
    <w:rsid w:val="004E08E0"/>
    <w:rsid w:val="004E28FB"/>
    <w:rsid w:val="004F12F1"/>
    <w:rsid w:val="004F4BB1"/>
    <w:rsid w:val="00504FD4"/>
    <w:rsid w:val="00507662"/>
    <w:rsid w:val="00523448"/>
    <w:rsid w:val="005359B6"/>
    <w:rsid w:val="005470E8"/>
    <w:rsid w:val="00550FCF"/>
    <w:rsid w:val="00556958"/>
    <w:rsid w:val="00567ED5"/>
    <w:rsid w:val="005D1164"/>
    <w:rsid w:val="005D6488"/>
    <w:rsid w:val="005F6278"/>
    <w:rsid w:val="00600AC5"/>
    <w:rsid w:val="00601280"/>
    <w:rsid w:val="00641DBD"/>
    <w:rsid w:val="006426C0"/>
    <w:rsid w:val="006455D2"/>
    <w:rsid w:val="006537F3"/>
    <w:rsid w:val="00673D8C"/>
    <w:rsid w:val="006B5512"/>
    <w:rsid w:val="006C190D"/>
    <w:rsid w:val="00720686"/>
    <w:rsid w:val="00737EFF"/>
    <w:rsid w:val="00750806"/>
    <w:rsid w:val="007875D2"/>
    <w:rsid w:val="007D39C0"/>
    <w:rsid w:val="007D61E2"/>
    <w:rsid w:val="007F6EBC"/>
    <w:rsid w:val="00805D57"/>
    <w:rsid w:val="00810AD3"/>
    <w:rsid w:val="00845E90"/>
    <w:rsid w:val="00851B61"/>
    <w:rsid w:val="00864E86"/>
    <w:rsid w:val="00882773"/>
    <w:rsid w:val="008B4706"/>
    <w:rsid w:val="008B6676"/>
    <w:rsid w:val="008C3FA8"/>
    <w:rsid w:val="008E51C5"/>
    <w:rsid w:val="008F7109"/>
    <w:rsid w:val="009107B0"/>
    <w:rsid w:val="009220DE"/>
    <w:rsid w:val="00930E84"/>
    <w:rsid w:val="0099270D"/>
    <w:rsid w:val="0099551E"/>
    <w:rsid w:val="009A1A86"/>
    <w:rsid w:val="009A443B"/>
    <w:rsid w:val="009D1BE0"/>
    <w:rsid w:val="009E0C42"/>
    <w:rsid w:val="009E3262"/>
    <w:rsid w:val="009F0EA7"/>
    <w:rsid w:val="00A655BA"/>
    <w:rsid w:val="00A70E95"/>
    <w:rsid w:val="00A75E8D"/>
    <w:rsid w:val="00A85B6B"/>
    <w:rsid w:val="00AA1F73"/>
    <w:rsid w:val="00AB34CA"/>
    <w:rsid w:val="00AD400E"/>
    <w:rsid w:val="00AF0DC5"/>
    <w:rsid w:val="00B012B7"/>
    <w:rsid w:val="00B30C52"/>
    <w:rsid w:val="00B501AB"/>
    <w:rsid w:val="00B64373"/>
    <w:rsid w:val="00B73978"/>
    <w:rsid w:val="00B77C4D"/>
    <w:rsid w:val="00BB13FE"/>
    <w:rsid w:val="00BC7EE2"/>
    <w:rsid w:val="00BF5475"/>
    <w:rsid w:val="00C040B3"/>
    <w:rsid w:val="00C20ED7"/>
    <w:rsid w:val="00C42D2D"/>
    <w:rsid w:val="00C43474"/>
    <w:rsid w:val="00C50E03"/>
    <w:rsid w:val="00C61A48"/>
    <w:rsid w:val="00C7666E"/>
    <w:rsid w:val="00C80F8F"/>
    <w:rsid w:val="00C84355"/>
    <w:rsid w:val="00C84A65"/>
    <w:rsid w:val="00C914CC"/>
    <w:rsid w:val="00CA3051"/>
    <w:rsid w:val="00CD20D9"/>
    <w:rsid w:val="00CD701A"/>
    <w:rsid w:val="00CF4156"/>
    <w:rsid w:val="00D05AAE"/>
    <w:rsid w:val="00D05E6B"/>
    <w:rsid w:val="00D254A6"/>
    <w:rsid w:val="00D42B55"/>
    <w:rsid w:val="00D57D70"/>
    <w:rsid w:val="00E05D81"/>
    <w:rsid w:val="00E359FD"/>
    <w:rsid w:val="00E53DFC"/>
    <w:rsid w:val="00E66FC3"/>
    <w:rsid w:val="00E677DD"/>
    <w:rsid w:val="00E77F17"/>
    <w:rsid w:val="00E809D8"/>
    <w:rsid w:val="00E921EC"/>
    <w:rsid w:val="00E92230"/>
    <w:rsid w:val="00EA7D71"/>
    <w:rsid w:val="00EA7E37"/>
    <w:rsid w:val="00EB23D0"/>
    <w:rsid w:val="00EC395A"/>
    <w:rsid w:val="00F01632"/>
    <w:rsid w:val="00F04858"/>
    <w:rsid w:val="00F13AA4"/>
    <w:rsid w:val="00F31477"/>
    <w:rsid w:val="00F3510D"/>
    <w:rsid w:val="00F43C07"/>
    <w:rsid w:val="00F43D44"/>
    <w:rsid w:val="00F80E6E"/>
    <w:rsid w:val="00FC6BD3"/>
    <w:rsid w:val="00FD7A16"/>
    <w:rsid w:val="00FE5D73"/>
    <w:rsid w:val="00FF7D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C7239E2"/>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5BA"/>
    <w:pPr>
      <w:tabs>
        <w:tab w:val="left" w:pos="851"/>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A655BA"/>
    <w:pPr>
      <w:keepNext/>
      <w:keepLines/>
      <w:spacing w:before="480"/>
      <w:ind w:left="851" w:hanging="851"/>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655BA"/>
    <w:pPr>
      <w:spacing w:before="86"/>
      <w:ind w:left="851" w:hanging="851"/>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1134"/>
        <w:tab w:val="clear" w:pos="1701"/>
        <w:tab w:val="clear" w:pos="2268"/>
        <w:tab w:val="clear" w:pos="2835"/>
      </w:tabs>
      <w:jc w:val="left"/>
    </w:pPr>
    <w:rPr>
      <w:b/>
      <w:sz w:val="24"/>
    </w:rPr>
  </w:style>
  <w:style w:type="paragraph" w:customStyle="1" w:styleId="AnnexrefS2">
    <w:name w:val="Annex_ref_S2"/>
    <w:basedOn w:val="Annexref"/>
    <w:next w:val="AnnextitleS2"/>
    <w:rsid w:val="00BB13FE"/>
    <w:pPr>
      <w:tabs>
        <w:tab w:val="clear" w:pos="1134"/>
        <w:tab w:val="clear" w:pos="1701"/>
        <w:tab w:val="clear" w:pos="2268"/>
        <w:tab w:val="clear" w:pos="2835"/>
      </w:tabs>
      <w:jc w:val="left"/>
    </w:pPr>
    <w:rPr>
      <w:b/>
      <w:sz w:val="24"/>
    </w:rPr>
  </w:style>
  <w:style w:type="paragraph" w:customStyle="1" w:styleId="AnnextitleS2">
    <w:name w:val="Annex_title_S2"/>
    <w:basedOn w:val="Annextitle"/>
    <w:next w:val="NormalS2"/>
    <w:rsid w:val="00BB13FE"/>
    <w:pPr>
      <w:tabs>
        <w:tab w:val="clear" w:pos="1134"/>
        <w:tab w:val="clear" w:pos="1701"/>
        <w:tab w:val="clear" w:pos="2268"/>
        <w:tab w:val="clear" w:pos="2835"/>
      </w:tabs>
      <w:jc w:val="left"/>
    </w:pPr>
    <w:rPr>
      <w:sz w:val="24"/>
    </w:rPr>
  </w:style>
  <w:style w:type="paragraph" w:customStyle="1" w:styleId="NormalS2">
    <w:name w:val="Normal_S2"/>
    <w:basedOn w:val="Normal"/>
    <w:rsid w:val="00A70E95"/>
    <w:pPr>
      <w:tabs>
        <w:tab w:val="clear" w:pos="1134"/>
        <w:tab w:val="clear" w:pos="1701"/>
        <w:tab w:val="clear" w:pos="2268"/>
        <w:tab w:val="clear" w:pos="2835"/>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1134"/>
        <w:tab w:val="clear" w:pos="1701"/>
        <w:tab w:val="clear" w:pos="2268"/>
        <w:tab w:val="clear" w:pos="2835"/>
      </w:tabs>
      <w:jc w:val="left"/>
    </w:pPr>
    <w:rPr>
      <w:b/>
      <w:sz w:val="24"/>
    </w:rPr>
  </w:style>
  <w:style w:type="paragraph" w:customStyle="1" w:styleId="AppendixrefS2">
    <w:name w:val="Appendix_ref_S2"/>
    <w:basedOn w:val="Appendixref"/>
    <w:next w:val="AnnextitleS2"/>
    <w:rsid w:val="00BB13FE"/>
    <w:pPr>
      <w:tabs>
        <w:tab w:val="clear" w:pos="1134"/>
        <w:tab w:val="clear" w:pos="1701"/>
        <w:tab w:val="clear" w:pos="2268"/>
        <w:tab w:val="clear" w:pos="2835"/>
      </w:tabs>
      <w:jc w:val="left"/>
    </w:pPr>
    <w:rPr>
      <w:b/>
      <w:sz w:val="24"/>
    </w:rPr>
  </w:style>
  <w:style w:type="paragraph" w:customStyle="1" w:styleId="AppendixtitleS2">
    <w:name w:val="Appendix_title_S2"/>
    <w:basedOn w:val="Appendixtitle"/>
    <w:next w:val="NormalS2"/>
    <w:rsid w:val="00BB13FE"/>
    <w:pPr>
      <w:tabs>
        <w:tab w:val="clear" w:pos="1134"/>
        <w:tab w:val="clear" w:pos="1701"/>
        <w:tab w:val="clear" w:pos="2268"/>
        <w:tab w:val="clear" w:pos="2835"/>
      </w:tabs>
      <w:jc w:val="left"/>
    </w:pPr>
    <w:rPr>
      <w:sz w:val="24"/>
    </w:rPr>
  </w:style>
  <w:style w:type="paragraph" w:customStyle="1" w:styleId="ArtNoS2">
    <w:name w:val="Art_No_S2"/>
    <w:basedOn w:val="ArtNo"/>
    <w:next w:val="ArttitleS2"/>
    <w:rsid w:val="00BB13FE"/>
    <w:pPr>
      <w:jc w:val="left"/>
    </w:pPr>
    <w:rPr>
      <w:b/>
      <w:sz w:val="24"/>
    </w:rPr>
  </w:style>
  <w:style w:type="paragraph" w:customStyle="1" w:styleId="ArttitleS2">
    <w:name w:val="Art_title_S2"/>
    <w:basedOn w:val="Arttitle"/>
    <w:next w:val="NormalS2"/>
    <w:rsid w:val="00BB13FE"/>
    <w:pPr>
      <w:jc w:val="left"/>
    </w:pPr>
    <w:rPr>
      <w:sz w:val="24"/>
    </w:rPr>
  </w:style>
  <w:style w:type="paragraph" w:customStyle="1" w:styleId="ChapNoS2">
    <w:name w:val="Chap_No_S2"/>
    <w:basedOn w:val="ChapNo"/>
    <w:next w:val="ChaptitleS2"/>
    <w:rsid w:val="004A63A9"/>
    <w:pPr>
      <w:jc w:val="left"/>
    </w:pPr>
    <w:rPr>
      <w:b/>
      <w:sz w:val="24"/>
    </w:rPr>
  </w:style>
  <w:style w:type="paragraph" w:customStyle="1" w:styleId="ChaptitleS2">
    <w:name w:val="Chap_title_S2"/>
    <w:basedOn w:val="Chaptitle"/>
    <w:next w:val="NormalS2"/>
    <w:rsid w:val="00BB13FE"/>
    <w:pPr>
      <w:jc w:val="left"/>
    </w:pPr>
    <w:rPr>
      <w:sz w:val="24"/>
    </w:rPr>
  </w:style>
  <w:style w:type="paragraph" w:customStyle="1" w:styleId="enumlev1S2">
    <w:name w:val="enumlev1_S2"/>
    <w:basedOn w:val="enumlev1"/>
    <w:rsid w:val="00A70E95"/>
    <w:pPr>
      <w:tabs>
        <w:tab w:val="clear" w:pos="1134"/>
        <w:tab w:val="clear" w:pos="1701"/>
        <w:tab w:val="clear" w:pos="2268"/>
        <w:tab w:val="clear" w:pos="2835"/>
      </w:tabs>
      <w:ind w:left="0" w:firstLine="0"/>
    </w:pPr>
    <w:rPr>
      <w:b/>
    </w:rPr>
  </w:style>
  <w:style w:type="paragraph" w:customStyle="1" w:styleId="enumlev2S2">
    <w:name w:val="enumlev2_S2"/>
    <w:basedOn w:val="enumlev2"/>
    <w:rsid w:val="00A70E95"/>
    <w:pPr>
      <w:tabs>
        <w:tab w:val="clear" w:pos="1134"/>
        <w:tab w:val="clear" w:pos="1701"/>
        <w:tab w:val="clear" w:pos="2268"/>
        <w:tab w:val="clear" w:pos="2835"/>
      </w:tabs>
      <w:ind w:left="0" w:firstLine="0"/>
    </w:pPr>
    <w:rPr>
      <w:b/>
    </w:rPr>
  </w:style>
  <w:style w:type="paragraph" w:customStyle="1" w:styleId="enumlev3S2">
    <w:name w:val="enumlev3_S2"/>
    <w:basedOn w:val="enumlev3"/>
    <w:rsid w:val="00A70E95"/>
    <w:pPr>
      <w:tabs>
        <w:tab w:val="clear" w:pos="1134"/>
        <w:tab w:val="clear" w:pos="1701"/>
        <w:tab w:val="clear" w:pos="2268"/>
        <w:tab w:val="clear" w:pos="2835"/>
      </w:tabs>
      <w:ind w:left="0" w:firstLine="0"/>
    </w:pPr>
    <w:rPr>
      <w:b/>
    </w:rPr>
  </w:style>
  <w:style w:type="paragraph" w:customStyle="1" w:styleId="FootnoteTextS2">
    <w:name w:val="Footnote Text_S2"/>
    <w:basedOn w:val="FootnoteText"/>
    <w:rsid w:val="00A70E95"/>
    <w:pPr>
      <w:tabs>
        <w:tab w:val="clear" w:pos="256"/>
        <w:tab w:val="clear" w:pos="1134"/>
        <w:tab w:val="clear" w:pos="1701"/>
        <w:tab w:val="clear" w:pos="2268"/>
        <w:tab w:val="clear" w:pos="2835"/>
      </w:tabs>
      <w:ind w:left="0" w:firstLine="0"/>
    </w:pPr>
    <w:rPr>
      <w:b/>
    </w:rPr>
  </w:style>
  <w:style w:type="paragraph" w:customStyle="1" w:styleId="Heading1S2">
    <w:name w:val="Heading 1_S2"/>
    <w:basedOn w:val="Heading1"/>
    <w:next w:val="NormalS2"/>
    <w:rsid w:val="00BB13FE"/>
    <w:pPr>
      <w:tabs>
        <w:tab w:val="clear" w:pos="1134"/>
        <w:tab w:val="clear" w:pos="1701"/>
        <w:tab w:val="clear" w:pos="2268"/>
        <w:tab w:val="clear" w:pos="2835"/>
      </w:tabs>
      <w:ind w:left="0" w:firstLine="0"/>
      <w:outlineLvl w:val="9"/>
    </w:pPr>
    <w:rPr>
      <w:sz w:val="24"/>
    </w:rPr>
  </w:style>
  <w:style w:type="paragraph" w:customStyle="1" w:styleId="Heading2S2">
    <w:name w:val="Heading 2_S2"/>
    <w:basedOn w:val="Heading2"/>
    <w:next w:val="NormalS2"/>
    <w:rsid w:val="00A70E95"/>
    <w:pPr>
      <w:tabs>
        <w:tab w:val="clear" w:pos="1134"/>
        <w:tab w:val="clear" w:pos="1701"/>
        <w:tab w:val="clear" w:pos="2268"/>
        <w:tab w:val="clear" w:pos="2835"/>
      </w:tabs>
    </w:pPr>
  </w:style>
  <w:style w:type="paragraph" w:customStyle="1" w:styleId="Heading3S2">
    <w:name w:val="Heading 3_S2"/>
    <w:basedOn w:val="Heading3"/>
    <w:next w:val="NormalS2"/>
    <w:rsid w:val="00BB13FE"/>
    <w:pPr>
      <w:tabs>
        <w:tab w:val="clear" w:pos="1134"/>
        <w:tab w:val="clear" w:pos="1701"/>
        <w:tab w:val="clear" w:pos="2268"/>
        <w:tab w:val="clear" w:pos="2835"/>
      </w:tabs>
    </w:pPr>
  </w:style>
  <w:style w:type="paragraph" w:customStyle="1" w:styleId="Heading4S2">
    <w:name w:val="Heading 4_S2"/>
    <w:basedOn w:val="Heading4"/>
    <w:next w:val="NormalS2"/>
    <w:rsid w:val="00A70E95"/>
    <w:pPr>
      <w:tabs>
        <w:tab w:val="clear" w:pos="1134"/>
        <w:tab w:val="clear" w:pos="1701"/>
        <w:tab w:val="clear" w:pos="2268"/>
        <w:tab w:val="clear" w:pos="2835"/>
      </w:tabs>
    </w:pPr>
  </w:style>
  <w:style w:type="paragraph" w:customStyle="1" w:styleId="Heading5S2">
    <w:name w:val="Heading 5_S2"/>
    <w:basedOn w:val="Heading5"/>
    <w:next w:val="NormalS2"/>
    <w:rsid w:val="00A70E95"/>
    <w:pPr>
      <w:tabs>
        <w:tab w:val="clear" w:pos="1134"/>
        <w:tab w:val="clear" w:pos="1701"/>
        <w:tab w:val="clear" w:pos="2268"/>
        <w:tab w:val="clear" w:pos="2835"/>
      </w:tabs>
    </w:pPr>
  </w:style>
  <w:style w:type="paragraph" w:customStyle="1" w:styleId="Heading6S2">
    <w:name w:val="Heading 6_S2"/>
    <w:basedOn w:val="Heading6"/>
    <w:next w:val="NormalS2"/>
    <w:rsid w:val="00A70E95"/>
    <w:pPr>
      <w:tabs>
        <w:tab w:val="clear" w:pos="1134"/>
        <w:tab w:val="clear" w:pos="1701"/>
        <w:tab w:val="clear" w:pos="2268"/>
        <w:tab w:val="clear" w:pos="2835"/>
      </w:tabs>
    </w:pPr>
  </w:style>
  <w:style w:type="paragraph" w:customStyle="1" w:styleId="Heading7S2">
    <w:name w:val="Heading 7_S2"/>
    <w:basedOn w:val="Heading7"/>
    <w:next w:val="NormalS2"/>
    <w:rsid w:val="00A70E95"/>
    <w:pPr>
      <w:tabs>
        <w:tab w:val="clear" w:pos="1134"/>
        <w:tab w:val="clear" w:pos="1701"/>
        <w:tab w:val="clear" w:pos="2268"/>
        <w:tab w:val="clear" w:pos="2835"/>
      </w:tabs>
    </w:pPr>
  </w:style>
  <w:style w:type="paragraph" w:customStyle="1" w:styleId="Heading8S2">
    <w:name w:val="Heading 8_S2"/>
    <w:basedOn w:val="Heading8"/>
    <w:next w:val="NormalS2"/>
    <w:rsid w:val="00A70E95"/>
    <w:pPr>
      <w:tabs>
        <w:tab w:val="clear" w:pos="1134"/>
        <w:tab w:val="clear" w:pos="1701"/>
        <w:tab w:val="clear" w:pos="2268"/>
        <w:tab w:val="clear" w:pos="2835"/>
      </w:tabs>
    </w:pPr>
  </w:style>
  <w:style w:type="paragraph" w:customStyle="1" w:styleId="Heading9S2">
    <w:name w:val="Heading 9_S2"/>
    <w:basedOn w:val="Heading9"/>
    <w:next w:val="NormalS2"/>
    <w:rsid w:val="00A70E95"/>
    <w:pPr>
      <w:tabs>
        <w:tab w:val="clear" w:pos="1134"/>
        <w:tab w:val="clear" w:pos="1701"/>
        <w:tab w:val="clear" w:pos="2268"/>
        <w:tab w:val="clear" w:pos="2835"/>
      </w:tabs>
    </w:pPr>
  </w:style>
  <w:style w:type="paragraph" w:customStyle="1" w:styleId="NormalaftertitleS2">
    <w:name w:val="Normal after title_S2"/>
    <w:basedOn w:val="Normalaftertitle"/>
    <w:next w:val="NormalS2"/>
    <w:rsid w:val="00A70E95"/>
    <w:pPr>
      <w:keepNext/>
      <w:keepLines/>
      <w:tabs>
        <w:tab w:val="clear" w:pos="1134"/>
        <w:tab w:val="clear" w:pos="1701"/>
        <w:tab w:val="clear" w:pos="2268"/>
        <w:tab w:val="clear" w:pos="2835"/>
      </w:tabs>
    </w:pPr>
    <w:rPr>
      <w:b/>
    </w:rPr>
  </w:style>
  <w:style w:type="paragraph" w:customStyle="1" w:styleId="NormalIndentS2">
    <w:name w:val="Normal Indent_S2"/>
    <w:basedOn w:val="NormalIndent"/>
    <w:rsid w:val="00A70E95"/>
    <w:pPr>
      <w:tabs>
        <w:tab w:val="clear" w:pos="1134"/>
        <w:tab w:val="clear" w:pos="1701"/>
        <w:tab w:val="clear" w:pos="2268"/>
        <w:tab w:val="clear" w:pos="2835"/>
      </w:tabs>
      <w:ind w:left="0"/>
    </w:pPr>
    <w:rPr>
      <w:b/>
    </w:rPr>
  </w:style>
  <w:style w:type="paragraph" w:customStyle="1" w:styleId="ReasonsS2">
    <w:name w:val="Reasons_S2"/>
    <w:basedOn w:val="Reasons"/>
    <w:rsid w:val="00A70E95"/>
    <w:pPr>
      <w:tabs>
        <w:tab w:val="clear" w:pos="1134"/>
        <w:tab w:val="clear" w:pos="1701"/>
        <w:tab w:val="clear" w:pos="2268"/>
        <w:tab w:val="clear" w:pos="2835"/>
      </w:tabs>
    </w:pPr>
    <w:rPr>
      <w:b/>
    </w:rPr>
  </w:style>
  <w:style w:type="paragraph" w:customStyle="1" w:styleId="RecNoS2">
    <w:name w:val="Rec_No_S2"/>
    <w:basedOn w:val="RecNo"/>
    <w:next w:val="RectitleS2"/>
    <w:rsid w:val="00BB13FE"/>
    <w:pPr>
      <w:tabs>
        <w:tab w:val="clear" w:pos="1134"/>
        <w:tab w:val="clear" w:pos="1701"/>
        <w:tab w:val="clear" w:pos="2268"/>
        <w:tab w:val="clear" w:pos="2835"/>
      </w:tabs>
      <w:jc w:val="left"/>
    </w:pPr>
    <w:rPr>
      <w:b/>
      <w:sz w:val="24"/>
    </w:rPr>
  </w:style>
  <w:style w:type="paragraph" w:customStyle="1" w:styleId="RectitleS2">
    <w:name w:val="Rec_title_S2"/>
    <w:basedOn w:val="Rectitle"/>
    <w:next w:val="Heading1S2"/>
    <w:rsid w:val="00BB13FE"/>
    <w:pPr>
      <w:tabs>
        <w:tab w:val="clear" w:pos="1134"/>
        <w:tab w:val="clear" w:pos="1701"/>
        <w:tab w:val="clear" w:pos="2268"/>
        <w:tab w:val="clear" w:pos="2835"/>
      </w:tabs>
      <w:jc w:val="left"/>
    </w:pPr>
    <w:rPr>
      <w:caps/>
      <w:sz w:val="24"/>
    </w:rPr>
  </w:style>
  <w:style w:type="paragraph" w:customStyle="1" w:styleId="ReftextS2">
    <w:name w:val="Ref_text_S2"/>
    <w:basedOn w:val="Reftext"/>
    <w:rsid w:val="00A70E95"/>
    <w:pPr>
      <w:tabs>
        <w:tab w:val="clear" w:pos="1134"/>
        <w:tab w:val="clear" w:pos="1701"/>
        <w:tab w:val="clear" w:pos="2268"/>
        <w:tab w:val="clear" w:pos="2835"/>
      </w:tabs>
      <w:ind w:left="0" w:firstLine="0"/>
    </w:pPr>
    <w:rPr>
      <w:b/>
    </w:rPr>
  </w:style>
  <w:style w:type="paragraph" w:customStyle="1" w:styleId="ReftitleS2">
    <w:name w:val="Ref_title_S2"/>
    <w:basedOn w:val="Reftitle"/>
    <w:next w:val="ReftextS2"/>
    <w:rsid w:val="00BB13FE"/>
    <w:pPr>
      <w:tabs>
        <w:tab w:val="clear" w:pos="1134"/>
        <w:tab w:val="clear" w:pos="1701"/>
        <w:tab w:val="clear" w:pos="2268"/>
        <w:tab w:val="clear" w:pos="2835"/>
      </w:tabs>
      <w:jc w:val="left"/>
    </w:pPr>
    <w:rPr>
      <w:b/>
      <w:caps w:val="0"/>
      <w:sz w:val="24"/>
    </w:rPr>
  </w:style>
  <w:style w:type="paragraph" w:customStyle="1" w:styleId="ResNoS2">
    <w:name w:val="Res_No_S2"/>
    <w:basedOn w:val="ResNo"/>
    <w:next w:val="RestitleS2"/>
    <w:rsid w:val="00BB13FE"/>
    <w:pPr>
      <w:tabs>
        <w:tab w:val="clear" w:pos="1134"/>
        <w:tab w:val="clear" w:pos="1701"/>
        <w:tab w:val="clear" w:pos="2268"/>
        <w:tab w:val="clear" w:pos="2835"/>
      </w:tabs>
      <w:jc w:val="left"/>
    </w:pPr>
    <w:rPr>
      <w:b/>
      <w:sz w:val="24"/>
    </w:rPr>
  </w:style>
  <w:style w:type="paragraph" w:customStyle="1" w:styleId="RestitleS2">
    <w:name w:val="Res_title_S2"/>
    <w:basedOn w:val="Restitle"/>
    <w:next w:val="NormalS2"/>
    <w:rsid w:val="00BB13FE"/>
    <w:pPr>
      <w:tabs>
        <w:tab w:val="clear" w:pos="1134"/>
        <w:tab w:val="clear" w:pos="1701"/>
        <w:tab w:val="clear" w:pos="2268"/>
        <w:tab w:val="clear" w:pos="2835"/>
      </w:tabs>
      <w:jc w:val="left"/>
    </w:pPr>
    <w:rPr>
      <w:sz w:val="24"/>
    </w:rPr>
  </w:style>
  <w:style w:type="paragraph" w:customStyle="1" w:styleId="Section1S2">
    <w:name w:val="Section 1_S2"/>
    <w:basedOn w:val="Section1"/>
    <w:next w:val="NormalS2"/>
    <w:rsid w:val="00BB13FE"/>
    <w:pPr>
      <w:jc w:val="left"/>
    </w:pPr>
    <w:rPr>
      <w:caps/>
      <w:sz w:val="24"/>
    </w:rPr>
  </w:style>
  <w:style w:type="paragraph" w:customStyle="1" w:styleId="Section2S2">
    <w:name w:val="Section 2_S2"/>
    <w:basedOn w:val="Section2"/>
    <w:next w:val="NormalS2"/>
    <w:rsid w:val="004A63A9"/>
    <w:pPr>
      <w:jc w:val="left"/>
    </w:pPr>
    <w:rPr>
      <w:sz w:val="24"/>
    </w:rPr>
  </w:style>
  <w:style w:type="paragraph" w:customStyle="1" w:styleId="TableNoS2">
    <w:name w:val="Table_No_S2"/>
    <w:basedOn w:val="TableNo"/>
    <w:next w:val="TabletitleS2"/>
    <w:rsid w:val="00A70E95"/>
    <w:pPr>
      <w:keepNext w:val="0"/>
      <w:tabs>
        <w:tab w:val="clear" w:pos="1134"/>
        <w:tab w:val="clear" w:pos="1701"/>
        <w:tab w:val="clear" w:pos="2268"/>
        <w:tab w:val="clear" w:pos="2835"/>
      </w:tabs>
      <w:jc w:val="left"/>
    </w:pPr>
    <w:rPr>
      <w:b/>
    </w:rPr>
  </w:style>
  <w:style w:type="paragraph" w:customStyle="1" w:styleId="TabletitleS2">
    <w:name w:val="Table_title_S2"/>
    <w:basedOn w:val="Tabletitle"/>
    <w:next w:val="TabletextS2"/>
    <w:rsid w:val="00A70E95"/>
    <w:pPr>
      <w:keepNext w:val="0"/>
      <w:tabs>
        <w:tab w:val="clear" w:pos="2948"/>
        <w:tab w:val="clear" w:pos="4082"/>
      </w:tabs>
      <w:jc w:val="left"/>
    </w:pPr>
  </w:style>
  <w:style w:type="paragraph" w:customStyle="1" w:styleId="TabletextS2">
    <w:name w:val="Table_text_S2"/>
    <w:basedOn w:val="Tabletext"/>
    <w:rsid w:val="00A70E95"/>
    <w:rPr>
      <w:b/>
    </w:rPr>
  </w:style>
  <w:style w:type="paragraph" w:customStyle="1" w:styleId="TablelegendS2">
    <w:name w:val="Table_legend_S2"/>
    <w:basedOn w:val="Tablelegend"/>
    <w:rsid w:val="00A70E95"/>
    <w:pPr>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1134"/>
        <w:tab w:val="clear" w:pos="1701"/>
        <w:tab w:val="clear" w:pos="2268"/>
        <w:tab w:val="clear" w:pos="2835"/>
      </w:tabs>
    </w:pPr>
  </w:style>
  <w:style w:type="paragraph" w:customStyle="1" w:styleId="Headingb">
    <w:name w:val="Heading_b"/>
    <w:basedOn w:val="Heading3"/>
    <w:next w:val="Normal"/>
    <w:rsid w:val="00A85B6B"/>
    <w:pPr>
      <w:spacing w:before="160"/>
      <w:ind w:left="0" w:firstLine="0"/>
      <w:outlineLvl w:val="0"/>
    </w:pPr>
  </w:style>
  <w:style w:type="paragraph" w:customStyle="1" w:styleId="HeadingiS2">
    <w:name w:val="Headingi_S2"/>
    <w:basedOn w:val="Headingi"/>
    <w:next w:val="NormalS2"/>
    <w:rsid w:val="00A70E95"/>
    <w:pPr>
      <w:tabs>
        <w:tab w:val="clear" w:pos="1134"/>
        <w:tab w:val="clear" w:pos="1701"/>
        <w:tab w:val="clear" w:pos="2268"/>
        <w:tab w:val="clear" w:pos="2835"/>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1134"/>
        <w:tab w:val="clear" w:pos="1701"/>
        <w:tab w:val="clear" w:pos="2268"/>
        <w:tab w:val="clear" w:pos="2835"/>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1134"/>
        <w:tab w:val="clear" w:pos="1701"/>
        <w:tab w:val="clear" w:pos="2268"/>
        <w:tab w:val="clear" w:pos="2835"/>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styleId="UnresolvedMention">
    <w:name w:val="Unresolved Mention"/>
    <w:basedOn w:val="DefaultParagraphFont"/>
    <w:uiPriority w:val="99"/>
    <w:semiHidden/>
    <w:unhideWhenUsed/>
    <w:rsid w:val="000D401F"/>
    <w:rPr>
      <w:color w:val="605E5C"/>
      <w:shd w:val="clear" w:color="auto" w:fill="E1DFDD"/>
    </w:rPr>
  </w:style>
  <w:style w:type="character" w:styleId="FollowedHyperlink">
    <w:name w:val="FollowedHyperlink"/>
    <w:basedOn w:val="DefaultParagraphFont"/>
    <w:semiHidden/>
    <w:unhideWhenUsed/>
    <w:rsid w:val="004F12F1"/>
    <w:rPr>
      <w:color w:val="800080" w:themeColor="followedHyperlink"/>
      <w:u w:val="single"/>
    </w:rPr>
  </w:style>
  <w:style w:type="paragraph" w:styleId="Revision">
    <w:name w:val="Revision"/>
    <w:hidden/>
    <w:uiPriority w:val="99"/>
    <w:semiHidden/>
    <w:rsid w:val="000F2B7E"/>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itu.int/md/S22-PP-C-0193/es" TargetMode="External"/><Relationship Id="rId18" Type="http://schemas.openxmlformats.org/officeDocument/2006/relationships/hyperlink" Target="https://www.itu.int/md/S22-PP-C-0197/es" TargetMode="External"/><Relationship Id="rId26" Type="http://schemas.openxmlformats.org/officeDocument/2006/relationships/hyperlink" Target="https://www.itu.int/md/S22-PP-C-0196/es" TargetMode="External"/><Relationship Id="rId21" Type="http://schemas.openxmlformats.org/officeDocument/2006/relationships/hyperlink" Target="https://www.itu.int/md/S22-PP-C-0189/es"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itu.int/md/S22-PP-C-0189/es" TargetMode="External"/><Relationship Id="rId17" Type="http://schemas.openxmlformats.org/officeDocument/2006/relationships/hyperlink" Target="https://www.itu.int/md/S22-PP-C-0198/es" TargetMode="External"/><Relationship Id="rId25" Type="http://schemas.openxmlformats.org/officeDocument/2006/relationships/hyperlink" Target="https://www.itu.int/md/S22-PP-C-0194/es" TargetMode="External"/><Relationship Id="rId33" Type="http://schemas.openxmlformats.org/officeDocument/2006/relationships/hyperlink" Target="https://www.itu.int/md/S22-PP-C-0197/es"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itu.int/md/S22-PP-C-0166/es" TargetMode="External"/><Relationship Id="rId20" Type="http://schemas.openxmlformats.org/officeDocument/2006/relationships/hyperlink" Target="https://www.itu.int/md/S22-PP-C-0157/es" TargetMode="External"/><Relationship Id="rId29" Type="http://schemas.openxmlformats.org/officeDocument/2006/relationships/hyperlink" Target="https://www.itu.int/md/S22-PP-C-0166/e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itu.int/md/S22-PP-C-0157/es" TargetMode="External"/><Relationship Id="rId24" Type="http://schemas.openxmlformats.org/officeDocument/2006/relationships/hyperlink" Target="https://www.itu.int/md/S22-PP-C-0194/es" TargetMode="External"/><Relationship Id="rId32" Type="http://schemas.openxmlformats.org/officeDocument/2006/relationships/hyperlink" Target="https://www.itu.int/md/S22-PP-C-0197/es"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itu.int/md/S22-PP-C-0196/es" TargetMode="External"/><Relationship Id="rId23" Type="http://schemas.openxmlformats.org/officeDocument/2006/relationships/hyperlink" Target="https://www.itu.int/md/S22-PP-C-0193/es" TargetMode="External"/><Relationship Id="rId28" Type="http://schemas.openxmlformats.org/officeDocument/2006/relationships/hyperlink" Target="https://www.itu.int/md/S22-PP-C-0166/es" TargetMode="External"/><Relationship Id="rId36" Type="http://schemas.openxmlformats.org/officeDocument/2006/relationships/footer" Target="footer2.xml"/><Relationship Id="rId10" Type="http://schemas.openxmlformats.org/officeDocument/2006/relationships/hyperlink" Target="https://www.itu.int/md/S22-PP-C-0188/es" TargetMode="External"/><Relationship Id="rId19" Type="http://schemas.openxmlformats.org/officeDocument/2006/relationships/hyperlink" Target="https://www.itu.int/md/S22-PP-C-0188/es" TargetMode="External"/><Relationship Id="rId31" Type="http://schemas.openxmlformats.org/officeDocument/2006/relationships/hyperlink" Target="https://www.itu.int/md/S22-PP-C-0198/e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itu.int/md/S22-PP-C-0194/es" TargetMode="External"/><Relationship Id="rId22" Type="http://schemas.openxmlformats.org/officeDocument/2006/relationships/hyperlink" Target="https://www.itu.int/md/S22-PP-C-0193/es" TargetMode="External"/><Relationship Id="rId27" Type="http://schemas.openxmlformats.org/officeDocument/2006/relationships/hyperlink" Target="https://www.itu.int/md/S22-PP-C-0196/es" TargetMode="External"/><Relationship Id="rId30" Type="http://schemas.openxmlformats.org/officeDocument/2006/relationships/hyperlink" Target="https://www.itu.int/md/S22-PP-C-0198/es"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3DF21-3096-439C-846E-7689508D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14</Pages>
  <Words>6050</Words>
  <Characters>32785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38758</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Manias, Michel</dc:creator>
  <cp:keywords/>
  <dc:description/>
  <cp:lastModifiedBy>Spanish83</cp:lastModifiedBy>
  <cp:revision>15</cp:revision>
  <dcterms:created xsi:type="dcterms:W3CDTF">2022-11-17T08:08:00Z</dcterms:created>
  <dcterms:modified xsi:type="dcterms:W3CDTF">2022-11-17T15:04:00Z</dcterms:modified>
  <cp:category>Conference document</cp:category>
</cp:coreProperties>
</file>