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A7A0F" w:rsidRPr="003019B2" w14:paraId="4484B0C5" w14:textId="77777777">
        <w:trPr>
          <w:cantSplit/>
          <w:jc w:val="center"/>
        </w:trPr>
        <w:tc>
          <w:tcPr>
            <w:tcW w:w="6911" w:type="dxa"/>
          </w:tcPr>
          <w:p w14:paraId="706F5501" w14:textId="3CB76115" w:rsidR="00CA7A0F" w:rsidRPr="003019B2" w:rsidRDefault="003F5140" w:rsidP="007164A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3019B2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3019B2">
              <w:rPr>
                <w:b/>
                <w:smallCaps/>
                <w:sz w:val="30"/>
                <w:szCs w:val="30"/>
              </w:rPr>
              <w:t xml:space="preserve"> (PP-22)</w:t>
            </w:r>
            <w:r w:rsidRPr="003019B2">
              <w:rPr>
                <w:b/>
                <w:smallCaps/>
                <w:sz w:val="36"/>
              </w:rPr>
              <w:br/>
            </w:r>
            <w:r w:rsidRPr="003019B2">
              <w:rPr>
                <w:rFonts w:cs="Times New Roman Bold"/>
                <w:b/>
                <w:bCs/>
                <w:szCs w:val="24"/>
              </w:rPr>
              <w:t xml:space="preserve">Bucarest, 26 septembre </w:t>
            </w:r>
            <w:r w:rsidR="00E244FC" w:rsidRPr="003019B2">
              <w:rPr>
                <w:rFonts w:cs="Times New Roman Bold"/>
                <w:b/>
                <w:bCs/>
                <w:szCs w:val="24"/>
              </w:rPr>
              <w:t>–</w:t>
            </w:r>
            <w:r w:rsidRPr="003019B2">
              <w:rPr>
                <w:rFonts w:cs="Times New Roman Bold"/>
                <w:b/>
                <w:bCs/>
                <w:szCs w:val="24"/>
              </w:rPr>
              <w:t xml:space="preserve"> 14 octobre 2022</w:t>
            </w:r>
          </w:p>
        </w:tc>
        <w:tc>
          <w:tcPr>
            <w:tcW w:w="3120" w:type="dxa"/>
          </w:tcPr>
          <w:p w14:paraId="7A1CF8E0" w14:textId="6FB7D25A" w:rsidR="00CA7A0F" w:rsidRPr="003019B2" w:rsidRDefault="003F5140" w:rsidP="007164AD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3019B2"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0F" w:rsidRPr="003019B2" w14:paraId="3120A8D9" w14:textId="77777777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CA7A0F" w:rsidRPr="003019B2" w:rsidRDefault="00CA7A0F" w:rsidP="007164A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CA7A0F" w:rsidRPr="003019B2" w:rsidRDefault="00CA7A0F" w:rsidP="007164A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CA7A0F" w:rsidRPr="003019B2" w14:paraId="20A2296F" w14:textId="77777777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CA7A0F" w:rsidRPr="003019B2" w:rsidRDefault="00CA7A0F" w:rsidP="007164A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CA7A0F" w:rsidRPr="003019B2" w:rsidRDefault="00CA7A0F" w:rsidP="007164A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CA7A0F" w:rsidRPr="003019B2" w14:paraId="5EBA9561" w14:textId="77777777">
        <w:trPr>
          <w:cantSplit/>
          <w:jc w:val="center"/>
        </w:trPr>
        <w:tc>
          <w:tcPr>
            <w:tcW w:w="6911" w:type="dxa"/>
          </w:tcPr>
          <w:p w14:paraId="081C5B53" w14:textId="5ADEACCC" w:rsidR="00CA7A0F" w:rsidRPr="003019B2" w:rsidRDefault="003F5140" w:rsidP="007164AD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3019B2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16948273" w:rsidR="00CA7A0F" w:rsidRPr="003019B2" w:rsidRDefault="003F5140" w:rsidP="007164AD">
            <w:pPr>
              <w:spacing w:before="0"/>
              <w:rPr>
                <w:rFonts w:cstheme="minorHAnsi"/>
                <w:szCs w:val="24"/>
              </w:rPr>
            </w:pPr>
            <w:r w:rsidRPr="003019B2">
              <w:rPr>
                <w:rFonts w:cstheme="minorHAnsi"/>
                <w:b/>
                <w:szCs w:val="24"/>
              </w:rPr>
              <w:t>Document 205-F</w:t>
            </w:r>
          </w:p>
        </w:tc>
      </w:tr>
      <w:tr w:rsidR="00CA7A0F" w:rsidRPr="003019B2" w14:paraId="5C605E2F" w14:textId="77777777">
        <w:trPr>
          <w:cantSplit/>
          <w:jc w:val="center"/>
        </w:trPr>
        <w:tc>
          <w:tcPr>
            <w:tcW w:w="6911" w:type="dxa"/>
          </w:tcPr>
          <w:p w14:paraId="3701819B" w14:textId="20A8E30E" w:rsidR="00CA7A0F" w:rsidRPr="003019B2" w:rsidRDefault="00CA7A0F" w:rsidP="007164A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1C833DFA" w:rsidR="00CA7A0F" w:rsidRPr="003019B2" w:rsidRDefault="003F5140" w:rsidP="007164AD">
            <w:pPr>
              <w:spacing w:before="0"/>
              <w:rPr>
                <w:rFonts w:cstheme="minorHAnsi"/>
                <w:b/>
                <w:szCs w:val="24"/>
              </w:rPr>
            </w:pPr>
            <w:r w:rsidRPr="003019B2">
              <w:rPr>
                <w:rFonts w:cstheme="minorHAnsi"/>
                <w:b/>
                <w:szCs w:val="24"/>
              </w:rPr>
              <w:t>26 octobre 2022</w:t>
            </w:r>
          </w:p>
        </w:tc>
      </w:tr>
      <w:tr w:rsidR="00CA7A0F" w:rsidRPr="003019B2" w14:paraId="6B2B4BC1" w14:textId="77777777">
        <w:trPr>
          <w:cantSplit/>
          <w:jc w:val="center"/>
        </w:trPr>
        <w:tc>
          <w:tcPr>
            <w:tcW w:w="6911" w:type="dxa"/>
          </w:tcPr>
          <w:p w14:paraId="780A194C" w14:textId="77777777" w:rsidR="00CA7A0F" w:rsidRPr="003019B2" w:rsidRDefault="00CA7A0F" w:rsidP="007164A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1E11056E" w:rsidR="00CA7A0F" w:rsidRPr="003019B2" w:rsidRDefault="003F5140" w:rsidP="007164AD">
            <w:pPr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3019B2">
              <w:rPr>
                <w:rFonts w:cstheme="minorHAnsi"/>
                <w:b/>
                <w:szCs w:val="24"/>
              </w:rPr>
              <w:t>Original:</w:t>
            </w:r>
            <w:proofErr w:type="gramEnd"/>
            <w:r w:rsidRPr="003019B2">
              <w:rPr>
                <w:rFonts w:cstheme="minorHAnsi"/>
                <w:b/>
                <w:szCs w:val="24"/>
              </w:rPr>
              <w:t xml:space="preserve"> anglais</w:t>
            </w:r>
          </w:p>
        </w:tc>
      </w:tr>
      <w:tr w:rsidR="00CA7A0F" w:rsidRPr="003019B2" w14:paraId="4259B884" w14:textId="77777777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CA7A0F" w:rsidRPr="003019B2" w:rsidRDefault="00CA7A0F" w:rsidP="007164A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CA7A0F" w:rsidRPr="003019B2" w14:paraId="6A9FB924" w14:textId="77777777">
        <w:trPr>
          <w:cantSplit/>
          <w:jc w:val="center"/>
        </w:trPr>
        <w:tc>
          <w:tcPr>
            <w:tcW w:w="10031" w:type="dxa"/>
            <w:gridSpan w:val="2"/>
          </w:tcPr>
          <w:p w14:paraId="006E85F7" w14:textId="68C0396D" w:rsidR="00CA7A0F" w:rsidRPr="003019B2" w:rsidRDefault="007164AD" w:rsidP="007164AD">
            <w:pPr>
              <w:pStyle w:val="Title1"/>
            </w:pPr>
            <w:bookmarkStart w:id="4" w:name="dsource" w:colFirst="0" w:colLast="0"/>
            <w:bookmarkEnd w:id="3"/>
            <w:r w:rsidRPr="003019B2">
              <w:t>Procès-verbal</w:t>
            </w:r>
          </w:p>
          <w:p w14:paraId="2B1608E2" w14:textId="3167E988" w:rsidR="00CA7A0F" w:rsidRPr="003019B2" w:rsidRDefault="003F5140" w:rsidP="007164AD">
            <w:pPr>
              <w:pStyle w:val="Title1"/>
            </w:pPr>
            <w:r w:rsidRPr="003019B2">
              <w:t>DE L</w:t>
            </w:r>
            <w:r w:rsidR="007164AD" w:rsidRPr="003019B2">
              <w:t>a</w:t>
            </w:r>
          </w:p>
          <w:p w14:paraId="070875E6" w14:textId="1FB5A1AA" w:rsidR="00CA7A0F" w:rsidRPr="003019B2" w:rsidRDefault="003F5140" w:rsidP="007164AD">
            <w:pPr>
              <w:pStyle w:val="Title1"/>
            </w:pPr>
            <w:r w:rsidRPr="003019B2">
              <w:t xml:space="preserve">Quinzième </w:t>
            </w:r>
            <w:r w:rsidR="007164AD" w:rsidRPr="003019B2">
              <w:t>séance</w:t>
            </w:r>
            <w:r w:rsidRPr="003019B2">
              <w:t xml:space="preserve"> plénière</w:t>
            </w:r>
          </w:p>
        </w:tc>
      </w:tr>
      <w:tr w:rsidR="00CA7A0F" w:rsidRPr="003019B2" w14:paraId="534EEA05" w14:textId="77777777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05712173" w:rsidR="00CA7A0F" w:rsidRPr="003019B2" w:rsidRDefault="003F5140" w:rsidP="007164AD">
            <w:pPr>
              <w:pStyle w:val="Title1"/>
            </w:pPr>
            <w:bookmarkStart w:id="5" w:name="dtitle1" w:colFirst="0" w:colLast="0"/>
            <w:bookmarkEnd w:id="4"/>
            <w:r w:rsidRPr="003019B2">
              <w:t>M</w:t>
            </w:r>
            <w:r w:rsidRPr="003019B2">
              <w:rPr>
                <w:caps w:val="0"/>
              </w:rPr>
              <w:t>ercredi 12 octobre 2022</w:t>
            </w:r>
            <w:r w:rsidR="007164AD" w:rsidRPr="003019B2">
              <w:rPr>
                <w:caps w:val="0"/>
              </w:rPr>
              <w:t>,</w:t>
            </w:r>
            <w:r w:rsidRPr="003019B2">
              <w:rPr>
                <w:caps w:val="0"/>
              </w:rPr>
              <w:t xml:space="preserve"> </w:t>
            </w:r>
            <w:r w:rsidR="007164AD" w:rsidRPr="003019B2">
              <w:rPr>
                <w:caps w:val="0"/>
              </w:rPr>
              <w:t xml:space="preserve">à </w:t>
            </w:r>
            <w:r w:rsidRPr="003019B2">
              <w:rPr>
                <w:caps w:val="0"/>
              </w:rPr>
              <w:t>9 h 35</w:t>
            </w:r>
          </w:p>
        </w:tc>
      </w:tr>
      <w:tr w:rsidR="00CA7A0F" w:rsidRPr="003019B2" w14:paraId="37DA32CE" w14:textId="77777777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351B5A2E" w:rsidR="00CA7A0F" w:rsidRPr="003019B2" w:rsidRDefault="003F5140" w:rsidP="007164AD">
            <w:pPr>
              <w:pStyle w:val="Title2"/>
            </w:pPr>
            <w:bookmarkStart w:id="6" w:name="dtitle2" w:colFirst="0" w:colLast="0"/>
            <w:bookmarkEnd w:id="5"/>
            <w:proofErr w:type="gramStart"/>
            <w:r w:rsidRPr="003019B2">
              <w:rPr>
                <w:b/>
                <w:bCs/>
              </w:rPr>
              <w:t>P</w:t>
            </w:r>
            <w:r w:rsidRPr="003019B2">
              <w:rPr>
                <w:b/>
                <w:bCs/>
                <w:caps w:val="0"/>
              </w:rPr>
              <w:t>résident:</w:t>
            </w:r>
            <w:proofErr w:type="gramEnd"/>
            <w:r w:rsidRPr="003019B2">
              <w:t xml:space="preserve"> m</w:t>
            </w:r>
            <w:r w:rsidR="001B5F93" w:rsidRPr="003019B2">
              <w:t>.</w:t>
            </w:r>
            <w:r w:rsidRPr="003019B2">
              <w:t xml:space="preserve"> </w:t>
            </w:r>
            <w:r w:rsidRPr="003019B2">
              <w:rPr>
                <w:bCs/>
              </w:rPr>
              <w:t>S</w:t>
            </w:r>
            <w:r w:rsidRPr="003019B2">
              <w:rPr>
                <w:bCs/>
                <w:caps w:val="0"/>
              </w:rPr>
              <w:t>abin</w:t>
            </w:r>
            <w:r w:rsidRPr="003019B2">
              <w:rPr>
                <w:bCs/>
              </w:rPr>
              <w:t xml:space="preserve"> </w:t>
            </w:r>
            <w:proofErr w:type="spellStart"/>
            <w:r w:rsidRPr="003019B2">
              <w:rPr>
                <w:bCs/>
              </w:rPr>
              <w:t>S</w:t>
            </w:r>
            <w:r w:rsidRPr="003019B2">
              <w:rPr>
                <w:bCs/>
                <w:caps w:val="0"/>
              </w:rPr>
              <w:t>ărmaș</w:t>
            </w:r>
            <w:proofErr w:type="spellEnd"/>
            <w:r w:rsidRPr="003019B2">
              <w:rPr>
                <w:bCs/>
              </w:rPr>
              <w:t xml:space="preserve"> (R</w:t>
            </w:r>
            <w:r w:rsidRPr="003019B2">
              <w:rPr>
                <w:bCs/>
                <w:caps w:val="0"/>
              </w:rPr>
              <w:t>oumanie</w:t>
            </w:r>
            <w:r w:rsidRPr="003019B2">
              <w:rPr>
                <w:bCs/>
              </w:rPr>
              <w:t>)</w:t>
            </w:r>
          </w:p>
        </w:tc>
      </w:tr>
      <w:bookmarkEnd w:id="6"/>
    </w:tbl>
    <w:p w14:paraId="7AD6F79A" w14:textId="3E59D34B" w:rsidR="00CA7A0F" w:rsidRPr="003019B2" w:rsidRDefault="00CA7A0F" w:rsidP="007164AD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1667"/>
      </w:tblGrid>
      <w:tr w:rsidR="00CA7A0F" w:rsidRPr="003019B2" w14:paraId="54003482" w14:textId="77777777">
        <w:trPr>
          <w:jc w:val="center"/>
        </w:trPr>
        <w:tc>
          <w:tcPr>
            <w:tcW w:w="534" w:type="dxa"/>
          </w:tcPr>
          <w:p w14:paraId="39BE95B3" w14:textId="77777777" w:rsidR="00CA7A0F" w:rsidRPr="003019B2" w:rsidRDefault="00CA7A0F" w:rsidP="007164AD">
            <w:pPr>
              <w:tabs>
                <w:tab w:val="right" w:pos="9781"/>
              </w:tabs>
              <w:spacing w:before="100" w:after="120"/>
              <w:rPr>
                <w:b/>
                <w:szCs w:val="24"/>
              </w:rPr>
            </w:pPr>
          </w:p>
        </w:tc>
        <w:tc>
          <w:tcPr>
            <w:tcW w:w="7830" w:type="dxa"/>
          </w:tcPr>
          <w:p w14:paraId="5F81B656" w14:textId="6353CB33" w:rsidR="00CA7A0F" w:rsidRPr="003019B2" w:rsidRDefault="003F5140" w:rsidP="007164AD">
            <w:pPr>
              <w:tabs>
                <w:tab w:val="right" w:pos="9781"/>
              </w:tabs>
              <w:spacing w:before="100" w:after="120"/>
              <w:rPr>
                <w:b/>
                <w:szCs w:val="24"/>
              </w:rPr>
            </w:pPr>
            <w:r w:rsidRPr="003019B2">
              <w:rPr>
                <w:b/>
                <w:bCs/>
                <w:szCs w:val="24"/>
              </w:rPr>
              <w:t>Sujets traités</w:t>
            </w:r>
          </w:p>
        </w:tc>
        <w:tc>
          <w:tcPr>
            <w:tcW w:w="1667" w:type="dxa"/>
          </w:tcPr>
          <w:p w14:paraId="0E3CF7EF" w14:textId="77777777" w:rsidR="00CA7A0F" w:rsidRPr="003019B2" w:rsidRDefault="003F5140" w:rsidP="007164AD">
            <w:pPr>
              <w:tabs>
                <w:tab w:val="right" w:pos="9781"/>
              </w:tabs>
              <w:spacing w:before="100" w:after="120"/>
              <w:jc w:val="center"/>
              <w:rPr>
                <w:b/>
                <w:szCs w:val="24"/>
              </w:rPr>
            </w:pPr>
            <w:r w:rsidRPr="003019B2">
              <w:rPr>
                <w:b/>
                <w:szCs w:val="24"/>
              </w:rPr>
              <w:t>Documents</w:t>
            </w:r>
          </w:p>
        </w:tc>
      </w:tr>
      <w:tr w:rsidR="00CA7A0F" w:rsidRPr="003019B2" w14:paraId="5BA6D26D" w14:textId="77777777">
        <w:trPr>
          <w:jc w:val="center"/>
        </w:trPr>
        <w:tc>
          <w:tcPr>
            <w:tcW w:w="534" w:type="dxa"/>
          </w:tcPr>
          <w:p w14:paraId="26EB5145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1</w:t>
            </w:r>
          </w:p>
        </w:tc>
        <w:tc>
          <w:tcPr>
            <w:tcW w:w="7830" w:type="dxa"/>
          </w:tcPr>
          <w:p w14:paraId="2C998914" w14:textId="5DF3A832" w:rsidR="00CA7A0F" w:rsidRPr="003019B2" w:rsidRDefault="003F5140" w:rsidP="007164AD">
            <w:pPr>
              <w:tabs>
                <w:tab w:val="left" w:pos="6"/>
              </w:tabs>
              <w:spacing w:before="60" w:after="60"/>
              <w:ind w:left="6"/>
              <w:rPr>
                <w:szCs w:val="24"/>
              </w:rPr>
            </w:pPr>
            <w:r w:rsidRPr="003019B2">
              <w:t>Travaux préparatoires en vue de l'Assemblée mondiale de normalisation des télécommunications de 2024</w:t>
            </w:r>
          </w:p>
        </w:tc>
        <w:tc>
          <w:tcPr>
            <w:tcW w:w="1667" w:type="dxa"/>
          </w:tcPr>
          <w:p w14:paraId="192C82E9" w14:textId="77777777" w:rsidR="00CA7A0F" w:rsidRPr="003019B2" w:rsidRDefault="00907B9B" w:rsidP="007164AD">
            <w:pPr>
              <w:spacing w:before="60" w:after="60"/>
              <w:jc w:val="center"/>
              <w:rPr>
                <w:szCs w:val="24"/>
              </w:rPr>
            </w:pPr>
            <w:hyperlink r:id="rId9" w:history="1">
              <w:r w:rsidR="003F5140" w:rsidRPr="003019B2">
                <w:rPr>
                  <w:rStyle w:val="Hyperlink"/>
                  <w:szCs w:val="24"/>
                </w:rPr>
                <w:t>178</w:t>
              </w:r>
            </w:hyperlink>
          </w:p>
        </w:tc>
      </w:tr>
      <w:tr w:rsidR="00CA7A0F" w:rsidRPr="003019B2" w14:paraId="181F48F7" w14:textId="77777777">
        <w:trPr>
          <w:jc w:val="center"/>
        </w:trPr>
        <w:tc>
          <w:tcPr>
            <w:tcW w:w="534" w:type="dxa"/>
          </w:tcPr>
          <w:p w14:paraId="29E378C4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2</w:t>
            </w:r>
          </w:p>
        </w:tc>
        <w:tc>
          <w:tcPr>
            <w:tcW w:w="7830" w:type="dxa"/>
          </w:tcPr>
          <w:p w14:paraId="169CB087" w14:textId="310EF885" w:rsidR="00CA7A0F" w:rsidRPr="003019B2" w:rsidRDefault="003F5140" w:rsidP="007164AD">
            <w:pPr>
              <w:spacing w:before="60" w:after="60"/>
              <w:rPr>
                <w:szCs w:val="24"/>
              </w:rPr>
            </w:pPr>
            <w:r w:rsidRPr="003019B2">
              <w:t>Dix-neuvième série de textes soumis par la Commission de rédaction en première lecture</w:t>
            </w:r>
            <w:r w:rsidRPr="003019B2">
              <w:rPr>
                <w:szCs w:val="24"/>
              </w:rPr>
              <w:t xml:space="preserve"> (B.19)</w:t>
            </w:r>
          </w:p>
        </w:tc>
        <w:tc>
          <w:tcPr>
            <w:tcW w:w="1667" w:type="dxa"/>
          </w:tcPr>
          <w:p w14:paraId="142CDCCC" w14:textId="77777777" w:rsidR="00CA7A0F" w:rsidRPr="003019B2" w:rsidRDefault="00907B9B" w:rsidP="007164AD">
            <w:pPr>
              <w:spacing w:before="60" w:after="60"/>
              <w:jc w:val="center"/>
              <w:rPr>
                <w:szCs w:val="24"/>
              </w:rPr>
            </w:pPr>
            <w:hyperlink r:id="rId10" w:history="1">
              <w:r w:rsidR="003F5140" w:rsidRPr="003019B2">
                <w:rPr>
                  <w:rStyle w:val="Hyperlink"/>
                  <w:szCs w:val="24"/>
                </w:rPr>
                <w:t>175</w:t>
              </w:r>
            </w:hyperlink>
          </w:p>
        </w:tc>
      </w:tr>
      <w:tr w:rsidR="00CA7A0F" w:rsidRPr="003019B2" w14:paraId="0085B64B" w14:textId="77777777">
        <w:trPr>
          <w:jc w:val="center"/>
        </w:trPr>
        <w:tc>
          <w:tcPr>
            <w:tcW w:w="534" w:type="dxa"/>
          </w:tcPr>
          <w:p w14:paraId="033EF0D2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3</w:t>
            </w:r>
          </w:p>
        </w:tc>
        <w:tc>
          <w:tcPr>
            <w:tcW w:w="7830" w:type="dxa"/>
          </w:tcPr>
          <w:p w14:paraId="20A94789" w14:textId="4DEC4089" w:rsidR="00CA7A0F" w:rsidRPr="003019B2" w:rsidRDefault="003F5140" w:rsidP="007164AD">
            <w:pPr>
              <w:spacing w:before="60" w:after="60"/>
              <w:rPr>
                <w:szCs w:val="24"/>
              </w:rPr>
            </w:pPr>
            <w:r w:rsidRPr="003019B2">
              <w:t xml:space="preserve">Dix-neuvième série de textes soumis par la Commission de rédaction </w:t>
            </w:r>
            <w:r w:rsidR="00E244FC" w:rsidRPr="003019B2">
              <w:t>–</w:t>
            </w:r>
            <w:r w:rsidRPr="003019B2">
              <w:t xml:space="preserve"> seconde lecture</w:t>
            </w:r>
          </w:p>
        </w:tc>
        <w:tc>
          <w:tcPr>
            <w:tcW w:w="1667" w:type="dxa"/>
          </w:tcPr>
          <w:p w14:paraId="192A22CC" w14:textId="77777777" w:rsidR="00CA7A0F" w:rsidRPr="003019B2" w:rsidRDefault="003F5140" w:rsidP="007164AD">
            <w:pPr>
              <w:spacing w:before="60" w:after="60"/>
              <w:jc w:val="center"/>
              <w:rPr>
                <w:szCs w:val="24"/>
              </w:rPr>
            </w:pPr>
            <w:r w:rsidRPr="003019B2">
              <w:rPr>
                <w:szCs w:val="24"/>
              </w:rPr>
              <w:t>175</w:t>
            </w:r>
          </w:p>
        </w:tc>
      </w:tr>
      <w:tr w:rsidR="00CA7A0F" w:rsidRPr="003019B2" w14:paraId="78791726" w14:textId="77777777">
        <w:trPr>
          <w:jc w:val="center"/>
        </w:trPr>
        <w:tc>
          <w:tcPr>
            <w:tcW w:w="534" w:type="dxa"/>
          </w:tcPr>
          <w:p w14:paraId="24AF07FB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4</w:t>
            </w:r>
          </w:p>
        </w:tc>
        <w:tc>
          <w:tcPr>
            <w:tcW w:w="7830" w:type="dxa"/>
          </w:tcPr>
          <w:p w14:paraId="69D1EC84" w14:textId="75E09E6D" w:rsidR="00CA7A0F" w:rsidRPr="003019B2" w:rsidRDefault="003F5140" w:rsidP="007164AD">
            <w:pPr>
              <w:tabs>
                <w:tab w:val="left" w:pos="6"/>
                <w:tab w:val="left" w:pos="668"/>
                <w:tab w:val="left" w:pos="855"/>
              </w:tabs>
              <w:spacing w:before="60" w:after="60"/>
              <w:rPr>
                <w:szCs w:val="24"/>
              </w:rPr>
            </w:pPr>
            <w:r w:rsidRPr="003019B2">
              <w:t>Vingtième série de textes soumis par la Commission de rédaction en première lecture</w:t>
            </w:r>
            <w:r w:rsidRPr="003019B2">
              <w:rPr>
                <w:szCs w:val="24"/>
              </w:rPr>
              <w:t xml:space="preserve"> (B20)</w:t>
            </w:r>
          </w:p>
        </w:tc>
        <w:tc>
          <w:tcPr>
            <w:tcW w:w="1667" w:type="dxa"/>
          </w:tcPr>
          <w:p w14:paraId="356B8278" w14:textId="77777777" w:rsidR="00CA7A0F" w:rsidRPr="003019B2" w:rsidRDefault="00907B9B" w:rsidP="007164AD">
            <w:pPr>
              <w:spacing w:before="60" w:after="60"/>
              <w:jc w:val="center"/>
              <w:rPr>
                <w:szCs w:val="24"/>
              </w:rPr>
            </w:pPr>
            <w:hyperlink r:id="rId11" w:history="1">
              <w:r w:rsidR="003F5140" w:rsidRPr="003019B2">
                <w:rPr>
                  <w:rStyle w:val="Hyperlink"/>
                  <w:rFonts w:cs="Calibri"/>
                  <w:szCs w:val="24"/>
                </w:rPr>
                <w:t>179</w:t>
              </w:r>
            </w:hyperlink>
          </w:p>
        </w:tc>
      </w:tr>
      <w:tr w:rsidR="00CA7A0F" w:rsidRPr="003019B2" w14:paraId="56BCA237" w14:textId="77777777">
        <w:trPr>
          <w:jc w:val="center"/>
        </w:trPr>
        <w:tc>
          <w:tcPr>
            <w:tcW w:w="534" w:type="dxa"/>
          </w:tcPr>
          <w:p w14:paraId="5879F9AD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5</w:t>
            </w:r>
          </w:p>
        </w:tc>
        <w:tc>
          <w:tcPr>
            <w:tcW w:w="7830" w:type="dxa"/>
          </w:tcPr>
          <w:p w14:paraId="5A6C38D7" w14:textId="72194C4B" w:rsidR="00CA7A0F" w:rsidRPr="003019B2" w:rsidRDefault="003F5140" w:rsidP="007164AD">
            <w:pPr>
              <w:spacing w:before="60" w:after="60"/>
              <w:rPr>
                <w:spacing w:val="-2"/>
                <w:szCs w:val="24"/>
              </w:rPr>
            </w:pPr>
            <w:r w:rsidRPr="003019B2">
              <w:t xml:space="preserve">Vingtième série de textes soumis par la Commission de rédaction </w:t>
            </w:r>
            <w:r w:rsidR="00E244FC" w:rsidRPr="003019B2">
              <w:t>–</w:t>
            </w:r>
            <w:r w:rsidRPr="003019B2">
              <w:t xml:space="preserve"> seconde lecture</w:t>
            </w:r>
          </w:p>
        </w:tc>
        <w:tc>
          <w:tcPr>
            <w:tcW w:w="1667" w:type="dxa"/>
          </w:tcPr>
          <w:p w14:paraId="04CD6587" w14:textId="77777777" w:rsidR="00CA7A0F" w:rsidRPr="003019B2" w:rsidRDefault="003F5140" w:rsidP="007164AD">
            <w:pPr>
              <w:spacing w:before="60" w:after="60"/>
              <w:jc w:val="center"/>
              <w:rPr>
                <w:szCs w:val="24"/>
              </w:rPr>
            </w:pPr>
            <w:r w:rsidRPr="003019B2">
              <w:rPr>
                <w:szCs w:val="24"/>
              </w:rPr>
              <w:t>179</w:t>
            </w:r>
          </w:p>
        </w:tc>
      </w:tr>
      <w:tr w:rsidR="00CA7A0F" w:rsidRPr="003019B2" w14:paraId="6E3F5690" w14:textId="77777777">
        <w:trPr>
          <w:jc w:val="center"/>
        </w:trPr>
        <w:tc>
          <w:tcPr>
            <w:tcW w:w="534" w:type="dxa"/>
          </w:tcPr>
          <w:p w14:paraId="1DA7FE56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6</w:t>
            </w:r>
          </w:p>
        </w:tc>
        <w:tc>
          <w:tcPr>
            <w:tcW w:w="7830" w:type="dxa"/>
          </w:tcPr>
          <w:p w14:paraId="50D4E15D" w14:textId="02C9E46D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t>Vingt-et-unième série de textes soumis par la Commission de rédaction en première lecture</w:t>
            </w:r>
            <w:r w:rsidRPr="003019B2">
              <w:rPr>
                <w:szCs w:val="24"/>
              </w:rPr>
              <w:t xml:space="preserve"> (B21)</w:t>
            </w:r>
          </w:p>
        </w:tc>
        <w:tc>
          <w:tcPr>
            <w:tcW w:w="1667" w:type="dxa"/>
          </w:tcPr>
          <w:p w14:paraId="11D68880" w14:textId="77777777" w:rsidR="00CA7A0F" w:rsidRPr="003019B2" w:rsidRDefault="00907B9B" w:rsidP="007164AD">
            <w:pPr>
              <w:spacing w:before="60" w:after="60"/>
              <w:jc w:val="center"/>
              <w:rPr>
                <w:szCs w:val="24"/>
              </w:rPr>
            </w:pPr>
            <w:hyperlink r:id="rId12" w:history="1">
              <w:r w:rsidR="003F5140" w:rsidRPr="003019B2">
                <w:rPr>
                  <w:rStyle w:val="Hyperlink"/>
                  <w:rFonts w:cs="Calibri"/>
                  <w:szCs w:val="24"/>
                </w:rPr>
                <w:t>183</w:t>
              </w:r>
            </w:hyperlink>
          </w:p>
        </w:tc>
      </w:tr>
      <w:tr w:rsidR="00CA7A0F" w:rsidRPr="003019B2" w14:paraId="7B1D7392" w14:textId="77777777">
        <w:trPr>
          <w:jc w:val="center"/>
        </w:trPr>
        <w:tc>
          <w:tcPr>
            <w:tcW w:w="534" w:type="dxa"/>
          </w:tcPr>
          <w:p w14:paraId="0EE8B7C5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7</w:t>
            </w:r>
          </w:p>
        </w:tc>
        <w:tc>
          <w:tcPr>
            <w:tcW w:w="7830" w:type="dxa"/>
          </w:tcPr>
          <w:p w14:paraId="10DEB1F3" w14:textId="318897B2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t xml:space="preserve">Vingt-et-unième série de textes soumis par la Commission de rédaction </w:t>
            </w:r>
            <w:r w:rsidR="00E244FC" w:rsidRPr="003019B2">
              <w:t xml:space="preserve">– </w:t>
            </w:r>
            <w:r w:rsidRPr="003019B2">
              <w:t>seconde lecture</w:t>
            </w:r>
          </w:p>
        </w:tc>
        <w:tc>
          <w:tcPr>
            <w:tcW w:w="1667" w:type="dxa"/>
          </w:tcPr>
          <w:p w14:paraId="4A5D5F4A" w14:textId="77777777" w:rsidR="00CA7A0F" w:rsidRPr="003019B2" w:rsidRDefault="003F5140" w:rsidP="007164AD">
            <w:pPr>
              <w:spacing w:before="60" w:after="60"/>
              <w:jc w:val="center"/>
              <w:rPr>
                <w:szCs w:val="24"/>
              </w:rPr>
            </w:pPr>
            <w:r w:rsidRPr="003019B2">
              <w:rPr>
                <w:szCs w:val="24"/>
              </w:rPr>
              <w:t>183</w:t>
            </w:r>
          </w:p>
        </w:tc>
      </w:tr>
      <w:tr w:rsidR="00CA7A0F" w:rsidRPr="003019B2" w14:paraId="1B4D88FF" w14:textId="77777777">
        <w:trPr>
          <w:jc w:val="center"/>
        </w:trPr>
        <w:tc>
          <w:tcPr>
            <w:tcW w:w="534" w:type="dxa"/>
          </w:tcPr>
          <w:p w14:paraId="33E79223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8</w:t>
            </w:r>
          </w:p>
        </w:tc>
        <w:tc>
          <w:tcPr>
            <w:tcW w:w="7830" w:type="dxa"/>
          </w:tcPr>
          <w:p w14:paraId="55DE2A58" w14:textId="6B7115D4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t>Vingt-deuxième série de textes soumis par la Commission de rédaction en première lecture</w:t>
            </w:r>
            <w:r w:rsidRPr="003019B2">
              <w:rPr>
                <w:bCs/>
              </w:rPr>
              <w:t xml:space="preserve"> </w:t>
            </w:r>
            <w:r w:rsidRPr="003019B2">
              <w:rPr>
                <w:szCs w:val="24"/>
              </w:rPr>
              <w:t>(B22)</w:t>
            </w:r>
          </w:p>
        </w:tc>
        <w:tc>
          <w:tcPr>
            <w:tcW w:w="1667" w:type="dxa"/>
          </w:tcPr>
          <w:p w14:paraId="470B65CF" w14:textId="77777777" w:rsidR="00CA7A0F" w:rsidRPr="003019B2" w:rsidRDefault="00907B9B" w:rsidP="007164AD">
            <w:pPr>
              <w:spacing w:before="60" w:after="60"/>
              <w:jc w:val="center"/>
              <w:rPr>
                <w:szCs w:val="24"/>
              </w:rPr>
            </w:pPr>
            <w:hyperlink r:id="rId13" w:history="1">
              <w:r w:rsidR="003F5140" w:rsidRPr="003019B2">
                <w:rPr>
                  <w:rStyle w:val="Hyperlink"/>
                  <w:rFonts w:cs="Calibri"/>
                  <w:szCs w:val="24"/>
                </w:rPr>
                <w:t>184</w:t>
              </w:r>
            </w:hyperlink>
          </w:p>
        </w:tc>
      </w:tr>
      <w:tr w:rsidR="00CA7A0F" w:rsidRPr="003019B2" w14:paraId="26CBD82E" w14:textId="77777777">
        <w:trPr>
          <w:jc w:val="center"/>
        </w:trPr>
        <w:tc>
          <w:tcPr>
            <w:tcW w:w="534" w:type="dxa"/>
          </w:tcPr>
          <w:p w14:paraId="088D6D77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9</w:t>
            </w:r>
          </w:p>
        </w:tc>
        <w:tc>
          <w:tcPr>
            <w:tcW w:w="7830" w:type="dxa"/>
          </w:tcPr>
          <w:p w14:paraId="34AD2501" w14:textId="2ADB464D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t xml:space="preserve">Vingt-deuxième série de textes soumis par la Commission de rédaction </w:t>
            </w:r>
            <w:r w:rsidR="00E244FC" w:rsidRPr="003019B2">
              <w:t xml:space="preserve">– </w:t>
            </w:r>
            <w:r w:rsidRPr="003019B2">
              <w:t>seconde lecture</w:t>
            </w:r>
          </w:p>
        </w:tc>
        <w:tc>
          <w:tcPr>
            <w:tcW w:w="1667" w:type="dxa"/>
          </w:tcPr>
          <w:p w14:paraId="717168BC" w14:textId="77777777" w:rsidR="00CA7A0F" w:rsidRPr="003019B2" w:rsidRDefault="003F5140" w:rsidP="007164AD">
            <w:pPr>
              <w:spacing w:before="60" w:after="60"/>
              <w:jc w:val="center"/>
              <w:rPr>
                <w:rFonts w:cs="Calibri"/>
                <w:szCs w:val="24"/>
              </w:rPr>
            </w:pPr>
            <w:r w:rsidRPr="003019B2">
              <w:rPr>
                <w:szCs w:val="24"/>
              </w:rPr>
              <w:t>185</w:t>
            </w:r>
          </w:p>
        </w:tc>
      </w:tr>
      <w:tr w:rsidR="00CA7A0F" w:rsidRPr="003019B2" w14:paraId="6604B9FE" w14:textId="77777777">
        <w:trPr>
          <w:jc w:val="center"/>
        </w:trPr>
        <w:tc>
          <w:tcPr>
            <w:tcW w:w="534" w:type="dxa"/>
          </w:tcPr>
          <w:p w14:paraId="75311521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10</w:t>
            </w:r>
          </w:p>
        </w:tc>
        <w:tc>
          <w:tcPr>
            <w:tcW w:w="7830" w:type="dxa"/>
          </w:tcPr>
          <w:p w14:paraId="77048A92" w14:textId="61990CF6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t>Approbation des procès-verbaux</w:t>
            </w:r>
          </w:p>
        </w:tc>
        <w:tc>
          <w:tcPr>
            <w:tcW w:w="1667" w:type="dxa"/>
          </w:tcPr>
          <w:p w14:paraId="0444FF59" w14:textId="77777777" w:rsidR="00CA7A0F" w:rsidRPr="003019B2" w:rsidRDefault="00907B9B" w:rsidP="007164AD">
            <w:pPr>
              <w:spacing w:before="60" w:after="60"/>
              <w:jc w:val="center"/>
              <w:rPr>
                <w:rFonts w:cs="Calibri"/>
                <w:szCs w:val="24"/>
              </w:rPr>
            </w:pPr>
            <w:hyperlink r:id="rId14" w:history="1">
              <w:r w:rsidR="003F5140" w:rsidRPr="003019B2">
                <w:rPr>
                  <w:rStyle w:val="Hyperlink"/>
                  <w:szCs w:val="24"/>
                </w:rPr>
                <w:t>151</w:t>
              </w:r>
            </w:hyperlink>
            <w:r w:rsidR="003F5140" w:rsidRPr="003019B2">
              <w:rPr>
                <w:szCs w:val="24"/>
              </w:rPr>
              <w:t xml:space="preserve">, </w:t>
            </w:r>
            <w:hyperlink r:id="rId15" w:history="1">
              <w:r w:rsidR="003F5140" w:rsidRPr="003019B2">
                <w:rPr>
                  <w:rStyle w:val="Hyperlink"/>
                  <w:szCs w:val="24"/>
                </w:rPr>
                <w:t>152</w:t>
              </w:r>
            </w:hyperlink>
            <w:r w:rsidR="003F5140" w:rsidRPr="003019B2">
              <w:rPr>
                <w:szCs w:val="24"/>
              </w:rPr>
              <w:t xml:space="preserve">, </w:t>
            </w:r>
            <w:hyperlink r:id="rId16" w:history="1">
              <w:r w:rsidR="003F5140" w:rsidRPr="003019B2">
                <w:rPr>
                  <w:rStyle w:val="Hyperlink"/>
                  <w:szCs w:val="24"/>
                </w:rPr>
                <w:t>168</w:t>
              </w:r>
            </w:hyperlink>
          </w:p>
        </w:tc>
      </w:tr>
      <w:tr w:rsidR="00CA7A0F" w:rsidRPr="003019B2" w14:paraId="43A0BDA3" w14:textId="77777777">
        <w:trPr>
          <w:jc w:val="center"/>
        </w:trPr>
        <w:tc>
          <w:tcPr>
            <w:tcW w:w="534" w:type="dxa"/>
          </w:tcPr>
          <w:p w14:paraId="5E603C1C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11</w:t>
            </w:r>
          </w:p>
        </w:tc>
        <w:tc>
          <w:tcPr>
            <w:tcW w:w="7830" w:type="dxa"/>
          </w:tcPr>
          <w:p w14:paraId="2CEEDB29" w14:textId="5A455F3F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rPr>
                <w:szCs w:val="24"/>
              </w:rPr>
              <w:t xml:space="preserve">Questions </w:t>
            </w:r>
            <w:r w:rsidR="007164AD" w:rsidRPr="003019B2">
              <w:rPr>
                <w:szCs w:val="24"/>
              </w:rPr>
              <w:t>d'ordre rédactionnel</w:t>
            </w:r>
          </w:p>
        </w:tc>
        <w:tc>
          <w:tcPr>
            <w:tcW w:w="1667" w:type="dxa"/>
          </w:tcPr>
          <w:p w14:paraId="625A7754" w14:textId="7CF2BB72" w:rsidR="00CA7A0F" w:rsidRPr="003019B2" w:rsidRDefault="003F5140" w:rsidP="007164AD">
            <w:pPr>
              <w:spacing w:before="60" w:after="60"/>
              <w:jc w:val="center"/>
              <w:rPr>
                <w:rFonts w:cs="Calibri"/>
                <w:szCs w:val="24"/>
              </w:rPr>
            </w:pPr>
            <w:r w:rsidRPr="003019B2">
              <w:rPr>
                <w:rFonts w:eastAsia="Calibri"/>
                <w:szCs w:val="24"/>
              </w:rPr>
              <w:t>–</w:t>
            </w:r>
          </w:p>
        </w:tc>
      </w:tr>
      <w:tr w:rsidR="00CA7A0F" w:rsidRPr="003019B2" w14:paraId="6D9F1706" w14:textId="77777777">
        <w:trPr>
          <w:jc w:val="center"/>
        </w:trPr>
        <w:tc>
          <w:tcPr>
            <w:tcW w:w="534" w:type="dxa"/>
          </w:tcPr>
          <w:p w14:paraId="0897F42E" w14:textId="77777777" w:rsidR="00CA7A0F" w:rsidRPr="003019B2" w:rsidRDefault="003F5140" w:rsidP="007164AD">
            <w:pPr>
              <w:spacing w:before="60" w:after="60"/>
              <w:ind w:left="567" w:hanging="567"/>
              <w:rPr>
                <w:szCs w:val="24"/>
              </w:rPr>
            </w:pPr>
            <w:r w:rsidRPr="003019B2">
              <w:rPr>
                <w:szCs w:val="24"/>
              </w:rPr>
              <w:t>12</w:t>
            </w:r>
          </w:p>
        </w:tc>
        <w:tc>
          <w:tcPr>
            <w:tcW w:w="7830" w:type="dxa"/>
          </w:tcPr>
          <w:p w14:paraId="487F33A5" w14:textId="4C5E73BD" w:rsidR="00CA7A0F" w:rsidRPr="003019B2" w:rsidRDefault="003F5140" w:rsidP="007164AD">
            <w:pPr>
              <w:tabs>
                <w:tab w:val="left" w:pos="4660"/>
              </w:tabs>
              <w:spacing w:before="60" w:after="60"/>
              <w:rPr>
                <w:szCs w:val="24"/>
              </w:rPr>
            </w:pPr>
            <w:r w:rsidRPr="003019B2">
              <w:rPr>
                <w:szCs w:val="24"/>
              </w:rPr>
              <w:t>Utilisation d'un langage approprié lors des réunions de la conférence</w:t>
            </w:r>
          </w:p>
        </w:tc>
        <w:tc>
          <w:tcPr>
            <w:tcW w:w="1667" w:type="dxa"/>
          </w:tcPr>
          <w:p w14:paraId="52ED1DDA" w14:textId="3F9A75BB" w:rsidR="00CA7A0F" w:rsidRPr="003019B2" w:rsidRDefault="003F5140" w:rsidP="007164AD">
            <w:pPr>
              <w:spacing w:before="60" w:after="60"/>
              <w:jc w:val="center"/>
              <w:rPr>
                <w:rFonts w:eastAsia="Calibri"/>
                <w:szCs w:val="24"/>
              </w:rPr>
            </w:pPr>
            <w:r w:rsidRPr="003019B2">
              <w:rPr>
                <w:szCs w:val="24"/>
              </w:rPr>
              <w:t>–</w:t>
            </w:r>
          </w:p>
        </w:tc>
      </w:tr>
    </w:tbl>
    <w:p w14:paraId="382C62D1" w14:textId="34D02B8B" w:rsidR="00CA7A0F" w:rsidRPr="003019B2" w:rsidRDefault="003F5140" w:rsidP="007164AD">
      <w:pPr>
        <w:pStyle w:val="Heading1"/>
      </w:pPr>
      <w:r w:rsidRPr="003019B2">
        <w:rPr>
          <w:bCs/>
        </w:rPr>
        <w:lastRenderedPageBreak/>
        <w:t>1</w:t>
      </w:r>
      <w:r w:rsidR="007164AD" w:rsidRPr="003019B2">
        <w:rPr>
          <w:bCs/>
        </w:rPr>
        <w:tab/>
      </w:r>
      <w:r w:rsidRPr="003019B2">
        <w:t>Travaux préparatoires en vue de l'Assemblée mondiale de normalisation des télécommunications de 2024 (Document</w:t>
      </w:r>
      <w:r w:rsidR="001B5F93" w:rsidRPr="003019B2">
        <w:t xml:space="preserve"> </w:t>
      </w:r>
      <w:hyperlink r:id="rId17" w:history="1">
        <w:r w:rsidRPr="003019B2">
          <w:rPr>
            <w:rStyle w:val="Hyperlink"/>
            <w:bCs/>
          </w:rPr>
          <w:t>178</w:t>
        </w:r>
      </w:hyperlink>
      <w:r w:rsidRPr="003019B2">
        <w:t>)</w:t>
      </w:r>
    </w:p>
    <w:p w14:paraId="19D7B5F5" w14:textId="76E22F75" w:rsidR="00CA7A0F" w:rsidRPr="003019B2" w:rsidRDefault="003F5140" w:rsidP="007164AD">
      <w:r w:rsidRPr="003019B2">
        <w:t>1.1</w:t>
      </w:r>
      <w:r w:rsidR="007164AD" w:rsidRPr="003019B2">
        <w:tab/>
      </w:r>
      <w:r w:rsidRPr="003019B2">
        <w:t>Au nom du Secrétaire général, l</w:t>
      </w:r>
      <w:r w:rsidR="007164AD" w:rsidRPr="003019B2">
        <w:t>'</w:t>
      </w:r>
      <w:r w:rsidR="007164AD" w:rsidRPr="003019B2">
        <w:rPr>
          <w:b/>
          <w:bCs/>
        </w:rPr>
        <w:t>Adjoint au Directeur</w:t>
      </w:r>
      <w:r w:rsidRPr="003019B2">
        <w:rPr>
          <w:b/>
          <w:bCs/>
        </w:rPr>
        <w:t xml:space="preserve"> du Bureau de normalisation des télécommunications</w:t>
      </w:r>
      <w:r w:rsidR="007164AD" w:rsidRPr="003019B2">
        <w:t xml:space="preserve"> présente </w:t>
      </w:r>
      <w:r w:rsidRPr="003019B2">
        <w:t xml:space="preserve">le </w:t>
      </w:r>
      <w:r w:rsidR="001B5F93" w:rsidRPr="003019B2">
        <w:t>D</w:t>
      </w:r>
      <w:r w:rsidRPr="003019B2">
        <w:t xml:space="preserve">ocument 178, qui contient une proposition du </w:t>
      </w:r>
      <w:r w:rsidR="001B5F93" w:rsidRPr="003019B2">
        <w:t>G</w:t>
      </w:r>
      <w:r w:rsidRPr="003019B2">
        <w:t xml:space="preserve">ouvernement </w:t>
      </w:r>
      <w:r w:rsidR="007164AD" w:rsidRPr="003019B2">
        <w:t>de l'Inde en vue d</w:t>
      </w:r>
      <w:r w:rsidRPr="003019B2">
        <w:t>'accueillir l'AMNT-24.</w:t>
      </w:r>
    </w:p>
    <w:p w14:paraId="036C3D2B" w14:textId="5FB1530D" w:rsidR="00CA7A0F" w:rsidRPr="003019B2" w:rsidRDefault="003F5140" w:rsidP="007164AD">
      <w:r w:rsidRPr="003019B2">
        <w:t>1.2</w:t>
      </w:r>
      <w:r w:rsidR="007164AD" w:rsidRPr="003019B2">
        <w:tab/>
      </w:r>
      <w:r w:rsidRPr="003019B2">
        <w:t>Les délégués de</w:t>
      </w:r>
      <w:r w:rsidR="001B5F93" w:rsidRPr="003019B2">
        <w:t xml:space="preserve"> la</w:t>
      </w:r>
      <w:r w:rsidRPr="003019B2">
        <w:t xml:space="preserve"> </w:t>
      </w:r>
      <w:r w:rsidRPr="003019B2">
        <w:rPr>
          <w:b/>
          <w:bCs/>
        </w:rPr>
        <w:t>Papouasie-Nouvelle-Guinée</w:t>
      </w:r>
      <w:r w:rsidR="007164AD" w:rsidRPr="003019B2">
        <w:t xml:space="preserve">, </w:t>
      </w:r>
      <w:r w:rsidRPr="003019B2">
        <w:t xml:space="preserve">s'exprimant au nom de l'APT, </w:t>
      </w:r>
      <w:r w:rsidR="007164AD" w:rsidRPr="003019B2">
        <w:t>de l'</w:t>
      </w:r>
      <w:r w:rsidRPr="003019B2">
        <w:rPr>
          <w:b/>
          <w:bCs/>
        </w:rPr>
        <w:t>Espagne</w:t>
      </w:r>
      <w:r w:rsidR="007164AD" w:rsidRPr="003019B2">
        <w:t>, de la</w:t>
      </w:r>
      <w:r w:rsidRPr="003019B2">
        <w:rPr>
          <w:b/>
          <w:bCs/>
        </w:rPr>
        <w:t xml:space="preserve"> Roumanie</w:t>
      </w:r>
      <w:r w:rsidR="007164AD" w:rsidRPr="003019B2">
        <w:t xml:space="preserve">, </w:t>
      </w:r>
      <w:r w:rsidRPr="003019B2">
        <w:t xml:space="preserve">s'exprimant au nom de la CEPT, </w:t>
      </w:r>
      <w:r w:rsidR="007164AD" w:rsidRPr="003019B2">
        <w:t>des</w:t>
      </w:r>
      <w:r w:rsidRPr="003019B2">
        <w:t xml:space="preserve"> </w:t>
      </w:r>
      <w:r w:rsidRPr="003019B2">
        <w:rPr>
          <w:b/>
          <w:bCs/>
        </w:rPr>
        <w:t>Émirats arabes unis</w:t>
      </w:r>
      <w:r w:rsidRPr="003019B2">
        <w:t xml:space="preserve">, </w:t>
      </w:r>
      <w:r w:rsidR="007164AD" w:rsidRPr="003019B2">
        <w:t>de l'</w:t>
      </w:r>
      <w:r w:rsidRPr="003019B2">
        <w:rPr>
          <w:b/>
          <w:bCs/>
        </w:rPr>
        <w:t>Égypte</w:t>
      </w:r>
      <w:r w:rsidR="007164AD" w:rsidRPr="003019B2">
        <w:t xml:space="preserve">, de la </w:t>
      </w:r>
      <w:r w:rsidRPr="003019B2">
        <w:rPr>
          <w:b/>
          <w:bCs/>
        </w:rPr>
        <w:t>Fédération de Russie</w:t>
      </w:r>
      <w:r w:rsidR="007164AD" w:rsidRPr="003019B2">
        <w:t xml:space="preserve">, </w:t>
      </w:r>
      <w:r w:rsidRPr="003019B2">
        <w:t xml:space="preserve">s'exprimant au nom de </w:t>
      </w:r>
      <w:r w:rsidR="007164AD" w:rsidRPr="003019B2">
        <w:t xml:space="preserve">la </w:t>
      </w:r>
      <w:r w:rsidRPr="003019B2">
        <w:t xml:space="preserve">RCC, </w:t>
      </w:r>
      <w:r w:rsidR="007164AD" w:rsidRPr="003019B2">
        <w:t>de l'</w:t>
      </w:r>
      <w:r w:rsidRPr="003019B2">
        <w:rPr>
          <w:b/>
          <w:bCs/>
        </w:rPr>
        <w:t>Algérie</w:t>
      </w:r>
      <w:r w:rsidRPr="003019B2">
        <w:t>, s'exprimant au nom du groupe africain,</w:t>
      </w:r>
      <w:r w:rsidR="001B5F93" w:rsidRPr="003019B2">
        <w:t xml:space="preserve"> d'</w:t>
      </w:r>
      <w:r w:rsidRPr="003019B2">
        <w:rPr>
          <w:b/>
          <w:bCs/>
        </w:rPr>
        <w:t>Israël</w:t>
      </w:r>
      <w:r w:rsidRPr="003019B2">
        <w:t>,</w:t>
      </w:r>
      <w:r w:rsidRPr="003019B2">
        <w:rPr>
          <w:b/>
          <w:bCs/>
        </w:rPr>
        <w:t xml:space="preserve"> </w:t>
      </w:r>
      <w:r w:rsidR="007164AD" w:rsidRPr="003019B2">
        <w:t xml:space="preserve">de la </w:t>
      </w:r>
      <w:r w:rsidR="007164AD" w:rsidRPr="003019B2">
        <w:rPr>
          <w:b/>
          <w:bCs/>
        </w:rPr>
        <w:t>R</w:t>
      </w:r>
      <w:r w:rsidRPr="003019B2">
        <w:rPr>
          <w:b/>
          <w:bCs/>
        </w:rPr>
        <w:t>épublique de Corée</w:t>
      </w:r>
      <w:r w:rsidRPr="003019B2">
        <w:t>,</w:t>
      </w:r>
      <w:r w:rsidR="007164AD" w:rsidRPr="003019B2">
        <w:t xml:space="preserve"> de la</w:t>
      </w:r>
      <w:r w:rsidRPr="003019B2">
        <w:rPr>
          <w:b/>
          <w:bCs/>
        </w:rPr>
        <w:t xml:space="preserve"> </w:t>
      </w:r>
      <w:r w:rsidR="007164AD" w:rsidRPr="003019B2">
        <w:rPr>
          <w:b/>
          <w:bCs/>
        </w:rPr>
        <w:t>T</w:t>
      </w:r>
      <w:r w:rsidRPr="003019B2">
        <w:rPr>
          <w:b/>
          <w:bCs/>
        </w:rPr>
        <w:t>haïlande</w:t>
      </w:r>
      <w:r w:rsidRPr="003019B2">
        <w:t>,</w:t>
      </w:r>
      <w:r w:rsidRPr="003019B2">
        <w:rPr>
          <w:b/>
          <w:bCs/>
        </w:rPr>
        <w:t xml:space="preserve"> </w:t>
      </w:r>
      <w:r w:rsidR="007164AD" w:rsidRPr="003019B2">
        <w:t xml:space="preserve">de la </w:t>
      </w:r>
      <w:r w:rsidR="007164AD" w:rsidRPr="003019B2">
        <w:rPr>
          <w:b/>
          <w:bCs/>
        </w:rPr>
        <w:t>R</w:t>
      </w:r>
      <w:r w:rsidRPr="003019B2">
        <w:rPr>
          <w:b/>
          <w:bCs/>
        </w:rPr>
        <w:t>épublique islamique d'Iran</w:t>
      </w:r>
      <w:r w:rsidRPr="003019B2">
        <w:t xml:space="preserve">, </w:t>
      </w:r>
      <w:r w:rsidR="007164AD" w:rsidRPr="003019B2">
        <w:t xml:space="preserve">de la </w:t>
      </w:r>
      <w:r w:rsidRPr="003019B2">
        <w:rPr>
          <w:b/>
          <w:bCs/>
        </w:rPr>
        <w:t>Malaisie</w:t>
      </w:r>
      <w:r w:rsidRPr="003019B2">
        <w:t xml:space="preserve">, </w:t>
      </w:r>
      <w:r w:rsidR="007164AD" w:rsidRPr="003019B2">
        <w:t xml:space="preserve">du </w:t>
      </w:r>
      <w:r w:rsidRPr="003019B2">
        <w:rPr>
          <w:b/>
          <w:bCs/>
        </w:rPr>
        <w:t>Canada</w:t>
      </w:r>
      <w:r w:rsidR="007164AD" w:rsidRPr="003019B2">
        <w:t>, s'exprimant</w:t>
      </w:r>
      <w:r w:rsidR="007164AD" w:rsidRPr="003019B2">
        <w:rPr>
          <w:b/>
          <w:bCs/>
        </w:rPr>
        <w:t xml:space="preserve"> </w:t>
      </w:r>
      <w:r w:rsidRPr="003019B2">
        <w:t xml:space="preserve">au nom de la CITEL, </w:t>
      </w:r>
      <w:r w:rsidR="007164AD" w:rsidRPr="003019B2">
        <w:t xml:space="preserve">de la </w:t>
      </w:r>
      <w:r w:rsidRPr="003019B2">
        <w:rPr>
          <w:b/>
          <w:bCs/>
        </w:rPr>
        <w:t>Chine</w:t>
      </w:r>
      <w:r w:rsidRPr="003019B2">
        <w:t>,</w:t>
      </w:r>
      <w:r w:rsidRPr="003019B2">
        <w:rPr>
          <w:b/>
          <w:bCs/>
        </w:rPr>
        <w:t xml:space="preserve"> </w:t>
      </w:r>
      <w:r w:rsidR="007164AD" w:rsidRPr="003019B2">
        <w:t>d</w:t>
      </w:r>
      <w:r w:rsidR="001F5A8D" w:rsidRPr="003019B2">
        <w:t>e</w:t>
      </w:r>
      <w:r w:rsidR="007164AD" w:rsidRPr="003019B2">
        <w:t xml:space="preserve"> la</w:t>
      </w:r>
      <w:r w:rsidR="007164AD" w:rsidRPr="003019B2">
        <w:rPr>
          <w:b/>
          <w:bCs/>
        </w:rPr>
        <w:t xml:space="preserve"> T</w:t>
      </w:r>
      <w:r w:rsidRPr="003019B2">
        <w:rPr>
          <w:b/>
          <w:bCs/>
        </w:rPr>
        <w:t>unisie</w:t>
      </w:r>
      <w:r w:rsidRPr="003019B2">
        <w:t>,</w:t>
      </w:r>
      <w:r w:rsidRPr="003019B2">
        <w:rPr>
          <w:b/>
          <w:bCs/>
        </w:rPr>
        <w:t xml:space="preserve"> </w:t>
      </w:r>
      <w:r w:rsidR="007164AD" w:rsidRPr="003019B2">
        <w:t>du</w:t>
      </w:r>
      <w:r w:rsidR="007164AD" w:rsidRPr="003019B2">
        <w:rPr>
          <w:b/>
          <w:bCs/>
        </w:rPr>
        <w:t xml:space="preserve"> J</w:t>
      </w:r>
      <w:r w:rsidRPr="003019B2">
        <w:rPr>
          <w:b/>
          <w:bCs/>
        </w:rPr>
        <w:t>apon</w:t>
      </w:r>
      <w:r w:rsidRPr="003019B2">
        <w:t xml:space="preserve">, </w:t>
      </w:r>
      <w:r w:rsidR="007164AD" w:rsidRPr="003019B2">
        <w:t>de l'</w:t>
      </w:r>
      <w:r w:rsidRPr="003019B2">
        <w:rPr>
          <w:b/>
          <w:bCs/>
        </w:rPr>
        <w:t xml:space="preserve">Arabie </w:t>
      </w:r>
      <w:r w:rsidR="001B5F93" w:rsidRPr="003019B2">
        <w:rPr>
          <w:b/>
          <w:bCs/>
        </w:rPr>
        <w:t>s</w:t>
      </w:r>
      <w:r w:rsidRPr="003019B2">
        <w:rPr>
          <w:b/>
          <w:bCs/>
        </w:rPr>
        <w:t>aoudite</w:t>
      </w:r>
      <w:r w:rsidRPr="003019B2">
        <w:t xml:space="preserve"> et </w:t>
      </w:r>
      <w:r w:rsidR="007164AD" w:rsidRPr="003019B2">
        <w:t xml:space="preserve">du </w:t>
      </w:r>
      <w:r w:rsidRPr="003019B2">
        <w:rPr>
          <w:b/>
        </w:rPr>
        <w:t xml:space="preserve">Samoa </w:t>
      </w:r>
      <w:r w:rsidR="001F5A8D" w:rsidRPr="003019B2">
        <w:t>remercient</w:t>
      </w:r>
      <w:r w:rsidRPr="003019B2">
        <w:t xml:space="preserve"> le </w:t>
      </w:r>
      <w:r w:rsidR="001B5F93" w:rsidRPr="003019B2">
        <w:t>G</w:t>
      </w:r>
      <w:r w:rsidRPr="003019B2">
        <w:t>ouvernement de l'Inde pour s</w:t>
      </w:r>
      <w:r w:rsidR="001F5A8D" w:rsidRPr="003019B2">
        <w:t>on aimable</w:t>
      </w:r>
      <w:r w:rsidRPr="003019B2">
        <w:t xml:space="preserve"> proposition.</w:t>
      </w:r>
    </w:p>
    <w:p w14:paraId="6A7340D5" w14:textId="755F617D" w:rsidR="00CA7A0F" w:rsidRPr="003019B2" w:rsidRDefault="003F5140" w:rsidP="007164AD">
      <w:r w:rsidRPr="003019B2">
        <w:t>1.3</w:t>
      </w:r>
      <w:r w:rsidR="001B5F93" w:rsidRPr="003019B2">
        <w:tab/>
      </w:r>
      <w:r w:rsidRPr="003019B2">
        <w:t xml:space="preserve">Le </w:t>
      </w:r>
      <w:r w:rsidRPr="003019B2">
        <w:rPr>
          <w:b/>
        </w:rPr>
        <w:t>Président</w:t>
      </w:r>
      <w:r w:rsidRPr="003019B2">
        <w:t xml:space="preserve"> dit qu'il croit comprendre que la </w:t>
      </w:r>
      <w:r w:rsidR="001B5F93" w:rsidRPr="003019B2">
        <w:t>P</w:t>
      </w:r>
      <w:r w:rsidRPr="003019B2">
        <w:t>lénière approuve la proposition visant à tenir l</w:t>
      </w:r>
      <w:r w:rsidR="00DD6443" w:rsidRPr="003019B2">
        <w:t>'AMNT-24 à Hyderabad (Inde) en 2024</w:t>
      </w:r>
      <w:r w:rsidR="001B5F93" w:rsidRPr="003019B2">
        <w:t xml:space="preserve"> </w:t>
      </w:r>
      <w:r w:rsidRPr="003019B2">
        <w:t>et que la révision de la Résolution 77 (Rév. Dubaï, 2018) tiendra compte de cette approbation.</w:t>
      </w:r>
    </w:p>
    <w:p w14:paraId="628B1DA5" w14:textId="73A1BC51" w:rsidR="00CA7A0F" w:rsidRPr="003019B2" w:rsidRDefault="003F5140" w:rsidP="007164AD">
      <w:r w:rsidRPr="003019B2">
        <w:t>1.4</w:t>
      </w:r>
      <w:r w:rsidR="001B5F93" w:rsidRPr="003019B2">
        <w:tab/>
      </w:r>
      <w:r w:rsidRPr="003019B2">
        <w:t xml:space="preserve">Il en est </w:t>
      </w:r>
      <w:r w:rsidRPr="003019B2">
        <w:rPr>
          <w:b/>
        </w:rPr>
        <w:t>ainsi décidé</w:t>
      </w:r>
      <w:r w:rsidRPr="003019B2">
        <w:t>.</w:t>
      </w:r>
    </w:p>
    <w:p w14:paraId="0DFD1CDC" w14:textId="688DE060" w:rsidR="00CA7A0F" w:rsidRPr="003019B2" w:rsidRDefault="003F5140" w:rsidP="007164AD">
      <w:r w:rsidRPr="003019B2">
        <w:t>1.5</w:t>
      </w:r>
      <w:r w:rsidR="00BE0CD3" w:rsidRPr="003019B2">
        <w:tab/>
      </w:r>
      <w:r w:rsidRPr="003019B2">
        <w:t xml:space="preserve">Le délégué de </w:t>
      </w:r>
      <w:r w:rsidR="00FD1687" w:rsidRPr="003019B2">
        <w:t>l'</w:t>
      </w:r>
      <w:r w:rsidRPr="003019B2">
        <w:rPr>
          <w:b/>
          <w:bCs/>
        </w:rPr>
        <w:t xml:space="preserve">Inde </w:t>
      </w:r>
      <w:r w:rsidR="00BE0CD3" w:rsidRPr="003019B2">
        <w:t>remercie</w:t>
      </w:r>
      <w:r w:rsidRPr="003019B2">
        <w:t xml:space="preserve"> les États </w:t>
      </w:r>
      <w:r w:rsidR="00DD6443" w:rsidRPr="003019B2">
        <w:t>M</w:t>
      </w:r>
      <w:r w:rsidRPr="003019B2">
        <w:t>embres pour leur soutien à la proposition de son pays</w:t>
      </w:r>
      <w:r w:rsidR="00BE0CD3" w:rsidRPr="003019B2">
        <w:t xml:space="preserve"> et fait observer</w:t>
      </w:r>
      <w:r w:rsidRPr="003019B2">
        <w:t xml:space="preserve"> que l'Inde n'a pas </w:t>
      </w:r>
      <w:r w:rsidR="001B5F93" w:rsidRPr="003019B2">
        <w:t>été en mesure d'</w:t>
      </w:r>
      <w:r w:rsidRPr="003019B2">
        <w:t>accueillir l'AMNT-20 en raison de la pandémie de COVID-19. L'AMNT-24 sera u</w:t>
      </w:r>
      <w:r w:rsidR="00BE0CD3" w:rsidRPr="003019B2">
        <w:t>ne manifestation exceptionnelle, qui offrira</w:t>
      </w:r>
      <w:r w:rsidRPr="003019B2">
        <w:t xml:space="preserve"> aux participants l'occasion d</w:t>
      </w:r>
      <w:r w:rsidR="00BE0CD3" w:rsidRPr="003019B2">
        <w:t xml:space="preserve">'examiner </w:t>
      </w:r>
      <w:r w:rsidRPr="003019B2">
        <w:t xml:space="preserve">de sujets importants tels que les écosystèmes et l'interopérabilité, </w:t>
      </w:r>
      <w:r w:rsidR="00BE0CD3" w:rsidRPr="003019B2">
        <w:t>et de découvrir ce que l'Inde a de meilleur à offrir en termes de cuisine</w:t>
      </w:r>
      <w:r w:rsidRPr="003019B2">
        <w:t xml:space="preserve">, de culture et </w:t>
      </w:r>
      <w:r w:rsidR="00BE0CD3" w:rsidRPr="003019B2">
        <w:t>de</w:t>
      </w:r>
      <w:r w:rsidRPr="003019B2">
        <w:t xml:space="preserve"> patrimoine. Il se réjouit d'accueillir les délégués en Inde en 2024.</w:t>
      </w:r>
    </w:p>
    <w:p w14:paraId="4248D633" w14:textId="2C8634E2" w:rsidR="00CA7A0F" w:rsidRPr="003019B2" w:rsidRDefault="003F5140" w:rsidP="007164AD">
      <w:r w:rsidRPr="003019B2">
        <w:t>1.6</w:t>
      </w:r>
      <w:r w:rsidR="00BE0CD3" w:rsidRPr="003019B2">
        <w:tab/>
      </w:r>
      <w:r w:rsidRPr="003019B2">
        <w:t xml:space="preserve">Le </w:t>
      </w:r>
      <w:r w:rsidRPr="003019B2">
        <w:rPr>
          <w:b/>
          <w:bCs/>
        </w:rPr>
        <w:t>Secrétaire général</w:t>
      </w:r>
      <w:r w:rsidRPr="003019B2">
        <w:t xml:space="preserve"> </w:t>
      </w:r>
      <w:r w:rsidR="00FD1687" w:rsidRPr="003019B2">
        <w:t xml:space="preserve">remercie </w:t>
      </w:r>
      <w:r w:rsidRPr="003019B2">
        <w:t>l'Inde pour s</w:t>
      </w:r>
      <w:r w:rsidR="00FD1687" w:rsidRPr="003019B2">
        <w:t>a proposition en vue</w:t>
      </w:r>
      <w:r w:rsidRPr="003019B2">
        <w:t xml:space="preserve"> d'accueillir l'AMNT-24 et </w:t>
      </w:r>
      <w:r w:rsidR="00FD1687" w:rsidRPr="003019B2">
        <w:t>se</w:t>
      </w:r>
      <w:r w:rsidRPr="003019B2">
        <w:t xml:space="preserve"> félicit</w:t>
      </w:r>
      <w:r w:rsidR="00FD1687" w:rsidRPr="003019B2">
        <w:t>e</w:t>
      </w:r>
      <w:r w:rsidRPr="003019B2">
        <w:t xml:space="preserve"> d</w:t>
      </w:r>
      <w:r w:rsidR="00FD1687" w:rsidRPr="003019B2">
        <w:t xml:space="preserve">e l'appui </w:t>
      </w:r>
      <w:r w:rsidRPr="003019B2">
        <w:t xml:space="preserve">unanime </w:t>
      </w:r>
      <w:r w:rsidR="001B5F93" w:rsidRPr="003019B2">
        <w:t>exprimé par</w:t>
      </w:r>
      <w:r w:rsidRPr="003019B2">
        <w:t xml:space="preserve"> la </w:t>
      </w:r>
      <w:r w:rsidR="001B5F93" w:rsidRPr="003019B2">
        <w:t>P</w:t>
      </w:r>
      <w:r w:rsidRPr="003019B2">
        <w:t xml:space="preserve">lénière à cette proposition. </w:t>
      </w:r>
      <w:r w:rsidR="00FD1687" w:rsidRPr="003019B2">
        <w:t>Bien qu'il n'ait</w:t>
      </w:r>
      <w:r w:rsidRPr="003019B2">
        <w:t xml:space="preserve"> malheureusement pas été possible de tenir </w:t>
      </w:r>
      <w:r w:rsidR="00FD1687" w:rsidRPr="003019B2">
        <w:t>l'AMNT</w:t>
      </w:r>
      <w:r w:rsidRPr="003019B2">
        <w:t xml:space="preserve"> en Inde en 2020, </w:t>
      </w:r>
      <w:r w:rsidR="00FD1687" w:rsidRPr="003019B2">
        <w:t>le Secrétaire général dit avoir ga</w:t>
      </w:r>
      <w:r w:rsidRPr="003019B2">
        <w:t>rdé un excellent souvenir de la cinquième Conférence mondiale de développement des télécommunications (CMDT-10)</w:t>
      </w:r>
      <w:r w:rsidR="00FD1687" w:rsidRPr="003019B2">
        <w:t>, tenue</w:t>
      </w:r>
      <w:r w:rsidRPr="003019B2">
        <w:t xml:space="preserve"> à Hyderabad. Il </w:t>
      </w:r>
      <w:r w:rsidR="00FD1687" w:rsidRPr="003019B2">
        <w:t>fait observer</w:t>
      </w:r>
      <w:r w:rsidRPr="003019B2">
        <w:t xml:space="preserve"> que les travaux de coordination avec les pays hôtes concernant l'organisation des prochaines manifestations de l'UIT, notamment l'AMNT-24, la CMDT-25 et la PP-26, </w:t>
      </w:r>
      <w:r w:rsidR="001B5F93" w:rsidRPr="003019B2">
        <w:t>débuteront</w:t>
      </w:r>
      <w:r w:rsidRPr="003019B2">
        <w:t xml:space="preserve"> prochainement. Un rapport sera ensuite soumis au Conseil, en vue de </w:t>
      </w:r>
      <w:r w:rsidR="00FD1687" w:rsidRPr="003019B2">
        <w:t>parachever</w:t>
      </w:r>
      <w:r w:rsidRPr="003019B2">
        <w:t xml:space="preserve"> le processus.</w:t>
      </w:r>
    </w:p>
    <w:p w14:paraId="7F4E37CB" w14:textId="71A6A5AE" w:rsidR="00CA7A0F" w:rsidRPr="003019B2" w:rsidRDefault="003F5140" w:rsidP="007164AD">
      <w:pPr>
        <w:pStyle w:val="Heading1"/>
      </w:pPr>
      <w:r w:rsidRPr="003019B2">
        <w:t>2</w:t>
      </w:r>
      <w:r w:rsidR="00FD1687" w:rsidRPr="003019B2">
        <w:tab/>
      </w:r>
      <w:r w:rsidRPr="003019B2">
        <w:t xml:space="preserve">Dix-neuvième série de textes soumis par la Commission de rédaction en première lecture (B19) (Document </w:t>
      </w:r>
      <w:hyperlink r:id="rId18" w:history="1">
        <w:r w:rsidRPr="003019B2">
          <w:rPr>
            <w:rStyle w:val="Hyperlink"/>
            <w:bCs/>
          </w:rPr>
          <w:t>175</w:t>
        </w:r>
      </w:hyperlink>
      <w:r w:rsidRPr="003019B2">
        <w:t>)</w:t>
      </w:r>
    </w:p>
    <w:p w14:paraId="76BF5BB5" w14:textId="7E9DED1A" w:rsidR="00CA7A0F" w:rsidRPr="003019B2" w:rsidRDefault="003F5140" w:rsidP="007164AD">
      <w:pPr>
        <w:pStyle w:val="Headingb"/>
        <w:tabs>
          <w:tab w:val="clear" w:pos="567"/>
        </w:tabs>
        <w:ind w:left="0" w:firstLine="0"/>
      </w:pPr>
      <w:r w:rsidRPr="003019B2">
        <w:t xml:space="preserve">Projet de Résolution 48 (Rév. Bucarest, 2022) </w:t>
      </w:r>
      <w:r w:rsidR="00E244FC" w:rsidRPr="003019B2">
        <w:t>–</w:t>
      </w:r>
      <w:r w:rsidRPr="003019B2">
        <w:t xml:space="preserve"> </w:t>
      </w:r>
      <w:bookmarkStart w:id="7" w:name="_Toc165351408"/>
      <w:bookmarkStart w:id="8" w:name="_Toc407016197"/>
      <w:r w:rsidRPr="003019B2">
        <w:t>Gestion et développement des ressources humaines</w:t>
      </w:r>
      <w:bookmarkEnd w:id="7"/>
      <w:bookmarkEnd w:id="8"/>
    </w:p>
    <w:p w14:paraId="262E1D6D" w14:textId="447EB7D0" w:rsidR="00CA7A0F" w:rsidRPr="003019B2" w:rsidRDefault="003F5140" w:rsidP="007164AD">
      <w:pPr>
        <w:pStyle w:val="Headingb"/>
        <w:tabs>
          <w:tab w:val="clear" w:pos="567"/>
        </w:tabs>
        <w:ind w:left="0" w:firstLine="0"/>
      </w:pPr>
      <w:r w:rsidRPr="003019B2">
        <w:t xml:space="preserve">Projet de Résolution 162 (Rév. Bucarest, 2022) </w:t>
      </w:r>
      <w:r w:rsidR="00E244FC" w:rsidRPr="003019B2">
        <w:t>–</w:t>
      </w:r>
      <w:r w:rsidRPr="003019B2">
        <w:t xml:space="preserve"> </w:t>
      </w:r>
      <w:bookmarkStart w:id="9" w:name="_Toc407016259"/>
      <w:r w:rsidRPr="003019B2">
        <w:t>Comité consultatif indépendant pour les questions de gestion</w:t>
      </w:r>
      <w:bookmarkEnd w:id="9"/>
    </w:p>
    <w:p w14:paraId="522B9D03" w14:textId="4C24AC9A" w:rsidR="00CA7A0F" w:rsidRPr="003019B2" w:rsidRDefault="003F5140" w:rsidP="007164AD">
      <w:r w:rsidRPr="003019B2">
        <w:rPr>
          <w:bCs/>
        </w:rPr>
        <w:t>2.1</w:t>
      </w:r>
      <w:r w:rsidR="009C237A" w:rsidRPr="003019B2">
        <w:rPr>
          <w:b/>
          <w:bCs/>
        </w:rPr>
        <w:tab/>
      </w:r>
      <w:r w:rsidR="00FD1687" w:rsidRPr="003019B2">
        <w:rPr>
          <w:b/>
          <w:bCs/>
        </w:rPr>
        <w:t>A</w:t>
      </w:r>
      <w:r w:rsidRPr="003019B2">
        <w:rPr>
          <w:b/>
          <w:bCs/>
        </w:rPr>
        <w:t>dopté</w:t>
      </w:r>
      <w:r w:rsidR="00FD1687" w:rsidRPr="003019B2">
        <w:rPr>
          <w:b/>
          <w:bCs/>
        </w:rPr>
        <w:t>s</w:t>
      </w:r>
      <w:r w:rsidRPr="003019B2">
        <w:t>.</w:t>
      </w:r>
    </w:p>
    <w:p w14:paraId="6E3361B1" w14:textId="7C07B75F" w:rsidR="00CA7A0F" w:rsidRPr="003019B2" w:rsidRDefault="003F5140" w:rsidP="007164AD">
      <w:r w:rsidRPr="003019B2">
        <w:rPr>
          <w:bCs/>
        </w:rPr>
        <w:t>2.2</w:t>
      </w:r>
      <w:bookmarkStart w:id="10" w:name="lt_pId057"/>
      <w:r w:rsidR="009C237A" w:rsidRPr="003019B2">
        <w:rPr>
          <w:b/>
          <w:bCs/>
        </w:rPr>
        <w:tab/>
      </w:r>
      <w:r w:rsidRPr="003019B2">
        <w:t xml:space="preserve">La dix-neuvième série de textes soumis par la Commission de rédaction en première lecture (B19) (Document 175) est </w:t>
      </w:r>
      <w:r w:rsidRPr="003019B2">
        <w:rPr>
          <w:b/>
          <w:bCs/>
        </w:rPr>
        <w:t>approuvé</w:t>
      </w:r>
      <w:bookmarkEnd w:id="10"/>
      <w:r w:rsidR="00FD1687" w:rsidRPr="003019B2">
        <w:rPr>
          <w:b/>
          <w:bCs/>
        </w:rPr>
        <w:t>e</w:t>
      </w:r>
      <w:r w:rsidRPr="003019B2">
        <w:t>.</w:t>
      </w:r>
    </w:p>
    <w:p w14:paraId="4437A8D4" w14:textId="189541E5" w:rsidR="00CA7A0F" w:rsidRPr="003019B2" w:rsidRDefault="003F5140" w:rsidP="007164AD">
      <w:pPr>
        <w:pStyle w:val="Heading1"/>
      </w:pPr>
      <w:r w:rsidRPr="003019B2">
        <w:lastRenderedPageBreak/>
        <w:t>3</w:t>
      </w:r>
      <w:r w:rsidR="00FD1687" w:rsidRPr="003019B2">
        <w:tab/>
      </w:r>
      <w:r w:rsidRPr="003019B2">
        <w:t xml:space="preserve">Dix-neuvième série de textes soumis par la Commission de rédaction </w:t>
      </w:r>
      <w:r w:rsidR="009C237A" w:rsidRPr="003019B2">
        <w:t>–</w:t>
      </w:r>
      <w:r w:rsidRPr="003019B2">
        <w:t xml:space="preserve"> seconde lecture (Document </w:t>
      </w:r>
      <w:hyperlink r:id="rId19" w:history="1">
        <w:r w:rsidRPr="003019B2">
          <w:rPr>
            <w:rStyle w:val="Hyperlink"/>
            <w:bCs/>
          </w:rPr>
          <w:t>175</w:t>
        </w:r>
      </w:hyperlink>
      <w:r w:rsidRPr="003019B2">
        <w:t>)</w:t>
      </w:r>
    </w:p>
    <w:p w14:paraId="2654ABA7" w14:textId="394CDB77" w:rsidR="00CA7A0F" w:rsidRPr="003019B2" w:rsidRDefault="003F5140" w:rsidP="007164AD">
      <w:r w:rsidRPr="003019B2">
        <w:t>3.1</w:t>
      </w:r>
      <w:r w:rsidR="00FD1687" w:rsidRPr="003019B2">
        <w:tab/>
      </w:r>
      <w:r w:rsidRPr="003019B2">
        <w:t xml:space="preserve">La dix-neuvième série de textes soumis par la Commission de rédaction (Document 175) est </w:t>
      </w:r>
      <w:r w:rsidRPr="003019B2">
        <w:rPr>
          <w:b/>
          <w:bCs/>
        </w:rPr>
        <w:t>approuvé</w:t>
      </w:r>
      <w:r w:rsidR="00FD1687" w:rsidRPr="003019B2">
        <w:rPr>
          <w:b/>
          <w:bCs/>
        </w:rPr>
        <w:t>e</w:t>
      </w:r>
      <w:r w:rsidRPr="003019B2">
        <w:t xml:space="preserve"> en seconde lecture.</w:t>
      </w:r>
    </w:p>
    <w:p w14:paraId="1949E8F5" w14:textId="2189BD7C" w:rsidR="00CA7A0F" w:rsidRPr="003019B2" w:rsidRDefault="003F5140" w:rsidP="007164AD">
      <w:pPr>
        <w:pStyle w:val="Heading1"/>
        <w:keepNext w:val="0"/>
        <w:keepLines w:val="0"/>
      </w:pPr>
      <w:r w:rsidRPr="003019B2">
        <w:t>4</w:t>
      </w:r>
      <w:r w:rsidR="00FD1687" w:rsidRPr="003019B2">
        <w:tab/>
      </w:r>
      <w:r w:rsidRPr="003019B2">
        <w:t xml:space="preserve">Vingtième série de textes soumis par la Commission de rédaction en première lecture (B20) (Document </w:t>
      </w:r>
      <w:hyperlink r:id="rId20" w:history="1">
        <w:r w:rsidRPr="003019B2">
          <w:rPr>
            <w:rStyle w:val="Hyperlink"/>
            <w:bCs/>
          </w:rPr>
          <w:t>179</w:t>
        </w:r>
      </w:hyperlink>
      <w:r w:rsidRPr="003019B2">
        <w:t>)</w:t>
      </w:r>
    </w:p>
    <w:p w14:paraId="437AB6D3" w14:textId="52D19BF1" w:rsidR="00CA7A0F" w:rsidRPr="003019B2" w:rsidRDefault="004D738F" w:rsidP="007164AD">
      <w:pPr>
        <w:pStyle w:val="Headingb"/>
        <w:keepNext w:val="0"/>
        <w:keepLines w:val="0"/>
        <w:ind w:left="0" w:firstLine="0"/>
      </w:pPr>
      <w:r w:rsidRPr="003019B2">
        <w:t xml:space="preserve">Projet de Résolution 186 (Rév. </w:t>
      </w:r>
      <w:r w:rsidR="003F5140" w:rsidRPr="003019B2">
        <w:t xml:space="preserve">Bucarest, 2022) </w:t>
      </w:r>
      <w:r w:rsidR="00E244FC" w:rsidRPr="003019B2">
        <w:t>–</w:t>
      </w:r>
      <w:r w:rsidR="003F5140" w:rsidRPr="003019B2">
        <w:t xml:space="preserve"> </w:t>
      </w:r>
      <w:bookmarkStart w:id="11" w:name="_Toc407016287"/>
      <w:r w:rsidR="003F5140" w:rsidRPr="003019B2">
        <w:t>Renforcement du rôle de l'U</w:t>
      </w:r>
      <w:r w:rsidR="00FD1687" w:rsidRPr="003019B2">
        <w:t>I</w:t>
      </w:r>
      <w:r w:rsidR="003F5140" w:rsidRPr="003019B2">
        <w:t>T en ce qui concerne les mesures de transparence et de confiance relatives aux activités spatiales</w:t>
      </w:r>
      <w:bookmarkEnd w:id="11"/>
    </w:p>
    <w:p w14:paraId="55C4A2DB" w14:textId="3E3712FC" w:rsidR="00CA7A0F" w:rsidRPr="003019B2" w:rsidRDefault="003F5140" w:rsidP="007164AD">
      <w:pPr>
        <w:pStyle w:val="Headingb"/>
        <w:keepNext w:val="0"/>
        <w:keepLines w:val="0"/>
        <w:ind w:left="0" w:firstLine="0"/>
      </w:pPr>
      <w:r w:rsidRPr="003019B2">
        <w:t xml:space="preserve">Projet de Résolution 188 (Rév. Bucarest, 2022) </w:t>
      </w:r>
      <w:r w:rsidR="00E244FC" w:rsidRPr="003019B2">
        <w:t>–</w:t>
      </w:r>
      <w:r w:rsidRPr="003019B2">
        <w:t xml:space="preserve"> </w:t>
      </w:r>
      <w:bookmarkStart w:id="12" w:name="_Toc407016291"/>
      <w:bookmarkStart w:id="13" w:name="_Toc536018004"/>
      <w:r w:rsidRPr="003019B2">
        <w:t>Lutter contre la contrefaçon et l'altération volontaire de dispositifs de télécommunication/fondés sur les technologies de l'information et de la communication</w:t>
      </w:r>
      <w:bookmarkEnd w:id="12"/>
      <w:bookmarkEnd w:id="13"/>
    </w:p>
    <w:p w14:paraId="73A87C1B" w14:textId="700BCA5B" w:rsidR="00CA7A0F" w:rsidRPr="003019B2" w:rsidRDefault="003F5140" w:rsidP="007164AD">
      <w:pPr>
        <w:pStyle w:val="Headingb"/>
        <w:keepNext w:val="0"/>
        <w:keepLines w:val="0"/>
        <w:ind w:left="0" w:firstLine="0"/>
      </w:pPr>
      <w:r w:rsidRPr="003019B2">
        <w:t xml:space="preserve">Projet de Résolution 208 (Rév. Bucarest, 2022) </w:t>
      </w:r>
      <w:r w:rsidR="00E244FC" w:rsidRPr="003019B2">
        <w:t>–</w:t>
      </w:r>
      <w:r w:rsidRPr="003019B2">
        <w:t xml:space="preserve"> </w:t>
      </w:r>
      <w:bookmarkStart w:id="14" w:name="_Toc536018030"/>
      <w:r w:rsidRPr="003019B2">
        <w:t>Nomination et durée maximale du mandat des présidents et des vice-présidents des groupes consultatifs, des commissions d'études et des autres groupes des Secteurs</w:t>
      </w:r>
      <w:bookmarkEnd w:id="14"/>
    </w:p>
    <w:p w14:paraId="21ADFBC4" w14:textId="7DA2AB00" w:rsidR="00CA7A0F" w:rsidRPr="003019B2" w:rsidRDefault="003F5140" w:rsidP="007164AD">
      <w:pPr>
        <w:pStyle w:val="Headingb"/>
        <w:keepNext w:val="0"/>
        <w:keepLines w:val="0"/>
        <w:ind w:left="0" w:firstLine="0"/>
      </w:pPr>
      <w:r w:rsidRPr="003019B2">
        <w:t xml:space="preserve">Projet de nouvelle Résolution COM5/3 </w:t>
      </w:r>
      <w:r w:rsidR="00E244FC" w:rsidRPr="003019B2">
        <w:t>–</w:t>
      </w:r>
      <w:r w:rsidRPr="003019B2">
        <w:t xml:space="preserve"> Rôle de l'</w:t>
      </w:r>
      <w:r w:rsidR="00FD1687" w:rsidRPr="003019B2">
        <w:t>UI</w:t>
      </w:r>
      <w:r w:rsidRPr="003019B2">
        <w:t>T dans la mise en œuvre du programme "Espace</w:t>
      </w:r>
      <w:r w:rsidR="00FD1687" w:rsidRPr="003019B2">
        <w:t xml:space="preserve"> </w:t>
      </w:r>
      <w:r w:rsidRPr="003019B2">
        <w:t>2030</w:t>
      </w:r>
      <w:proofErr w:type="gramStart"/>
      <w:r w:rsidRPr="003019B2">
        <w:t>":</w:t>
      </w:r>
      <w:proofErr w:type="gramEnd"/>
      <w:r w:rsidRPr="003019B2">
        <w:t xml:space="preserve"> l'espace comme moteur de développement durable et dans le processus de suivi et d'examen de ce programme</w:t>
      </w:r>
    </w:p>
    <w:p w14:paraId="2AA04DAB" w14:textId="06EE4390" w:rsidR="00CA7A0F" w:rsidRPr="003019B2" w:rsidRDefault="003F5140" w:rsidP="007164AD">
      <w:pPr>
        <w:pStyle w:val="Headingb"/>
        <w:keepNext w:val="0"/>
        <w:keepLines w:val="0"/>
        <w:ind w:left="0" w:firstLine="0"/>
        <w:rPr>
          <w:bCs/>
        </w:rPr>
      </w:pPr>
      <w:r w:rsidRPr="003019B2">
        <w:t xml:space="preserve">Projet de nouvelle Résolution COM5/4 </w:t>
      </w:r>
      <w:r w:rsidR="00E244FC" w:rsidRPr="003019B2">
        <w:t>–</w:t>
      </w:r>
      <w:r w:rsidRPr="003019B2">
        <w:t xml:space="preserve"> Viabilité des ressources que constituent le spectre des fréquences radioélectriques et les orbites de satellites associées utilisées par les services spatiaux</w:t>
      </w:r>
    </w:p>
    <w:p w14:paraId="62D06D30" w14:textId="72001A4D" w:rsidR="00CA7A0F" w:rsidRPr="003019B2" w:rsidRDefault="003F5140" w:rsidP="007164AD">
      <w:r w:rsidRPr="003019B2">
        <w:rPr>
          <w:bCs/>
        </w:rPr>
        <w:t>4.1</w:t>
      </w:r>
      <w:r w:rsidR="009C237A" w:rsidRPr="003019B2">
        <w:rPr>
          <w:b/>
          <w:bCs/>
        </w:rPr>
        <w:tab/>
      </w:r>
      <w:r w:rsidR="00F543B8" w:rsidRPr="003019B2">
        <w:rPr>
          <w:b/>
          <w:bCs/>
        </w:rPr>
        <w:t>A</w:t>
      </w:r>
      <w:r w:rsidRPr="003019B2">
        <w:rPr>
          <w:b/>
          <w:bCs/>
        </w:rPr>
        <w:t>dopté</w:t>
      </w:r>
      <w:r w:rsidR="00F543B8" w:rsidRPr="003019B2">
        <w:rPr>
          <w:b/>
          <w:bCs/>
        </w:rPr>
        <w:t>s</w:t>
      </w:r>
      <w:r w:rsidRPr="003019B2">
        <w:t>.</w:t>
      </w:r>
    </w:p>
    <w:p w14:paraId="70F9C2FF" w14:textId="7A477D77" w:rsidR="00CA7A0F" w:rsidRPr="003019B2" w:rsidRDefault="003F5140" w:rsidP="007164AD">
      <w:r w:rsidRPr="003019B2">
        <w:rPr>
          <w:bCs/>
        </w:rPr>
        <w:t>4.2</w:t>
      </w:r>
      <w:r w:rsidR="009C237A" w:rsidRPr="003019B2">
        <w:rPr>
          <w:bCs/>
        </w:rPr>
        <w:tab/>
      </w:r>
      <w:r w:rsidR="00F543B8" w:rsidRPr="003019B2">
        <w:t>Les</w:t>
      </w:r>
      <w:r w:rsidRPr="003019B2">
        <w:rPr>
          <w:b/>
          <w:bCs/>
        </w:rPr>
        <w:t xml:space="preserve"> délégués du Brésil</w:t>
      </w:r>
      <w:r w:rsidRPr="003019B2">
        <w:t xml:space="preserve"> et</w:t>
      </w:r>
      <w:r w:rsidR="00F543B8" w:rsidRPr="003019B2">
        <w:t xml:space="preserve"> du</w:t>
      </w:r>
      <w:r w:rsidRPr="003019B2">
        <w:t xml:space="preserve"> </w:t>
      </w:r>
      <w:r w:rsidRPr="003019B2">
        <w:rPr>
          <w:b/>
          <w:bCs/>
        </w:rPr>
        <w:t>Samoa</w:t>
      </w:r>
      <w:r w:rsidRPr="003019B2">
        <w:t xml:space="preserve"> </w:t>
      </w:r>
      <w:r w:rsidR="00F543B8" w:rsidRPr="003019B2">
        <w:t>saluent</w:t>
      </w:r>
      <w:r w:rsidRPr="003019B2">
        <w:t xml:space="preserve"> l'adoption de la nouvelle Résolution COM5/4 et </w:t>
      </w:r>
      <w:r w:rsidR="00F543B8" w:rsidRPr="003019B2">
        <w:t>attendent avec intérêt de</w:t>
      </w:r>
      <w:r w:rsidRPr="003019B2">
        <w:t xml:space="preserve"> </w:t>
      </w:r>
      <w:r w:rsidR="00F543B8" w:rsidRPr="003019B2">
        <w:t>collaborer d</w:t>
      </w:r>
      <w:r w:rsidRPr="003019B2">
        <w:t xml:space="preserve">e manière constructive avec d'autres </w:t>
      </w:r>
      <w:r w:rsidR="00F543B8" w:rsidRPr="003019B2">
        <w:t xml:space="preserve">acteurs </w:t>
      </w:r>
      <w:r w:rsidRPr="003019B2">
        <w:t xml:space="preserve">pour traiter la question de la viabilité des services spatiaux dans les instances appropriées. La nouvelle résolution </w:t>
      </w:r>
      <w:r w:rsidR="00F543B8" w:rsidRPr="003019B2">
        <w:t>est le fruit d'</w:t>
      </w:r>
      <w:r w:rsidRPr="003019B2">
        <w:t xml:space="preserve">un compromis de haut </w:t>
      </w:r>
      <w:proofErr w:type="gramStart"/>
      <w:r w:rsidRPr="003019B2">
        <w:t>niveau;</w:t>
      </w:r>
      <w:proofErr w:type="gramEnd"/>
      <w:r w:rsidRPr="003019B2">
        <w:t xml:space="preserve"> ce n'est toutefois qu'un premier pas vers une utilisation rationnelle, efficace et économique des fréquences et des orbites associées par les systèmes </w:t>
      </w:r>
      <w:r w:rsidR="00F543B8" w:rsidRPr="003019B2">
        <w:t>par satellite</w:t>
      </w:r>
      <w:r w:rsidRPr="003019B2">
        <w:t xml:space="preserve">, </w:t>
      </w:r>
      <w:r w:rsidR="00F543B8" w:rsidRPr="003019B2">
        <w:t>et vers</w:t>
      </w:r>
      <w:r w:rsidRPr="003019B2">
        <w:t xml:space="preserve"> un accès équitable à ces fréquences et orbites. D'autres préoccupations qui ne relèvent pas d</w:t>
      </w:r>
      <w:r w:rsidR="001B5F93" w:rsidRPr="003019B2">
        <w:t>u champ d'application des</w:t>
      </w:r>
      <w:r w:rsidRPr="003019B2">
        <w:t xml:space="preserve"> travaux de l'UIT, telles que </w:t>
      </w:r>
      <w:r w:rsidR="00F543B8" w:rsidRPr="003019B2">
        <w:t>les incidences</w:t>
      </w:r>
      <w:r w:rsidRPr="003019B2">
        <w:t xml:space="preserve"> environnemental</w:t>
      </w:r>
      <w:r w:rsidR="00F543B8" w:rsidRPr="003019B2">
        <w:t>es</w:t>
      </w:r>
      <w:r w:rsidRPr="003019B2">
        <w:t xml:space="preserve"> et économique</w:t>
      </w:r>
      <w:r w:rsidR="00236293" w:rsidRPr="003019B2">
        <w:t>s</w:t>
      </w:r>
      <w:r w:rsidRPr="003019B2">
        <w:t>, la pollution visuelle, la sécurité dans l'espace, la croissance exponentielle des débris et les risques de collision, doivent être traitées dans les instances appropriées.</w:t>
      </w:r>
    </w:p>
    <w:p w14:paraId="38BA9471" w14:textId="18BE41AF" w:rsidR="00CA7A0F" w:rsidRPr="003019B2" w:rsidRDefault="003F5140" w:rsidP="007164AD">
      <w:r w:rsidRPr="003019B2">
        <w:t>4.3</w:t>
      </w:r>
      <w:r w:rsidR="001B5F93" w:rsidRPr="003019B2">
        <w:tab/>
      </w:r>
      <w:r w:rsidRPr="003019B2">
        <w:t xml:space="preserve">Le </w:t>
      </w:r>
      <w:r w:rsidRPr="003019B2">
        <w:rPr>
          <w:b/>
          <w:bCs/>
        </w:rPr>
        <w:t xml:space="preserve">délégué de la République islamique d'Iran </w:t>
      </w:r>
      <w:r w:rsidR="00F543B8" w:rsidRPr="003019B2">
        <w:t>se félicite</w:t>
      </w:r>
      <w:r w:rsidRPr="003019B2">
        <w:t xml:space="preserve"> de l'adoption de la résolution et salu</w:t>
      </w:r>
      <w:r w:rsidR="00F543B8" w:rsidRPr="003019B2">
        <w:t>e</w:t>
      </w:r>
      <w:r w:rsidRPr="003019B2">
        <w:t xml:space="preserve"> le travail </w:t>
      </w:r>
      <w:r w:rsidR="00F543B8" w:rsidRPr="003019B2">
        <w:t>effectué par</w:t>
      </w:r>
      <w:r w:rsidRPr="003019B2">
        <w:t xml:space="preserve"> la délégation </w:t>
      </w:r>
      <w:r w:rsidR="00F543B8" w:rsidRPr="003019B2">
        <w:t>du Brésil</w:t>
      </w:r>
      <w:r w:rsidRPr="003019B2">
        <w:t xml:space="preserve">, </w:t>
      </w:r>
      <w:r w:rsidR="001B5F93" w:rsidRPr="003019B2">
        <w:t xml:space="preserve">constituée notamment de </w:t>
      </w:r>
      <w:r w:rsidRPr="003019B2">
        <w:t xml:space="preserve">nombreux jeunes membres dont la contribution </w:t>
      </w:r>
      <w:r w:rsidR="00F543B8" w:rsidRPr="003019B2">
        <w:t>importante aux discussions concernant</w:t>
      </w:r>
      <w:r w:rsidRPr="003019B2">
        <w:t xml:space="preserve"> la résolution témoig</w:t>
      </w:r>
      <w:r w:rsidR="00F543B8" w:rsidRPr="003019B2">
        <w:t>ne</w:t>
      </w:r>
      <w:r w:rsidRPr="003019B2">
        <w:t xml:space="preserve"> de l'intérêt d'associer les jeunes aux travaux de la conférence.</w:t>
      </w:r>
    </w:p>
    <w:p w14:paraId="68DD8ACA" w14:textId="25AA1943" w:rsidR="00CA7A0F" w:rsidRPr="003019B2" w:rsidRDefault="003F5140" w:rsidP="007164AD">
      <w:r w:rsidRPr="003019B2">
        <w:t>4.4</w:t>
      </w:r>
      <w:r w:rsidR="001B5F93" w:rsidRPr="003019B2">
        <w:tab/>
      </w:r>
      <w:r w:rsidRPr="003019B2">
        <w:t xml:space="preserve">Le </w:t>
      </w:r>
      <w:r w:rsidRPr="003019B2">
        <w:rPr>
          <w:b/>
          <w:bCs/>
        </w:rPr>
        <w:t>délégué d</w:t>
      </w:r>
      <w:r w:rsidR="00F543B8" w:rsidRPr="003019B2">
        <w:rPr>
          <w:b/>
          <w:bCs/>
        </w:rPr>
        <w:t>u</w:t>
      </w:r>
      <w:r w:rsidRPr="003019B2">
        <w:t xml:space="preserve"> </w:t>
      </w:r>
      <w:r w:rsidRPr="003019B2">
        <w:rPr>
          <w:b/>
          <w:bCs/>
        </w:rPr>
        <w:t>Viet Nam</w:t>
      </w:r>
      <w:r w:rsidRPr="003019B2">
        <w:t xml:space="preserve"> </w:t>
      </w:r>
      <w:r w:rsidR="00F543B8" w:rsidRPr="003019B2">
        <w:t xml:space="preserve">souligne </w:t>
      </w:r>
      <w:r w:rsidRPr="003019B2">
        <w:t xml:space="preserve">l'importance de la nouvelle Résolution COM5/4, </w:t>
      </w:r>
      <w:r w:rsidR="00EB1372" w:rsidRPr="003019B2">
        <w:t xml:space="preserve">en particulier </w:t>
      </w:r>
      <w:r w:rsidRPr="003019B2">
        <w:t xml:space="preserve">compte tenu du nombre croissant de </w:t>
      </w:r>
      <w:r w:rsidR="00EB1372" w:rsidRPr="003019B2">
        <w:t xml:space="preserve">fiches de </w:t>
      </w:r>
      <w:r w:rsidRPr="003019B2">
        <w:t>notification</w:t>
      </w:r>
      <w:r w:rsidR="00EB1372" w:rsidRPr="003019B2">
        <w:t xml:space="preserve"> </w:t>
      </w:r>
      <w:r w:rsidRPr="003019B2">
        <w:t>de systèmes non OSG reçues par l'UIT</w:t>
      </w:r>
      <w:r w:rsidR="00EB1372" w:rsidRPr="003019B2">
        <w:t>. Il encourage</w:t>
      </w:r>
      <w:r w:rsidRPr="003019B2">
        <w:t xml:space="preserve"> le Bureau des radiocommunications à poursuivre ses efforts </w:t>
      </w:r>
      <w:r w:rsidR="00EB1372" w:rsidRPr="003019B2">
        <w:t xml:space="preserve">visant à </w:t>
      </w:r>
      <w:r w:rsidRPr="003019B2">
        <w:t>améliorer le logiciel utilisé pour évaluer les</w:t>
      </w:r>
      <w:r w:rsidR="00EB1372" w:rsidRPr="003019B2">
        <w:t xml:space="preserve"> fiches de</w:t>
      </w:r>
      <w:r w:rsidRPr="003019B2">
        <w:t xml:space="preserve"> notification</w:t>
      </w:r>
      <w:r w:rsidR="00EB1372" w:rsidRPr="003019B2">
        <w:t xml:space="preserve"> </w:t>
      </w:r>
      <w:r w:rsidRPr="003019B2">
        <w:t>de systèmes.</w:t>
      </w:r>
    </w:p>
    <w:p w14:paraId="16225C20" w14:textId="7191BDF6" w:rsidR="00CA7A0F" w:rsidRPr="003019B2" w:rsidRDefault="003F5140" w:rsidP="007164AD">
      <w:r w:rsidRPr="003019B2">
        <w:lastRenderedPageBreak/>
        <w:t>4.5</w:t>
      </w:r>
      <w:r w:rsidRPr="003019B2">
        <w:tab/>
        <w:t xml:space="preserve">Le </w:t>
      </w:r>
      <w:r w:rsidRPr="003019B2">
        <w:rPr>
          <w:b/>
          <w:bCs/>
        </w:rPr>
        <w:t xml:space="preserve">délégué de l'Indonésie </w:t>
      </w:r>
      <w:r w:rsidR="00EB1372" w:rsidRPr="003019B2">
        <w:t>se félicite également de</w:t>
      </w:r>
      <w:r w:rsidRPr="003019B2">
        <w:rPr>
          <w:b/>
          <w:bCs/>
        </w:rPr>
        <w:t xml:space="preserve"> </w:t>
      </w:r>
      <w:r w:rsidRPr="003019B2">
        <w:t xml:space="preserve">l'adoption de la nouvelle résolution qui, bien qu'elle ne réponde pas à toutes les préoccupations en suspens concernant les systèmes </w:t>
      </w:r>
      <w:r w:rsidR="00EB1372" w:rsidRPr="003019B2">
        <w:t>à satellites</w:t>
      </w:r>
      <w:r w:rsidRPr="003019B2">
        <w:t xml:space="preserve"> non OSG, ouvrira la voie à l'établissement d'un cadre d'accès harmonisé pour les systèmes OSG et non OSG.</w:t>
      </w:r>
    </w:p>
    <w:p w14:paraId="3F34EAF4" w14:textId="63655DB9" w:rsidR="00CA7A0F" w:rsidRPr="003019B2" w:rsidRDefault="003F5140" w:rsidP="007164AD">
      <w:r w:rsidRPr="003019B2">
        <w:rPr>
          <w:bCs/>
        </w:rPr>
        <w:t>4.6</w:t>
      </w:r>
      <w:r w:rsidR="004A5D2F" w:rsidRPr="003019B2">
        <w:rPr>
          <w:b/>
          <w:bCs/>
        </w:rPr>
        <w:tab/>
      </w:r>
      <w:r w:rsidRPr="003019B2">
        <w:t xml:space="preserve">La vingtième série de textes soumis par la Commission de rédaction en première lecture (B20) (Document 179) est </w:t>
      </w:r>
      <w:r w:rsidRPr="003019B2">
        <w:rPr>
          <w:b/>
          <w:bCs/>
        </w:rPr>
        <w:t>approuvé</w:t>
      </w:r>
      <w:r w:rsidR="00EB1372" w:rsidRPr="003019B2">
        <w:rPr>
          <w:b/>
          <w:bCs/>
        </w:rPr>
        <w:t>e</w:t>
      </w:r>
      <w:r w:rsidRPr="003019B2">
        <w:t>.</w:t>
      </w:r>
    </w:p>
    <w:p w14:paraId="6C265660" w14:textId="7E7C111B" w:rsidR="00CA7A0F" w:rsidRPr="003019B2" w:rsidRDefault="003F5140" w:rsidP="007164AD">
      <w:pPr>
        <w:pStyle w:val="Heading1"/>
      </w:pPr>
      <w:r w:rsidRPr="003019B2">
        <w:t>5</w:t>
      </w:r>
      <w:r w:rsidR="00EB1372" w:rsidRPr="003019B2">
        <w:tab/>
      </w:r>
      <w:r w:rsidRPr="003019B2">
        <w:t xml:space="preserve">Vingtième série de textes soumis par la Commission de rédaction </w:t>
      </w:r>
      <w:r w:rsidR="004A5D2F" w:rsidRPr="003019B2">
        <w:t>–</w:t>
      </w:r>
      <w:r w:rsidRPr="003019B2">
        <w:t xml:space="preserve"> seconde lecture (Document </w:t>
      </w:r>
      <w:hyperlink r:id="rId21" w:history="1">
        <w:r w:rsidRPr="003019B2">
          <w:rPr>
            <w:rStyle w:val="Hyperlink"/>
            <w:bCs/>
          </w:rPr>
          <w:t>179</w:t>
        </w:r>
      </w:hyperlink>
      <w:r w:rsidRPr="003019B2">
        <w:t>)</w:t>
      </w:r>
    </w:p>
    <w:p w14:paraId="15CC8282" w14:textId="69C781AF" w:rsidR="00CA7A0F" w:rsidRPr="003019B2" w:rsidRDefault="003F5140" w:rsidP="007164AD">
      <w:r w:rsidRPr="003019B2">
        <w:t>5.1</w:t>
      </w:r>
      <w:r w:rsidR="005205D0" w:rsidRPr="003019B2">
        <w:tab/>
      </w:r>
      <w:r w:rsidRPr="003019B2">
        <w:t xml:space="preserve">La vingtième série de textes soumis par la Commission de rédaction (Document 179) est </w:t>
      </w:r>
      <w:r w:rsidRPr="003019B2">
        <w:rPr>
          <w:b/>
          <w:bCs/>
        </w:rPr>
        <w:t>approuvé</w:t>
      </w:r>
      <w:r w:rsidR="00EB1372" w:rsidRPr="003019B2">
        <w:rPr>
          <w:b/>
          <w:bCs/>
        </w:rPr>
        <w:t>e</w:t>
      </w:r>
      <w:r w:rsidRPr="003019B2">
        <w:t xml:space="preserve"> en seconde lecture.</w:t>
      </w:r>
    </w:p>
    <w:p w14:paraId="61B782C7" w14:textId="1E7DF556" w:rsidR="00CA7A0F" w:rsidRPr="003019B2" w:rsidRDefault="003F5140" w:rsidP="007164AD">
      <w:pPr>
        <w:pStyle w:val="Heading1"/>
      </w:pPr>
      <w:r w:rsidRPr="003019B2">
        <w:t>6</w:t>
      </w:r>
      <w:r w:rsidR="00EB1372" w:rsidRPr="003019B2">
        <w:tab/>
      </w:r>
      <w:r w:rsidRPr="003019B2">
        <w:t xml:space="preserve">Vingt-et-unième série de textes soumis par la Commission de rédaction en première lecture (B21) (Document </w:t>
      </w:r>
      <w:hyperlink r:id="rId22" w:history="1">
        <w:r w:rsidRPr="003019B2">
          <w:rPr>
            <w:rStyle w:val="Hyperlink"/>
            <w:bCs/>
          </w:rPr>
          <w:t>183</w:t>
        </w:r>
      </w:hyperlink>
      <w:r w:rsidRPr="003019B2">
        <w:t>)</w:t>
      </w:r>
    </w:p>
    <w:p w14:paraId="5820E60E" w14:textId="7BE32451" w:rsidR="00CA7A0F" w:rsidRPr="003019B2" w:rsidRDefault="003F5140" w:rsidP="007164AD">
      <w:pPr>
        <w:pStyle w:val="Headingb"/>
        <w:ind w:left="0" w:firstLine="0"/>
      </w:pPr>
      <w:r w:rsidRPr="003019B2">
        <w:t>Projet de Décision 11 (Rév</w:t>
      </w:r>
      <w:r w:rsidR="00EB1372" w:rsidRPr="003019B2">
        <w:t>.</w:t>
      </w:r>
      <w:r w:rsidRPr="003019B2">
        <w:t xml:space="preserve"> Bucarest, 2022) </w:t>
      </w:r>
      <w:r w:rsidR="00E244FC" w:rsidRPr="003019B2">
        <w:t>–</w:t>
      </w:r>
      <w:r w:rsidRPr="003019B2">
        <w:t xml:space="preserve"> </w:t>
      </w:r>
      <w:bookmarkStart w:id="15" w:name="OLE_LINK6"/>
      <w:bookmarkStart w:id="16" w:name="_Toc536017916"/>
      <w:r w:rsidRPr="003019B2">
        <w:t>Création et gestion des groupes de travail du Conseil</w:t>
      </w:r>
      <w:bookmarkEnd w:id="15"/>
      <w:bookmarkEnd w:id="16"/>
    </w:p>
    <w:p w14:paraId="01269828" w14:textId="2C4FD664" w:rsidR="00CA7A0F" w:rsidRPr="003019B2" w:rsidRDefault="003F5140" w:rsidP="007164AD">
      <w:pPr>
        <w:pStyle w:val="Headingb"/>
        <w:ind w:left="0" w:firstLine="0"/>
        <w:rPr>
          <w:bCs/>
        </w:rPr>
      </w:pPr>
      <w:r w:rsidRPr="003019B2">
        <w:t>Projet de Résolution 191 (Rév</w:t>
      </w:r>
      <w:r w:rsidR="00EB1372" w:rsidRPr="003019B2">
        <w:t>.</w:t>
      </w:r>
      <w:r w:rsidRPr="003019B2">
        <w:t xml:space="preserve"> Bucarest, 2022) </w:t>
      </w:r>
      <w:r w:rsidR="00E244FC" w:rsidRPr="003019B2">
        <w:t>–</w:t>
      </w:r>
      <w:r w:rsidRPr="003019B2">
        <w:t xml:space="preserve"> </w:t>
      </w:r>
      <w:bookmarkStart w:id="17" w:name="_Toc407016296"/>
      <w:r w:rsidRPr="003019B2">
        <w:t>Stratégie de coordination des efforts entre les trois Secteurs de l'Union</w:t>
      </w:r>
      <w:bookmarkEnd w:id="17"/>
    </w:p>
    <w:p w14:paraId="40A7EDAE" w14:textId="66A46977" w:rsidR="00CA7A0F" w:rsidRPr="003019B2" w:rsidRDefault="003F5140" w:rsidP="007164AD">
      <w:r w:rsidRPr="003019B2">
        <w:rPr>
          <w:bCs/>
        </w:rPr>
        <w:t>6.1</w:t>
      </w:r>
      <w:r w:rsidR="005205D0" w:rsidRPr="003019B2">
        <w:rPr>
          <w:bCs/>
        </w:rPr>
        <w:tab/>
      </w:r>
      <w:r w:rsidRPr="003019B2">
        <w:rPr>
          <w:b/>
          <w:bCs/>
        </w:rPr>
        <w:t>Adopté</w:t>
      </w:r>
      <w:r w:rsidR="00EB1372" w:rsidRPr="003019B2">
        <w:rPr>
          <w:b/>
          <w:bCs/>
        </w:rPr>
        <w:t>s</w:t>
      </w:r>
      <w:r w:rsidRPr="003019B2">
        <w:t>.</w:t>
      </w:r>
    </w:p>
    <w:p w14:paraId="0555FA11" w14:textId="576AD2ED" w:rsidR="00CA7A0F" w:rsidRPr="003019B2" w:rsidRDefault="003F5140" w:rsidP="007164AD">
      <w:r w:rsidRPr="003019B2">
        <w:t>6.2</w:t>
      </w:r>
      <w:r w:rsidR="005205D0" w:rsidRPr="003019B2">
        <w:tab/>
      </w:r>
      <w:r w:rsidRPr="003019B2">
        <w:t xml:space="preserve">La vingt-et-unième série de textes soumis par la Commission de rédaction en première lecture (B21) (Document 183) est </w:t>
      </w:r>
      <w:r w:rsidRPr="003019B2">
        <w:rPr>
          <w:b/>
          <w:bCs/>
        </w:rPr>
        <w:t>approuvé</w:t>
      </w:r>
      <w:r w:rsidR="00EB1372" w:rsidRPr="003019B2">
        <w:rPr>
          <w:b/>
          <w:bCs/>
        </w:rPr>
        <w:t>e</w:t>
      </w:r>
      <w:r w:rsidRPr="003019B2">
        <w:t>.</w:t>
      </w:r>
    </w:p>
    <w:p w14:paraId="4E67128D" w14:textId="3E832F1F" w:rsidR="00CA7A0F" w:rsidRPr="003019B2" w:rsidRDefault="003F5140" w:rsidP="007164AD">
      <w:pPr>
        <w:pStyle w:val="Heading1"/>
      </w:pPr>
      <w:r w:rsidRPr="003019B2">
        <w:t>7</w:t>
      </w:r>
      <w:r w:rsidR="00EB1372" w:rsidRPr="003019B2">
        <w:tab/>
      </w:r>
      <w:r w:rsidRPr="003019B2">
        <w:t xml:space="preserve">Vingt-et-unième série de textes soumis par la Commission de rédaction </w:t>
      </w:r>
      <w:r w:rsidR="005205D0" w:rsidRPr="003019B2">
        <w:t>–</w:t>
      </w:r>
      <w:r w:rsidRPr="003019B2">
        <w:t xml:space="preserve"> seconde lecture (Document </w:t>
      </w:r>
      <w:hyperlink r:id="rId23" w:history="1">
        <w:r w:rsidRPr="003019B2">
          <w:rPr>
            <w:rStyle w:val="Hyperlink"/>
            <w:bCs/>
          </w:rPr>
          <w:t>183</w:t>
        </w:r>
      </w:hyperlink>
      <w:r w:rsidRPr="003019B2">
        <w:t>)</w:t>
      </w:r>
    </w:p>
    <w:p w14:paraId="633F83C9" w14:textId="0AB36D34" w:rsidR="00CA7A0F" w:rsidRPr="003019B2" w:rsidRDefault="003F5140" w:rsidP="007164AD">
      <w:r w:rsidRPr="003019B2">
        <w:t>7.1</w:t>
      </w:r>
      <w:r w:rsidR="005205D0" w:rsidRPr="003019B2">
        <w:tab/>
      </w:r>
      <w:r w:rsidRPr="003019B2">
        <w:t>La vingt-et-unième série de textes soumis par la Commission de rédaction (Document 183</w:t>
      </w:r>
      <w:r w:rsidR="00EB1372" w:rsidRPr="003019B2">
        <w:t>)</w:t>
      </w:r>
      <w:r w:rsidRPr="003019B2">
        <w:t xml:space="preserve"> est </w:t>
      </w:r>
      <w:r w:rsidRPr="003019B2">
        <w:rPr>
          <w:b/>
          <w:bCs/>
        </w:rPr>
        <w:t>approuvé</w:t>
      </w:r>
      <w:r w:rsidR="00EB1372" w:rsidRPr="003019B2">
        <w:rPr>
          <w:b/>
          <w:bCs/>
        </w:rPr>
        <w:t>e</w:t>
      </w:r>
      <w:r w:rsidRPr="003019B2">
        <w:t xml:space="preserve"> en seconde lecture.</w:t>
      </w:r>
    </w:p>
    <w:p w14:paraId="16AFAAB0" w14:textId="72B066D6" w:rsidR="00CA7A0F" w:rsidRPr="003019B2" w:rsidRDefault="003F5140" w:rsidP="007164AD">
      <w:pPr>
        <w:pStyle w:val="Heading1"/>
      </w:pPr>
      <w:r w:rsidRPr="003019B2">
        <w:t>8</w:t>
      </w:r>
      <w:r w:rsidR="00EB1372" w:rsidRPr="003019B2">
        <w:tab/>
      </w:r>
      <w:r w:rsidRPr="003019B2">
        <w:t xml:space="preserve">Vingt-deuxième série de textes soumis par la Commission de rédaction en première lecture (B22) (Document </w:t>
      </w:r>
      <w:hyperlink r:id="rId24" w:history="1">
        <w:r w:rsidRPr="003019B2">
          <w:rPr>
            <w:rStyle w:val="Hyperlink"/>
            <w:bCs/>
          </w:rPr>
          <w:t>184</w:t>
        </w:r>
      </w:hyperlink>
      <w:r w:rsidRPr="003019B2">
        <w:t>)</w:t>
      </w:r>
    </w:p>
    <w:p w14:paraId="6C33CE4B" w14:textId="2B49C7BB" w:rsidR="00CA7A0F" w:rsidRPr="003019B2" w:rsidRDefault="003F5140" w:rsidP="007164AD">
      <w:pPr>
        <w:pStyle w:val="Headingb"/>
        <w:ind w:left="0" w:firstLine="0"/>
      </w:pPr>
      <w:r w:rsidRPr="003019B2">
        <w:t xml:space="preserve">Projet de Résolution 101 (Rév. Bucarest, 2022) </w:t>
      </w:r>
      <w:r w:rsidR="00E244FC" w:rsidRPr="003019B2">
        <w:t>–</w:t>
      </w:r>
      <w:r w:rsidRPr="003019B2">
        <w:t xml:space="preserve"> </w:t>
      </w:r>
      <w:bookmarkStart w:id="18" w:name="_Toc165351472"/>
      <w:bookmarkStart w:id="19" w:name="_Toc407016215"/>
      <w:r w:rsidRPr="003019B2">
        <w:t>Réseaux fondés sur le protocole Internet</w:t>
      </w:r>
      <w:bookmarkEnd w:id="18"/>
      <w:bookmarkEnd w:id="19"/>
    </w:p>
    <w:p w14:paraId="1A7E0178" w14:textId="74EAC2A5" w:rsidR="00CA7A0F" w:rsidRPr="003019B2" w:rsidRDefault="003F5140" w:rsidP="007164AD">
      <w:pPr>
        <w:pStyle w:val="Headingb"/>
        <w:ind w:left="0" w:firstLine="0"/>
      </w:pPr>
      <w:r w:rsidRPr="003019B2">
        <w:t>Projet de Résolution 133 (Rév</w:t>
      </w:r>
      <w:r w:rsidR="00EB1372" w:rsidRPr="003019B2">
        <w:t>.</w:t>
      </w:r>
      <w:r w:rsidRPr="003019B2">
        <w:t xml:space="preserve"> Bucarest, 2022) </w:t>
      </w:r>
      <w:r w:rsidR="00E244FC" w:rsidRPr="003019B2">
        <w:t>–</w:t>
      </w:r>
      <w:r w:rsidRPr="003019B2">
        <w:t xml:space="preserve"> </w:t>
      </w:r>
      <w:bookmarkStart w:id="20" w:name="_Toc165351510"/>
      <w:bookmarkStart w:id="21" w:name="_Toc407016229"/>
      <w:r w:rsidRPr="003019B2">
        <w:t>Rôle des Administrations des États Membres dans la gestion de noms de domaine (multilingues) internationalisés</w:t>
      </w:r>
      <w:bookmarkEnd w:id="20"/>
      <w:bookmarkEnd w:id="21"/>
    </w:p>
    <w:p w14:paraId="6F0B138F" w14:textId="6D81DAAA" w:rsidR="00CA7A0F" w:rsidRPr="003019B2" w:rsidRDefault="003F5140" w:rsidP="007164AD">
      <w:pPr>
        <w:pStyle w:val="Headingb"/>
        <w:ind w:left="0" w:firstLine="0"/>
        <w:rPr>
          <w:bCs/>
        </w:rPr>
      </w:pPr>
      <w:r w:rsidRPr="003019B2">
        <w:t xml:space="preserve">Projet de nouvelle Résolution WGPL/2 </w:t>
      </w:r>
      <w:r w:rsidR="00E244FC" w:rsidRPr="003019B2">
        <w:t>–</w:t>
      </w:r>
      <w:r w:rsidRPr="003019B2">
        <w:t xml:space="preserve"> Rôle des télécommunications/technologies de l'information et de la communication dans l'atténuation des effets des pandémies mondiales</w:t>
      </w:r>
    </w:p>
    <w:p w14:paraId="16FA5348" w14:textId="3029A556" w:rsidR="00CA7A0F" w:rsidRPr="003019B2" w:rsidRDefault="003F5140" w:rsidP="007164AD">
      <w:r w:rsidRPr="003019B2">
        <w:rPr>
          <w:bCs/>
        </w:rPr>
        <w:t>8.1</w:t>
      </w:r>
      <w:r w:rsidR="005205D0" w:rsidRPr="003019B2">
        <w:rPr>
          <w:b/>
          <w:bCs/>
        </w:rPr>
        <w:tab/>
      </w:r>
      <w:r w:rsidR="00EB1372" w:rsidRPr="003019B2">
        <w:rPr>
          <w:b/>
          <w:bCs/>
        </w:rPr>
        <w:t>Adoptés</w:t>
      </w:r>
      <w:r w:rsidRPr="003019B2">
        <w:t>.</w:t>
      </w:r>
    </w:p>
    <w:p w14:paraId="1C59AE3A" w14:textId="6D158EAA" w:rsidR="00CA7A0F" w:rsidRPr="003019B2" w:rsidRDefault="003F5140" w:rsidP="007164AD">
      <w:r w:rsidRPr="003019B2">
        <w:rPr>
          <w:bCs/>
        </w:rPr>
        <w:t>8.2</w:t>
      </w:r>
      <w:r w:rsidR="005205D0" w:rsidRPr="003019B2">
        <w:rPr>
          <w:b/>
          <w:bCs/>
        </w:rPr>
        <w:tab/>
      </w:r>
      <w:r w:rsidRPr="003019B2">
        <w:t xml:space="preserve">La vingt-deuxième série de textes soumis par la Commission de rédaction en première lecture (B22) (Document 184) est </w:t>
      </w:r>
      <w:r w:rsidRPr="003019B2">
        <w:rPr>
          <w:b/>
          <w:bCs/>
        </w:rPr>
        <w:t>approuvé</w:t>
      </w:r>
      <w:r w:rsidR="00EB1372" w:rsidRPr="003019B2">
        <w:rPr>
          <w:b/>
          <w:bCs/>
        </w:rPr>
        <w:t>e</w:t>
      </w:r>
      <w:r w:rsidRPr="003019B2">
        <w:t>.</w:t>
      </w:r>
    </w:p>
    <w:p w14:paraId="377D9BF8" w14:textId="72F7C9E0" w:rsidR="00CA7A0F" w:rsidRPr="003019B2" w:rsidRDefault="003F5140" w:rsidP="007164AD">
      <w:bookmarkStart w:id="22" w:name="_Hlk117083167"/>
      <w:r w:rsidRPr="003019B2">
        <w:lastRenderedPageBreak/>
        <w:t>8.3</w:t>
      </w:r>
      <w:r w:rsidRPr="003019B2">
        <w:tab/>
        <w:t xml:space="preserve">Le </w:t>
      </w:r>
      <w:r w:rsidRPr="003019B2">
        <w:rPr>
          <w:b/>
          <w:bCs/>
        </w:rPr>
        <w:t>délégué de la République islamique d'Iran</w:t>
      </w:r>
      <w:r w:rsidRPr="003019B2">
        <w:t xml:space="preserve"> </w:t>
      </w:r>
      <w:r w:rsidR="00EB1372" w:rsidRPr="003019B2">
        <w:t>salue</w:t>
      </w:r>
      <w:r w:rsidRPr="003019B2">
        <w:t xml:space="preserve"> le travail accompli sur </w:t>
      </w:r>
      <w:r w:rsidR="00EB1372" w:rsidRPr="003019B2">
        <w:t>cet</w:t>
      </w:r>
      <w:r w:rsidRPr="003019B2">
        <w:t xml:space="preserve"> ensemble de textes </w:t>
      </w:r>
      <w:r w:rsidR="00EB1372" w:rsidRPr="003019B2">
        <w:t>d'une importance centrale, comprenant les R</w:t>
      </w:r>
      <w:r w:rsidRPr="003019B2">
        <w:t>ésolutions 101 (</w:t>
      </w:r>
      <w:r w:rsidR="00EB1372" w:rsidRPr="003019B2">
        <w:t>R</w:t>
      </w:r>
      <w:r w:rsidRPr="003019B2">
        <w:t>év. Bucarest, 2022), 102 (</w:t>
      </w:r>
      <w:r w:rsidR="00EB1372" w:rsidRPr="003019B2">
        <w:t>R</w:t>
      </w:r>
      <w:r w:rsidRPr="003019B2">
        <w:t>év.</w:t>
      </w:r>
      <w:r w:rsidR="002D6EAB" w:rsidRPr="003019B2">
        <w:t> </w:t>
      </w:r>
      <w:r w:rsidRPr="003019B2">
        <w:t>Bucarest, 2022) et 133 (</w:t>
      </w:r>
      <w:r w:rsidR="00EB1372" w:rsidRPr="003019B2">
        <w:t>R</w:t>
      </w:r>
      <w:r w:rsidRPr="003019B2">
        <w:t>év. Bucarest, 2022)</w:t>
      </w:r>
      <w:r w:rsidR="00EB1372" w:rsidRPr="003019B2">
        <w:t xml:space="preserve">, </w:t>
      </w:r>
      <w:r w:rsidRPr="003019B2">
        <w:t xml:space="preserve">en particulier l'excellent travail </w:t>
      </w:r>
      <w:r w:rsidR="00EB1372" w:rsidRPr="003019B2">
        <w:t>effectué par la P</w:t>
      </w:r>
      <w:r w:rsidRPr="003019B2">
        <w:t>résident</w:t>
      </w:r>
      <w:r w:rsidR="00C42E33" w:rsidRPr="003019B2">
        <w:t>e</w:t>
      </w:r>
      <w:r w:rsidRPr="003019B2">
        <w:t xml:space="preserve"> du groupe ad hoc </w:t>
      </w:r>
      <w:r w:rsidR="00EB1372" w:rsidRPr="003019B2">
        <w:t>(</w:t>
      </w:r>
      <w:r w:rsidRPr="003019B2">
        <w:t>Kenya</w:t>
      </w:r>
      <w:r w:rsidR="00EB1372" w:rsidRPr="003019B2">
        <w:t>)</w:t>
      </w:r>
      <w:r w:rsidRPr="003019B2">
        <w:t xml:space="preserve">, qui a illustré la contribution majeure </w:t>
      </w:r>
      <w:r w:rsidR="00EB1372" w:rsidRPr="003019B2">
        <w:t>qu'a apporté</w:t>
      </w:r>
      <w:r w:rsidRPr="003019B2">
        <w:t xml:space="preserve"> l'inclusion des femmes et des jeunes </w:t>
      </w:r>
      <w:r w:rsidR="00EB1372" w:rsidRPr="003019B2">
        <w:t>en vue d'assurer le</w:t>
      </w:r>
      <w:r w:rsidRPr="003019B2">
        <w:t xml:space="preserve"> succès de la conférence.</w:t>
      </w:r>
      <w:bookmarkEnd w:id="22"/>
    </w:p>
    <w:p w14:paraId="68D55C12" w14:textId="7457718C" w:rsidR="00CA7A0F" w:rsidRPr="003019B2" w:rsidRDefault="003F5140" w:rsidP="007164AD">
      <w:pPr>
        <w:pStyle w:val="Heading1"/>
      </w:pPr>
      <w:r w:rsidRPr="003019B2">
        <w:t>9</w:t>
      </w:r>
      <w:r w:rsidR="00EB1372" w:rsidRPr="003019B2">
        <w:tab/>
      </w:r>
      <w:r w:rsidRPr="003019B2">
        <w:t xml:space="preserve">Vingt-deuxième série de textes soumis par la Commission de rédaction </w:t>
      </w:r>
      <w:r w:rsidR="00C96790" w:rsidRPr="003019B2">
        <w:t>–</w:t>
      </w:r>
      <w:r w:rsidRPr="003019B2">
        <w:t xml:space="preserve"> seconde lecture (Document </w:t>
      </w:r>
      <w:hyperlink r:id="rId25" w:history="1">
        <w:r w:rsidRPr="003019B2">
          <w:rPr>
            <w:rStyle w:val="Hyperlink"/>
            <w:bCs/>
          </w:rPr>
          <w:t>184</w:t>
        </w:r>
      </w:hyperlink>
      <w:r w:rsidRPr="003019B2">
        <w:t>)</w:t>
      </w:r>
    </w:p>
    <w:p w14:paraId="5C3A1CB8" w14:textId="370EC786" w:rsidR="00CA7A0F" w:rsidRPr="003019B2" w:rsidRDefault="003F5140" w:rsidP="007164AD">
      <w:r w:rsidRPr="003019B2">
        <w:t>9.1</w:t>
      </w:r>
      <w:r w:rsidR="00C96790" w:rsidRPr="003019B2">
        <w:tab/>
      </w:r>
      <w:r w:rsidRPr="003019B2">
        <w:t xml:space="preserve">La vingt-deuxième série de textes soumis par la Commission de rédaction (Document 184) est </w:t>
      </w:r>
      <w:r w:rsidRPr="003019B2">
        <w:rPr>
          <w:b/>
          <w:bCs/>
        </w:rPr>
        <w:t>approuvé</w:t>
      </w:r>
      <w:r w:rsidR="008C368E" w:rsidRPr="003019B2">
        <w:rPr>
          <w:b/>
          <w:bCs/>
        </w:rPr>
        <w:t>e</w:t>
      </w:r>
      <w:r w:rsidRPr="003019B2">
        <w:t xml:space="preserve"> en seconde lecture.</w:t>
      </w:r>
    </w:p>
    <w:p w14:paraId="3C6C9430" w14:textId="5B46F0A1" w:rsidR="00CA7A0F" w:rsidRPr="003019B2" w:rsidRDefault="003F5140" w:rsidP="007164AD">
      <w:pPr>
        <w:pStyle w:val="Heading1"/>
      </w:pPr>
      <w:r w:rsidRPr="003019B2">
        <w:rPr>
          <w:bCs/>
        </w:rPr>
        <w:t>10</w:t>
      </w:r>
      <w:r w:rsidR="008C368E" w:rsidRPr="003019B2">
        <w:rPr>
          <w:bCs/>
        </w:rPr>
        <w:tab/>
      </w:r>
      <w:r w:rsidRPr="003019B2">
        <w:t>Approbation des procès-verbaux</w:t>
      </w:r>
      <w:r w:rsidRPr="003019B2">
        <w:rPr>
          <w:bCs/>
        </w:rPr>
        <w:t xml:space="preserve"> (Documents </w:t>
      </w:r>
      <w:hyperlink r:id="rId26" w:history="1">
        <w:r w:rsidRPr="003019B2">
          <w:rPr>
            <w:rStyle w:val="Hyperlink"/>
            <w:bCs/>
          </w:rPr>
          <w:t>151</w:t>
        </w:r>
      </w:hyperlink>
      <w:r w:rsidRPr="003019B2">
        <w:rPr>
          <w:bCs/>
        </w:rPr>
        <w:t xml:space="preserve">, </w:t>
      </w:r>
      <w:hyperlink r:id="rId27" w:history="1">
        <w:r w:rsidRPr="003019B2">
          <w:rPr>
            <w:rStyle w:val="Hyperlink"/>
            <w:bCs/>
          </w:rPr>
          <w:t>152</w:t>
        </w:r>
      </w:hyperlink>
      <w:r w:rsidRPr="003019B2">
        <w:rPr>
          <w:bCs/>
        </w:rPr>
        <w:t xml:space="preserve"> et </w:t>
      </w:r>
      <w:hyperlink r:id="rId28" w:history="1">
        <w:r w:rsidRPr="003019B2">
          <w:rPr>
            <w:rStyle w:val="Hyperlink"/>
            <w:bCs/>
          </w:rPr>
          <w:t>168</w:t>
        </w:r>
      </w:hyperlink>
      <w:r w:rsidRPr="003019B2">
        <w:rPr>
          <w:bCs/>
        </w:rPr>
        <w:t>)</w:t>
      </w:r>
    </w:p>
    <w:p w14:paraId="2C7DCB02" w14:textId="6462039D" w:rsidR="00CA7A0F" w:rsidRPr="003019B2" w:rsidRDefault="003F5140" w:rsidP="007164AD">
      <w:pPr>
        <w:rPr>
          <w:bCs/>
        </w:rPr>
      </w:pPr>
      <w:r w:rsidRPr="003019B2">
        <w:t>10.1</w:t>
      </w:r>
      <w:r w:rsidR="00CA7413" w:rsidRPr="003019B2">
        <w:tab/>
      </w:r>
      <w:r w:rsidRPr="003019B2">
        <w:rPr>
          <w:szCs w:val="24"/>
        </w:rPr>
        <w:t>L</w:t>
      </w:r>
      <w:r w:rsidR="008C368E" w:rsidRPr="003019B2">
        <w:rPr>
          <w:szCs w:val="24"/>
        </w:rPr>
        <w:t>es</w:t>
      </w:r>
      <w:r w:rsidRPr="003019B2">
        <w:rPr>
          <w:szCs w:val="24"/>
        </w:rPr>
        <w:t xml:space="preserve"> procès-verba</w:t>
      </w:r>
      <w:r w:rsidR="008C368E" w:rsidRPr="003019B2">
        <w:rPr>
          <w:szCs w:val="24"/>
        </w:rPr>
        <w:t xml:space="preserve">ux </w:t>
      </w:r>
      <w:r w:rsidRPr="003019B2">
        <w:rPr>
          <w:szCs w:val="24"/>
        </w:rPr>
        <w:t xml:space="preserve">de la </w:t>
      </w:r>
      <w:r w:rsidR="008C368E" w:rsidRPr="003019B2">
        <w:rPr>
          <w:szCs w:val="24"/>
        </w:rPr>
        <w:t>dixième</w:t>
      </w:r>
      <w:r w:rsidRPr="003019B2">
        <w:rPr>
          <w:szCs w:val="24"/>
        </w:rPr>
        <w:t xml:space="preserve"> séance plénière (Document 1</w:t>
      </w:r>
      <w:r w:rsidR="008C368E" w:rsidRPr="003019B2">
        <w:rPr>
          <w:szCs w:val="24"/>
        </w:rPr>
        <w:t>5</w:t>
      </w:r>
      <w:r w:rsidRPr="003019B2">
        <w:rPr>
          <w:szCs w:val="24"/>
        </w:rPr>
        <w:t>1)</w:t>
      </w:r>
      <w:r w:rsidR="008C368E" w:rsidRPr="003019B2">
        <w:rPr>
          <w:szCs w:val="24"/>
        </w:rPr>
        <w:t>,</w:t>
      </w:r>
      <w:r w:rsidRPr="003019B2">
        <w:rPr>
          <w:szCs w:val="24"/>
        </w:rPr>
        <w:t xml:space="preserve"> </w:t>
      </w:r>
      <w:r w:rsidR="008C368E" w:rsidRPr="003019B2">
        <w:rPr>
          <w:szCs w:val="24"/>
        </w:rPr>
        <w:t xml:space="preserve">de la onzième séance plénière (Document 152) et de la douzième séance plénière (Document 168) </w:t>
      </w:r>
      <w:r w:rsidRPr="003019B2">
        <w:rPr>
          <w:szCs w:val="24"/>
        </w:rPr>
        <w:t xml:space="preserve">est </w:t>
      </w:r>
      <w:r w:rsidRPr="003019B2">
        <w:rPr>
          <w:b/>
          <w:bCs/>
          <w:szCs w:val="24"/>
        </w:rPr>
        <w:t>approuvé</w:t>
      </w:r>
      <w:r w:rsidR="008C368E" w:rsidRPr="003019B2">
        <w:rPr>
          <w:b/>
          <w:bCs/>
          <w:szCs w:val="24"/>
        </w:rPr>
        <w:t>e</w:t>
      </w:r>
      <w:r w:rsidRPr="003019B2">
        <w:rPr>
          <w:bCs/>
          <w:szCs w:val="24"/>
        </w:rPr>
        <w:t>.</w:t>
      </w:r>
    </w:p>
    <w:p w14:paraId="70E1CFD5" w14:textId="2A0240D6" w:rsidR="00CA7A0F" w:rsidRPr="003019B2" w:rsidRDefault="003F5140" w:rsidP="007164AD">
      <w:pPr>
        <w:pStyle w:val="Heading1"/>
      </w:pPr>
      <w:r w:rsidRPr="003019B2">
        <w:t>11</w:t>
      </w:r>
      <w:r w:rsidR="008C368E" w:rsidRPr="003019B2">
        <w:tab/>
      </w:r>
      <w:r w:rsidRPr="003019B2">
        <w:t xml:space="preserve">Questions </w:t>
      </w:r>
      <w:r w:rsidR="008C368E" w:rsidRPr="003019B2">
        <w:t>d'ordre rédactionnel</w:t>
      </w:r>
    </w:p>
    <w:p w14:paraId="21EF22DB" w14:textId="2F2E665F" w:rsidR="00CA7A0F" w:rsidRPr="003019B2" w:rsidRDefault="003F5140" w:rsidP="007164AD">
      <w:r w:rsidRPr="003019B2">
        <w:t>11.1</w:t>
      </w:r>
      <w:r w:rsidR="00CA7413" w:rsidRPr="003019B2">
        <w:tab/>
      </w:r>
      <w:r w:rsidRPr="003019B2">
        <w:t xml:space="preserve">En réponse à une proposition </w:t>
      </w:r>
      <w:r w:rsidR="007E6A18" w:rsidRPr="003019B2">
        <w:t>formulé</w:t>
      </w:r>
      <w:r w:rsidRPr="003019B2">
        <w:t>e</w:t>
      </w:r>
      <w:r w:rsidR="007E6A18" w:rsidRPr="003019B2">
        <w:t xml:space="preserve"> par le</w:t>
      </w:r>
      <w:r w:rsidRPr="003019B2">
        <w:t xml:space="preserve"> délégué de la </w:t>
      </w:r>
      <w:r w:rsidRPr="003019B2">
        <w:rPr>
          <w:b/>
          <w:bCs/>
        </w:rPr>
        <w:t>Fédération de Russie</w:t>
      </w:r>
      <w:r w:rsidRPr="003019B2">
        <w:t xml:space="preserve"> </w:t>
      </w:r>
      <w:r w:rsidR="007E6A18" w:rsidRPr="003019B2">
        <w:t>visant à ce que</w:t>
      </w:r>
      <w:r w:rsidRPr="003019B2">
        <w:t xml:space="preserve"> sa délégation prenne directement contact avec le service linguistique russe de l'UIT </w:t>
      </w:r>
      <w:r w:rsidR="007E6A18" w:rsidRPr="003019B2">
        <w:t>pour</w:t>
      </w:r>
      <w:r w:rsidRPr="003019B2">
        <w:t xml:space="preserve"> </w:t>
      </w:r>
      <w:r w:rsidR="007E6A18" w:rsidRPr="003019B2">
        <w:t>résoudre les éventuelles erreurs</w:t>
      </w:r>
      <w:r w:rsidRPr="003019B2">
        <w:t xml:space="preserve"> </w:t>
      </w:r>
      <w:r w:rsidR="007E6A18" w:rsidRPr="003019B2">
        <w:t xml:space="preserve">et </w:t>
      </w:r>
      <w:r w:rsidRPr="003019B2">
        <w:t>inexactitude</w:t>
      </w:r>
      <w:r w:rsidR="007E6A18" w:rsidRPr="003019B2">
        <w:t xml:space="preserve">s linguistiques subsistant dans la version en langue </w:t>
      </w:r>
      <w:r w:rsidRPr="003019B2">
        <w:t xml:space="preserve">russe des documents soumis </w:t>
      </w:r>
      <w:r w:rsidR="007E6A18" w:rsidRPr="003019B2">
        <w:t xml:space="preserve">par la Commission de rédaction, le </w:t>
      </w:r>
      <w:r w:rsidRPr="003019B2">
        <w:rPr>
          <w:b/>
          <w:bCs/>
        </w:rPr>
        <w:t>Président d</w:t>
      </w:r>
      <w:r w:rsidR="007E6A18" w:rsidRPr="003019B2">
        <w:rPr>
          <w:b/>
          <w:bCs/>
        </w:rPr>
        <w:t xml:space="preserve">e la Commission </w:t>
      </w:r>
      <w:r w:rsidRPr="003019B2">
        <w:rPr>
          <w:b/>
          <w:bCs/>
        </w:rPr>
        <w:t>de rédaction</w:t>
      </w:r>
      <w:r w:rsidRPr="003019B2">
        <w:t xml:space="preserve"> </w:t>
      </w:r>
      <w:r w:rsidR="007E6A18" w:rsidRPr="003019B2">
        <w:t xml:space="preserve">indique </w:t>
      </w:r>
      <w:r w:rsidRPr="003019B2">
        <w:t xml:space="preserve">qu'une fois tous les documents </w:t>
      </w:r>
      <w:r w:rsidR="00B62D2C" w:rsidRPr="003019B2">
        <w:t>approuvés</w:t>
      </w:r>
      <w:r w:rsidRPr="003019B2">
        <w:t xml:space="preserve"> en séance plénière et les actes </w:t>
      </w:r>
      <w:r w:rsidR="00B62D2C" w:rsidRPr="003019B2">
        <w:t>finals</w:t>
      </w:r>
      <w:r w:rsidRPr="003019B2">
        <w:t xml:space="preserve"> provisoires </w:t>
      </w:r>
      <w:r w:rsidR="007E6A18" w:rsidRPr="003019B2">
        <w:t xml:space="preserve">établis </w:t>
      </w:r>
      <w:r w:rsidRPr="003019B2">
        <w:t xml:space="preserve">par le secrétariat, ils </w:t>
      </w:r>
      <w:r w:rsidR="007E6A18" w:rsidRPr="003019B2">
        <w:t>sont examinés</w:t>
      </w:r>
      <w:r w:rsidRPr="003019B2">
        <w:t xml:space="preserve"> par les services de traduction</w:t>
      </w:r>
      <w:r w:rsidR="007E6A18" w:rsidRPr="003019B2">
        <w:t>,</w:t>
      </w:r>
      <w:r w:rsidRPr="003019B2">
        <w:t xml:space="preserve"> </w:t>
      </w:r>
      <w:r w:rsidR="00B62D2C" w:rsidRPr="003019B2">
        <w:t>qui y apportent</w:t>
      </w:r>
      <w:r w:rsidRPr="003019B2">
        <w:t xml:space="preserve"> </w:t>
      </w:r>
      <w:r w:rsidR="007E6A18" w:rsidRPr="003019B2">
        <w:t>d'</w:t>
      </w:r>
      <w:r w:rsidRPr="003019B2">
        <w:t>éventuelles corrections. À ce stade</w:t>
      </w:r>
      <w:r w:rsidR="00B62D2C" w:rsidRPr="003019B2">
        <w:t xml:space="preserve"> du processus</w:t>
      </w:r>
      <w:r w:rsidRPr="003019B2">
        <w:t xml:space="preserve">, la délégation de la Fédération de Russie </w:t>
      </w:r>
      <w:r w:rsidR="00B62D2C" w:rsidRPr="003019B2">
        <w:t>a la possibilité de</w:t>
      </w:r>
      <w:r w:rsidRPr="003019B2">
        <w:t xml:space="preserve"> contacter le service linguistique russe pour toute question d'ordre rédactionnel ou terminologique </w:t>
      </w:r>
      <w:r w:rsidR="007E6A18" w:rsidRPr="003019B2">
        <w:t>concernant uniquement</w:t>
      </w:r>
      <w:r w:rsidRPr="003019B2">
        <w:t xml:space="preserve"> le texte en langue russe. Lors de la</w:t>
      </w:r>
      <w:r w:rsidR="00CA7413" w:rsidRPr="003019B2">
        <w:t> </w:t>
      </w:r>
      <w:r w:rsidRPr="003019B2">
        <w:t>CMR</w:t>
      </w:r>
      <w:r w:rsidR="00CA7413" w:rsidRPr="003019B2">
        <w:noBreakHyphen/>
      </w:r>
      <w:r w:rsidRPr="003019B2">
        <w:t xml:space="preserve">19, </w:t>
      </w:r>
      <w:r w:rsidR="007E6A18" w:rsidRPr="003019B2">
        <w:t>la Commission</w:t>
      </w:r>
      <w:r w:rsidRPr="003019B2">
        <w:t xml:space="preserve"> de rédaction avait demandé l'autorisation, lors de la dernière séance plénière, de poursuivre ses travaux </w:t>
      </w:r>
      <w:r w:rsidR="00B62D2C" w:rsidRPr="003019B2">
        <w:t xml:space="preserve">de manière virtuelle, </w:t>
      </w:r>
      <w:r w:rsidRPr="003019B2">
        <w:t xml:space="preserve">afin de préparer la publication des documents </w:t>
      </w:r>
      <w:r w:rsidR="00B62D2C" w:rsidRPr="003019B2">
        <w:t>finals</w:t>
      </w:r>
      <w:r w:rsidRPr="003019B2">
        <w:t xml:space="preserve">. La même approche pourrait être adoptée </w:t>
      </w:r>
      <w:r w:rsidR="00B62D2C" w:rsidRPr="003019B2">
        <w:t>dans le cadre de</w:t>
      </w:r>
      <w:r w:rsidRPr="003019B2">
        <w:t xml:space="preserve"> la présente conférence.</w:t>
      </w:r>
    </w:p>
    <w:p w14:paraId="6E18E46D" w14:textId="4C2D495E" w:rsidR="00CA7A0F" w:rsidRPr="003019B2" w:rsidRDefault="003F5140" w:rsidP="007164AD">
      <w:r w:rsidRPr="003019B2">
        <w:t>11.2</w:t>
      </w:r>
      <w:r w:rsidR="00B62D2C" w:rsidRPr="003019B2">
        <w:tab/>
      </w:r>
      <w:r w:rsidRPr="003019B2">
        <w:t>Le délégué d</w:t>
      </w:r>
      <w:r w:rsidR="00B62D2C" w:rsidRPr="003019B2">
        <w:t xml:space="preserve">e la </w:t>
      </w:r>
      <w:r w:rsidR="00B62D2C" w:rsidRPr="003019B2">
        <w:rPr>
          <w:b/>
          <w:bCs/>
        </w:rPr>
        <w:t>R</w:t>
      </w:r>
      <w:r w:rsidRPr="003019B2">
        <w:rPr>
          <w:b/>
          <w:bCs/>
        </w:rPr>
        <w:t>épublique islamique d'Iran</w:t>
      </w:r>
      <w:r w:rsidRPr="003019B2">
        <w:t xml:space="preserve"> </w:t>
      </w:r>
      <w:r w:rsidR="00B62D2C" w:rsidRPr="003019B2">
        <w:t xml:space="preserve">se dit favorable </w:t>
      </w:r>
      <w:r w:rsidRPr="003019B2">
        <w:t xml:space="preserve">à la proposition du </w:t>
      </w:r>
      <w:r w:rsidR="00B62D2C" w:rsidRPr="003019B2">
        <w:t>P</w:t>
      </w:r>
      <w:r w:rsidRPr="003019B2">
        <w:t>résident d</w:t>
      </w:r>
      <w:r w:rsidR="00B62D2C" w:rsidRPr="003019B2">
        <w:t>e la Commission</w:t>
      </w:r>
      <w:r w:rsidRPr="003019B2">
        <w:t xml:space="preserve"> de rédaction. </w:t>
      </w:r>
      <w:bookmarkStart w:id="23" w:name="_Hlk116548789"/>
      <w:r w:rsidRPr="003019B2">
        <w:t xml:space="preserve">Il </w:t>
      </w:r>
      <w:r w:rsidR="00B62D2C" w:rsidRPr="003019B2">
        <w:t xml:space="preserve">propose </w:t>
      </w:r>
      <w:r w:rsidRPr="003019B2">
        <w:t xml:space="preserve">que, </w:t>
      </w:r>
      <w:r w:rsidR="00B62D2C" w:rsidRPr="003019B2">
        <w:t>dans le futur</w:t>
      </w:r>
      <w:r w:rsidRPr="003019B2">
        <w:t>, la structure de toutes les résolutions de l'UIT soit harmonisée. Les paragraphes du préambule devraient contenir des déclarations factuelles, sans</w:t>
      </w:r>
      <w:r w:rsidR="00B62D2C" w:rsidRPr="003019B2">
        <w:t xml:space="preserve"> termes</w:t>
      </w:r>
      <w:r w:rsidRPr="003019B2">
        <w:t xml:space="preserve"> d'obligation, et leur nombre devrait être limité au minimum nécessaire pour justifier les sections du dispositif. L</w:t>
      </w:r>
      <w:r w:rsidR="00B62D2C" w:rsidRPr="003019B2">
        <w:t xml:space="preserve">a formulation </w:t>
      </w:r>
      <w:r w:rsidRPr="003019B2">
        <w:t>utilisé</w:t>
      </w:r>
      <w:r w:rsidR="00B62D2C" w:rsidRPr="003019B2">
        <w:t>e</w:t>
      </w:r>
      <w:r w:rsidRPr="003019B2">
        <w:t xml:space="preserve"> dans les paragraphes du dispositif doit être cohérent</w:t>
      </w:r>
      <w:r w:rsidR="00B62D2C" w:rsidRPr="003019B2">
        <w:t>e</w:t>
      </w:r>
      <w:r w:rsidRPr="003019B2">
        <w:t xml:space="preserve"> d'une résolution à l'autre. En outre, </w:t>
      </w:r>
      <w:r w:rsidR="00B62D2C" w:rsidRPr="003019B2">
        <w:t>il convient de prêter</w:t>
      </w:r>
      <w:r w:rsidRPr="003019B2">
        <w:t xml:space="preserve"> attention au langage utilisé, notamment </w:t>
      </w:r>
      <w:r w:rsidR="00B62D2C" w:rsidRPr="003019B2">
        <w:t xml:space="preserve">en ce qui concerne les verbes </w:t>
      </w:r>
      <w:r w:rsidRPr="003019B2">
        <w:t xml:space="preserve">d'instruction, de recommandation ou d'obligation. </w:t>
      </w:r>
      <w:r w:rsidR="00B62D2C" w:rsidRPr="003019B2">
        <w:t>Le délégué</w:t>
      </w:r>
      <w:r w:rsidRPr="003019B2">
        <w:t xml:space="preserve"> </w:t>
      </w:r>
      <w:r w:rsidR="00B62D2C" w:rsidRPr="003019B2">
        <w:t>demande</w:t>
      </w:r>
      <w:r w:rsidRPr="003019B2">
        <w:t xml:space="preserve"> au Secrétaire général de rédiger des lignes directrices </w:t>
      </w:r>
      <w:r w:rsidR="00B62D2C" w:rsidRPr="003019B2">
        <w:t>relative</w:t>
      </w:r>
      <w:r w:rsidR="00CA7413" w:rsidRPr="003019B2">
        <w:t>s</w:t>
      </w:r>
      <w:r w:rsidR="00B62D2C" w:rsidRPr="003019B2">
        <w:t xml:space="preserve"> à l'élaboration </w:t>
      </w:r>
      <w:r w:rsidRPr="003019B2">
        <w:t>des résolutions par toutes les conférences de l'UIT et de soumettre ce document au Conseil</w:t>
      </w:r>
      <w:r w:rsidR="00B62D2C" w:rsidRPr="003019B2">
        <w:t>,</w:t>
      </w:r>
      <w:r w:rsidRPr="003019B2">
        <w:t xml:space="preserve"> pour approbation formelle. Une fois approuvées, </w:t>
      </w:r>
      <w:r w:rsidR="00B62D2C" w:rsidRPr="003019B2">
        <w:t>ces</w:t>
      </w:r>
      <w:r w:rsidRPr="003019B2">
        <w:t xml:space="preserve"> lignes directrices </w:t>
      </w:r>
      <w:r w:rsidR="00B62D2C" w:rsidRPr="003019B2">
        <w:t>pourront</w:t>
      </w:r>
      <w:r w:rsidRPr="003019B2">
        <w:t xml:space="preserve"> être appliquées de manière générale</w:t>
      </w:r>
      <w:r w:rsidR="00B62D2C" w:rsidRPr="003019B2">
        <w:t>,</w:t>
      </w:r>
      <w:r w:rsidRPr="003019B2">
        <w:t xml:space="preserve"> afin de garantir une structure harmonisée pour toutes les résolutions de l'UIT. </w:t>
      </w:r>
      <w:r w:rsidR="00B62D2C" w:rsidRPr="003019B2">
        <w:t>L'A</w:t>
      </w:r>
      <w:r w:rsidRPr="003019B2">
        <w:t xml:space="preserve">dministration </w:t>
      </w:r>
      <w:r w:rsidR="00B62D2C" w:rsidRPr="003019B2">
        <w:t xml:space="preserve">de la République islamique d'Iran se tient à disposition pour </w:t>
      </w:r>
      <w:r w:rsidRPr="003019B2">
        <w:t xml:space="preserve">fournir une assistance </w:t>
      </w:r>
      <w:r w:rsidR="00B62D2C" w:rsidRPr="003019B2">
        <w:t>en vue de</w:t>
      </w:r>
      <w:r w:rsidRPr="003019B2">
        <w:t xml:space="preserve"> résoudre ce problème</w:t>
      </w:r>
      <w:r w:rsidR="00B62D2C" w:rsidRPr="003019B2">
        <w:t>, qui existe</w:t>
      </w:r>
      <w:r w:rsidRPr="003019B2">
        <w:t xml:space="preserve"> de longue date.</w:t>
      </w:r>
    </w:p>
    <w:p w14:paraId="4C0024A1" w14:textId="555C4CC4" w:rsidR="00CA7A0F" w:rsidRPr="003019B2" w:rsidRDefault="003F5140" w:rsidP="007164AD">
      <w:r w:rsidRPr="003019B2">
        <w:lastRenderedPageBreak/>
        <w:t>11.3</w:t>
      </w:r>
      <w:r w:rsidR="00CA7413" w:rsidRPr="003019B2">
        <w:tab/>
      </w:r>
      <w:r w:rsidRPr="003019B2">
        <w:t xml:space="preserve">Le délégué de </w:t>
      </w:r>
      <w:r w:rsidR="00B62D2C" w:rsidRPr="003019B2">
        <w:t xml:space="preserve">la </w:t>
      </w:r>
      <w:r w:rsidRPr="003019B2">
        <w:rPr>
          <w:b/>
          <w:bCs/>
        </w:rPr>
        <w:t>Jordan</w:t>
      </w:r>
      <w:r w:rsidR="00B62D2C" w:rsidRPr="003019B2">
        <w:rPr>
          <w:b/>
          <w:bCs/>
        </w:rPr>
        <w:t>ie</w:t>
      </w:r>
      <w:r w:rsidRPr="003019B2">
        <w:t xml:space="preserve"> rappel</w:t>
      </w:r>
      <w:r w:rsidR="00B62D2C" w:rsidRPr="003019B2">
        <w:t>le</w:t>
      </w:r>
      <w:r w:rsidRPr="003019B2">
        <w:t xml:space="preserve"> que chaque conférence de l'UIT est libre de décider de la structure et de la formulation de ses résolutions. </w:t>
      </w:r>
      <w:r w:rsidR="00B62D2C" w:rsidRPr="003019B2">
        <w:t xml:space="preserve">Par conséquent, il se dit favorable à </w:t>
      </w:r>
      <w:r w:rsidRPr="003019B2">
        <w:t xml:space="preserve">l'idée de préparer et de mettre à disposition des lignes directrices </w:t>
      </w:r>
      <w:r w:rsidR="00B62D2C" w:rsidRPr="003019B2">
        <w:t xml:space="preserve">relatives à l'élaboration </w:t>
      </w:r>
      <w:r w:rsidRPr="003019B2">
        <w:t xml:space="preserve">des résolutions, </w:t>
      </w:r>
      <w:r w:rsidR="00B62D2C" w:rsidRPr="003019B2">
        <w:t>qui pourraient</w:t>
      </w:r>
      <w:r w:rsidRPr="003019B2">
        <w:t xml:space="preserve"> effectivement </w:t>
      </w:r>
      <w:r w:rsidR="00B62D2C" w:rsidRPr="003019B2">
        <w:t xml:space="preserve">constituer </w:t>
      </w:r>
      <w:r w:rsidRPr="003019B2">
        <w:t xml:space="preserve">un outil utile, </w:t>
      </w:r>
      <w:r w:rsidR="00B62D2C" w:rsidRPr="003019B2">
        <w:t xml:space="preserve">mais </w:t>
      </w:r>
      <w:r w:rsidRPr="003019B2">
        <w:t>ne souscrit pas à l'adoption formelle de telles lignes directrices par le Conseil.</w:t>
      </w:r>
    </w:p>
    <w:bookmarkEnd w:id="23"/>
    <w:p w14:paraId="3C8A1838" w14:textId="28F07EE1" w:rsidR="00CA7A0F" w:rsidRPr="003019B2" w:rsidRDefault="003F5140" w:rsidP="007164AD">
      <w:r w:rsidRPr="003019B2">
        <w:t>11.4</w:t>
      </w:r>
      <w:r w:rsidR="001B5F93" w:rsidRPr="003019B2">
        <w:tab/>
      </w:r>
      <w:r w:rsidRPr="003019B2">
        <w:t xml:space="preserve">Le </w:t>
      </w:r>
      <w:r w:rsidRPr="003019B2">
        <w:rPr>
          <w:b/>
          <w:bCs/>
        </w:rPr>
        <w:t>Président</w:t>
      </w:r>
      <w:r w:rsidRPr="003019B2">
        <w:t xml:space="preserve"> </w:t>
      </w:r>
      <w:r w:rsidR="00B62D2C" w:rsidRPr="003019B2">
        <w:t>déclare</w:t>
      </w:r>
      <w:r w:rsidRPr="003019B2">
        <w:t xml:space="preserve"> qu</w:t>
      </w:r>
      <w:r w:rsidR="00B62D2C" w:rsidRPr="003019B2">
        <w:t>'il sera pris note d</w:t>
      </w:r>
      <w:r w:rsidRPr="003019B2">
        <w:t xml:space="preserve">es </w:t>
      </w:r>
      <w:r w:rsidR="00B62D2C" w:rsidRPr="003019B2">
        <w:t>observations</w:t>
      </w:r>
      <w:r w:rsidRPr="003019B2">
        <w:t xml:space="preserve"> des deux délégués et que les discussions </w:t>
      </w:r>
      <w:r w:rsidR="001B5F93" w:rsidRPr="003019B2">
        <w:t>à ce</w:t>
      </w:r>
      <w:r w:rsidRPr="003019B2">
        <w:t xml:space="preserve"> sujet </w:t>
      </w:r>
      <w:r w:rsidR="001B5F93" w:rsidRPr="003019B2">
        <w:t>pourront</w:t>
      </w:r>
      <w:r w:rsidRPr="003019B2">
        <w:t xml:space="preserve"> </w:t>
      </w:r>
      <w:r w:rsidR="001B5F93" w:rsidRPr="003019B2">
        <w:t>être poursuivies</w:t>
      </w:r>
      <w:r w:rsidRPr="003019B2">
        <w:t xml:space="preserve"> en dehors du cadre de la conférence.</w:t>
      </w:r>
    </w:p>
    <w:p w14:paraId="18CFED1F" w14:textId="11C0EF8D" w:rsidR="00CA7A0F" w:rsidRPr="003019B2" w:rsidRDefault="003F5140" w:rsidP="007164AD">
      <w:pPr>
        <w:pStyle w:val="Heading1"/>
      </w:pPr>
      <w:bookmarkStart w:id="24" w:name="_Hlk117083144"/>
      <w:r w:rsidRPr="003019B2">
        <w:t>12</w:t>
      </w:r>
      <w:r w:rsidR="001B5F93" w:rsidRPr="003019B2">
        <w:tab/>
      </w:r>
      <w:r w:rsidRPr="003019B2">
        <w:t xml:space="preserve">Utilisation d'un langage approprié lors des réunions de la </w:t>
      </w:r>
      <w:r w:rsidR="00E360CA" w:rsidRPr="003019B2">
        <w:t>c</w:t>
      </w:r>
      <w:r w:rsidRPr="003019B2">
        <w:t>onférence</w:t>
      </w:r>
    </w:p>
    <w:p w14:paraId="7BC86A64" w14:textId="4DDC4F53" w:rsidR="00CA7A0F" w:rsidRPr="003019B2" w:rsidRDefault="003F5140" w:rsidP="007164AD">
      <w:r w:rsidRPr="003019B2">
        <w:t>12.1</w:t>
      </w:r>
      <w:r w:rsidR="001B5F93" w:rsidRPr="003019B2">
        <w:tab/>
      </w:r>
      <w:r w:rsidRPr="003019B2">
        <w:t>L</w:t>
      </w:r>
      <w:r w:rsidR="008C368E" w:rsidRPr="003019B2">
        <w:t>a</w:t>
      </w:r>
      <w:r w:rsidRPr="003019B2">
        <w:t xml:space="preserve"> délégué</w:t>
      </w:r>
      <w:r w:rsidR="008C368E" w:rsidRPr="003019B2">
        <w:t>e</w:t>
      </w:r>
      <w:r w:rsidR="00C42E33" w:rsidRPr="003019B2">
        <w:t xml:space="preserve"> des</w:t>
      </w:r>
      <w:r w:rsidR="001B5F93" w:rsidRPr="003019B2">
        <w:rPr>
          <w:b/>
          <w:bCs/>
        </w:rPr>
        <w:t xml:space="preserve"> É</w:t>
      </w:r>
      <w:r w:rsidRPr="003019B2">
        <w:rPr>
          <w:b/>
          <w:bCs/>
        </w:rPr>
        <w:t xml:space="preserve">tats-Unis </w:t>
      </w:r>
      <w:r w:rsidR="001B5F93" w:rsidRPr="003019B2">
        <w:t xml:space="preserve">souligne </w:t>
      </w:r>
      <w:r w:rsidRPr="003019B2">
        <w:t xml:space="preserve">que les </w:t>
      </w:r>
      <w:r w:rsidR="001B5F93" w:rsidRPr="003019B2">
        <w:t>intervenants</w:t>
      </w:r>
      <w:r w:rsidRPr="003019B2">
        <w:t xml:space="preserve"> devaient veiller, dans </w:t>
      </w:r>
      <w:r w:rsidR="001B5F93" w:rsidRPr="003019B2">
        <w:t>leurs</w:t>
      </w:r>
      <w:r w:rsidRPr="003019B2">
        <w:t xml:space="preserve"> interventions, à ce que tous les délégués, quel que soit leur sexe ou leur âge, soient traités sur un pied d'égalité dans le</w:t>
      </w:r>
      <w:r w:rsidR="001B5F93" w:rsidRPr="003019B2">
        <w:t xml:space="preserve"> cadre des discussions </w:t>
      </w:r>
      <w:r w:rsidRPr="003019B2">
        <w:t xml:space="preserve">de la conférence. Les délégués de </w:t>
      </w:r>
      <w:r w:rsidR="001B5F93" w:rsidRPr="003019B2">
        <w:t xml:space="preserve">la </w:t>
      </w:r>
      <w:r w:rsidRPr="003019B2">
        <w:rPr>
          <w:b/>
        </w:rPr>
        <w:t>Nouvelle-Zélande</w:t>
      </w:r>
      <w:r w:rsidRPr="003019B2">
        <w:t xml:space="preserve">, </w:t>
      </w:r>
      <w:r w:rsidR="001B5F93" w:rsidRPr="003019B2">
        <w:t xml:space="preserve">du </w:t>
      </w:r>
      <w:r w:rsidRPr="003019B2">
        <w:rPr>
          <w:b/>
        </w:rPr>
        <w:t>Canada</w:t>
      </w:r>
      <w:r w:rsidR="001B5F93" w:rsidRPr="003019B2">
        <w:rPr>
          <w:bCs/>
        </w:rPr>
        <w:t xml:space="preserve">, </w:t>
      </w:r>
      <w:r w:rsidR="001B5F93" w:rsidRPr="003019B2">
        <w:rPr>
          <w:b/>
        </w:rPr>
        <w:t>du</w:t>
      </w:r>
      <w:r w:rsidRPr="003019B2">
        <w:t xml:space="preserve"> </w:t>
      </w:r>
      <w:r w:rsidRPr="003019B2">
        <w:rPr>
          <w:b/>
        </w:rPr>
        <w:t>Royaume-Uni</w:t>
      </w:r>
      <w:r w:rsidR="001B5F93" w:rsidRPr="003019B2">
        <w:t xml:space="preserve">, des </w:t>
      </w:r>
      <w:r w:rsidRPr="003019B2">
        <w:rPr>
          <w:b/>
        </w:rPr>
        <w:t>Philippines</w:t>
      </w:r>
      <w:r w:rsidR="001B5F93" w:rsidRPr="003019B2">
        <w:t xml:space="preserve">, de la </w:t>
      </w:r>
      <w:r w:rsidRPr="003019B2">
        <w:rPr>
          <w:b/>
        </w:rPr>
        <w:t>République tchèque</w:t>
      </w:r>
      <w:r w:rsidRPr="003019B2">
        <w:t>, s'exprimant au nom des États membres de l'Union européenne,</w:t>
      </w:r>
      <w:r w:rsidRPr="003019B2">
        <w:rPr>
          <w:bCs/>
        </w:rPr>
        <w:t xml:space="preserve"> </w:t>
      </w:r>
      <w:r w:rsidR="001B5F93" w:rsidRPr="003019B2">
        <w:rPr>
          <w:bCs/>
        </w:rPr>
        <w:t>de la</w:t>
      </w:r>
      <w:r w:rsidR="001B5F93" w:rsidRPr="003019B2">
        <w:rPr>
          <w:b/>
        </w:rPr>
        <w:t xml:space="preserve"> R</w:t>
      </w:r>
      <w:r w:rsidRPr="003019B2">
        <w:rPr>
          <w:b/>
        </w:rPr>
        <w:t>oumanie</w:t>
      </w:r>
      <w:r w:rsidR="001B5F93" w:rsidRPr="003019B2">
        <w:rPr>
          <w:bCs/>
        </w:rPr>
        <w:t xml:space="preserve">, </w:t>
      </w:r>
      <w:r w:rsidRPr="003019B2">
        <w:rPr>
          <w:bCs/>
        </w:rPr>
        <w:t>s'exprimant</w:t>
      </w:r>
      <w:r w:rsidRPr="003019B2">
        <w:t xml:space="preserve"> au nom de la CEPT, </w:t>
      </w:r>
      <w:r w:rsidR="001B5F93" w:rsidRPr="003019B2">
        <w:t xml:space="preserve">de la </w:t>
      </w:r>
      <w:r w:rsidRPr="003019B2">
        <w:rPr>
          <w:b/>
        </w:rPr>
        <w:t>Jordanie</w:t>
      </w:r>
      <w:r w:rsidRPr="003019B2">
        <w:rPr>
          <w:bCs/>
        </w:rPr>
        <w:t xml:space="preserve">, </w:t>
      </w:r>
      <w:r w:rsidR="001B5F93" w:rsidRPr="003019B2">
        <w:rPr>
          <w:bCs/>
        </w:rPr>
        <w:t>de</w:t>
      </w:r>
      <w:r w:rsidR="001B5F93" w:rsidRPr="003019B2">
        <w:rPr>
          <w:b/>
        </w:rPr>
        <w:t xml:space="preserve"> l'</w:t>
      </w:r>
      <w:r w:rsidRPr="003019B2">
        <w:rPr>
          <w:b/>
        </w:rPr>
        <w:t>Argentine</w:t>
      </w:r>
      <w:r w:rsidRPr="003019B2">
        <w:rPr>
          <w:bCs/>
        </w:rPr>
        <w:t>,</w:t>
      </w:r>
      <w:r w:rsidR="001B5F93" w:rsidRPr="003019B2">
        <w:rPr>
          <w:bCs/>
        </w:rPr>
        <w:t xml:space="preserve"> de la</w:t>
      </w:r>
      <w:r w:rsidRPr="003019B2">
        <w:rPr>
          <w:b/>
        </w:rPr>
        <w:t xml:space="preserve"> Tunisie</w:t>
      </w:r>
      <w:r w:rsidRPr="003019B2">
        <w:rPr>
          <w:bCs/>
        </w:rPr>
        <w:t xml:space="preserve">, </w:t>
      </w:r>
      <w:r w:rsidR="001B5F93" w:rsidRPr="003019B2">
        <w:rPr>
          <w:bCs/>
        </w:rPr>
        <w:t>d'</w:t>
      </w:r>
      <w:r w:rsidRPr="003019B2">
        <w:rPr>
          <w:b/>
        </w:rPr>
        <w:t>Israël</w:t>
      </w:r>
      <w:r w:rsidRPr="003019B2">
        <w:rPr>
          <w:bCs/>
        </w:rPr>
        <w:t xml:space="preserve">, </w:t>
      </w:r>
      <w:r w:rsidR="001B5F93" w:rsidRPr="003019B2">
        <w:rPr>
          <w:bCs/>
        </w:rPr>
        <w:t>de la</w:t>
      </w:r>
      <w:r w:rsidR="001B5F93" w:rsidRPr="003019B2">
        <w:rPr>
          <w:b/>
        </w:rPr>
        <w:t xml:space="preserve"> </w:t>
      </w:r>
      <w:r w:rsidRPr="003019B2">
        <w:rPr>
          <w:b/>
        </w:rPr>
        <w:t>Thaïlande</w:t>
      </w:r>
      <w:r w:rsidRPr="003019B2">
        <w:rPr>
          <w:bCs/>
        </w:rPr>
        <w:t>,</w:t>
      </w:r>
      <w:r w:rsidRPr="003019B2">
        <w:rPr>
          <w:b/>
        </w:rPr>
        <w:t xml:space="preserve"> </w:t>
      </w:r>
      <w:r w:rsidR="001B5F93" w:rsidRPr="003019B2">
        <w:rPr>
          <w:bCs/>
        </w:rPr>
        <w:t>du</w:t>
      </w:r>
      <w:r w:rsidR="001B5F93" w:rsidRPr="003019B2">
        <w:rPr>
          <w:b/>
        </w:rPr>
        <w:t xml:space="preserve"> </w:t>
      </w:r>
      <w:r w:rsidRPr="003019B2">
        <w:rPr>
          <w:b/>
        </w:rPr>
        <w:t>Samoa</w:t>
      </w:r>
      <w:r w:rsidRPr="003019B2">
        <w:rPr>
          <w:bCs/>
        </w:rPr>
        <w:t xml:space="preserve">, </w:t>
      </w:r>
      <w:r w:rsidR="001B5F93" w:rsidRPr="003019B2">
        <w:rPr>
          <w:bCs/>
        </w:rPr>
        <w:t>de la</w:t>
      </w:r>
      <w:r w:rsidR="001B5F93" w:rsidRPr="003019B2">
        <w:rPr>
          <w:b/>
        </w:rPr>
        <w:t xml:space="preserve"> </w:t>
      </w:r>
      <w:r w:rsidRPr="003019B2">
        <w:rPr>
          <w:b/>
        </w:rPr>
        <w:t>Papouasie</w:t>
      </w:r>
      <w:r w:rsidR="00E360CA" w:rsidRPr="003019B2">
        <w:rPr>
          <w:b/>
        </w:rPr>
        <w:noBreakHyphen/>
      </w:r>
      <w:r w:rsidRPr="003019B2">
        <w:rPr>
          <w:b/>
        </w:rPr>
        <w:t>Nouvelle-Guinée</w:t>
      </w:r>
      <w:r w:rsidR="001B5F93" w:rsidRPr="003019B2">
        <w:t xml:space="preserve">, de la </w:t>
      </w:r>
      <w:r w:rsidRPr="003019B2">
        <w:rPr>
          <w:b/>
        </w:rPr>
        <w:t>République de Corée</w:t>
      </w:r>
      <w:r w:rsidRPr="003019B2">
        <w:rPr>
          <w:bCs/>
        </w:rPr>
        <w:t xml:space="preserve">, </w:t>
      </w:r>
      <w:r w:rsidR="001B5F93" w:rsidRPr="003019B2">
        <w:rPr>
          <w:bCs/>
        </w:rPr>
        <w:t>de la</w:t>
      </w:r>
      <w:r w:rsidR="001B5F93" w:rsidRPr="003019B2">
        <w:rPr>
          <w:b/>
        </w:rPr>
        <w:t xml:space="preserve"> </w:t>
      </w:r>
      <w:r w:rsidRPr="003019B2">
        <w:rPr>
          <w:b/>
        </w:rPr>
        <w:t>Suède</w:t>
      </w:r>
      <w:r w:rsidRPr="003019B2">
        <w:rPr>
          <w:bCs/>
        </w:rPr>
        <w:t xml:space="preserve">, </w:t>
      </w:r>
      <w:r w:rsidR="001B5F93" w:rsidRPr="003019B2">
        <w:rPr>
          <w:bCs/>
        </w:rPr>
        <w:t>du</w:t>
      </w:r>
      <w:r w:rsidR="001B5F93" w:rsidRPr="003019B2">
        <w:rPr>
          <w:b/>
        </w:rPr>
        <w:t xml:space="preserve"> </w:t>
      </w:r>
      <w:r w:rsidRPr="003019B2">
        <w:rPr>
          <w:b/>
        </w:rPr>
        <w:t>Japon</w:t>
      </w:r>
      <w:r w:rsidRPr="003019B2">
        <w:rPr>
          <w:bCs/>
        </w:rPr>
        <w:t xml:space="preserve">, </w:t>
      </w:r>
      <w:r w:rsidR="001B5F93" w:rsidRPr="003019B2">
        <w:rPr>
          <w:bCs/>
        </w:rPr>
        <w:t>de</w:t>
      </w:r>
      <w:r w:rsidR="001B5F93" w:rsidRPr="003019B2">
        <w:rPr>
          <w:b/>
        </w:rPr>
        <w:t xml:space="preserve"> l'</w:t>
      </w:r>
      <w:r w:rsidRPr="003019B2">
        <w:rPr>
          <w:b/>
        </w:rPr>
        <w:t xml:space="preserve">Arabie </w:t>
      </w:r>
      <w:r w:rsidR="001B5F93" w:rsidRPr="003019B2">
        <w:rPr>
          <w:b/>
        </w:rPr>
        <w:t>s</w:t>
      </w:r>
      <w:r w:rsidRPr="003019B2">
        <w:rPr>
          <w:b/>
        </w:rPr>
        <w:t>aoudite</w:t>
      </w:r>
      <w:r w:rsidRPr="003019B2">
        <w:t xml:space="preserve"> et</w:t>
      </w:r>
      <w:r w:rsidR="001B5F93" w:rsidRPr="003019B2">
        <w:t xml:space="preserve"> du</w:t>
      </w:r>
      <w:r w:rsidRPr="003019B2">
        <w:t xml:space="preserve"> </w:t>
      </w:r>
      <w:r w:rsidRPr="003019B2">
        <w:rPr>
          <w:b/>
        </w:rPr>
        <w:t>Brésil</w:t>
      </w:r>
      <w:r w:rsidRPr="003019B2">
        <w:t xml:space="preserve"> </w:t>
      </w:r>
      <w:r w:rsidR="001B5F93" w:rsidRPr="003019B2">
        <w:t>expriment un point de vue similaire. Les travaux de</w:t>
      </w:r>
      <w:r w:rsidRPr="003019B2">
        <w:t xml:space="preserve"> l'Union </w:t>
      </w:r>
      <w:r w:rsidR="001B5F93" w:rsidRPr="003019B2">
        <w:t>doivent</w:t>
      </w:r>
      <w:r w:rsidRPr="003019B2">
        <w:t xml:space="preserve"> être fondé</w:t>
      </w:r>
      <w:r w:rsidR="001B5F93" w:rsidRPr="003019B2">
        <w:t>s</w:t>
      </w:r>
      <w:r w:rsidRPr="003019B2">
        <w:t xml:space="preserve"> sur l'égalité et l'inclusion, et les </w:t>
      </w:r>
      <w:r w:rsidR="001B5F93" w:rsidRPr="003019B2">
        <w:t xml:space="preserve">intervenants devraient </w:t>
      </w:r>
      <w:r w:rsidRPr="003019B2">
        <w:t>toujours utiliser un</w:t>
      </w:r>
      <w:r w:rsidR="001B5F93" w:rsidRPr="003019B2">
        <w:t xml:space="preserve">e formulation </w:t>
      </w:r>
      <w:r w:rsidRPr="003019B2">
        <w:t>approprié</w:t>
      </w:r>
      <w:r w:rsidR="001B5F93" w:rsidRPr="003019B2">
        <w:t>e</w:t>
      </w:r>
      <w:r w:rsidRPr="003019B2">
        <w:t xml:space="preserve"> à cet égard.</w:t>
      </w:r>
    </w:p>
    <w:p w14:paraId="52A67E01" w14:textId="1B0FFCF0" w:rsidR="00CA7A0F" w:rsidRPr="003019B2" w:rsidRDefault="003F5140" w:rsidP="007164AD">
      <w:r w:rsidRPr="003019B2">
        <w:t>12.2</w:t>
      </w:r>
      <w:r w:rsidR="00CA7413" w:rsidRPr="003019B2">
        <w:tab/>
      </w:r>
      <w:r w:rsidRPr="003019B2">
        <w:t xml:space="preserve">Le </w:t>
      </w:r>
      <w:r w:rsidRPr="003019B2">
        <w:rPr>
          <w:b/>
          <w:bCs/>
        </w:rPr>
        <w:t>Président</w:t>
      </w:r>
      <w:r w:rsidRPr="003019B2">
        <w:t xml:space="preserve"> remerci</w:t>
      </w:r>
      <w:r w:rsidR="001B5F93" w:rsidRPr="003019B2">
        <w:t xml:space="preserve">e </w:t>
      </w:r>
      <w:r w:rsidRPr="003019B2">
        <w:t xml:space="preserve">les délégués pour leurs </w:t>
      </w:r>
      <w:r w:rsidR="001B5F93" w:rsidRPr="003019B2">
        <w:t>observations et déclare que,</w:t>
      </w:r>
      <w:r w:rsidRPr="003019B2">
        <w:t xml:space="preserve"> dans </w:t>
      </w:r>
      <w:r w:rsidR="001B5F93" w:rsidRPr="003019B2">
        <w:t>le cadre de</w:t>
      </w:r>
      <w:r w:rsidRPr="003019B2">
        <w:t xml:space="preserve"> propre rôle, il cherche à montrer l'exemple et à promouvoir la diversité et l'inclusion.</w:t>
      </w:r>
    </w:p>
    <w:p w14:paraId="1F538817" w14:textId="36AB64E8" w:rsidR="00CA7A0F" w:rsidRPr="003019B2" w:rsidRDefault="003F5140" w:rsidP="007164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</w:rPr>
      </w:pPr>
      <w:bookmarkStart w:id="25" w:name="lt_pId084"/>
      <w:bookmarkEnd w:id="24"/>
      <w:r w:rsidRPr="003019B2">
        <w:rPr>
          <w:b/>
          <w:bCs/>
        </w:rPr>
        <w:t>La séance est levée à 11 h 00</w:t>
      </w:r>
      <w:r w:rsidRPr="003019B2">
        <w:rPr>
          <w:rFonts w:asciiTheme="minorHAnsi" w:hAnsiTheme="minorHAnsi"/>
          <w:b/>
          <w:bCs/>
          <w:szCs w:val="24"/>
        </w:rPr>
        <w:t>.</w:t>
      </w:r>
      <w:bookmarkEnd w:id="25"/>
    </w:p>
    <w:p w14:paraId="6298A1D6" w14:textId="08299737" w:rsidR="00CA7A0F" w:rsidRDefault="003F5140" w:rsidP="007164A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</w:pPr>
      <w:r w:rsidRPr="003019B2">
        <w:t xml:space="preserve">Le Secrétaire </w:t>
      </w:r>
      <w:proofErr w:type="gramStart"/>
      <w:r w:rsidRPr="003019B2">
        <w:t>général:</w:t>
      </w:r>
      <w:proofErr w:type="gramEnd"/>
      <w:r w:rsidR="001B5F93" w:rsidRPr="003019B2">
        <w:tab/>
      </w:r>
      <w:r w:rsidRPr="003019B2">
        <w:t>Le Président:</w:t>
      </w:r>
      <w:r w:rsidRPr="003019B2">
        <w:br/>
        <w:t>H. ZHAO</w:t>
      </w:r>
      <w:r w:rsidR="001B5F93" w:rsidRPr="003019B2">
        <w:tab/>
      </w:r>
      <w:r w:rsidRPr="003019B2">
        <w:t>S. SĂRMAȘ</w:t>
      </w:r>
    </w:p>
    <w:p w14:paraId="3E9AC2B7" w14:textId="651D4422" w:rsidR="00907B9B" w:rsidRPr="003247F1" w:rsidRDefault="00907B9B" w:rsidP="00907B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  <w:jc w:val="center"/>
      </w:pPr>
      <w:r>
        <w:rPr>
          <w:rFonts w:asciiTheme="minorEastAsia" w:eastAsiaTheme="minorEastAsia" w:hAnsiTheme="minorEastAsia" w:hint="eastAsia"/>
          <w:lang w:eastAsia="zh-CN"/>
        </w:rPr>
        <w:t>_</w:t>
      </w:r>
      <w:r>
        <w:rPr>
          <w:rFonts w:asciiTheme="minorEastAsia" w:eastAsiaTheme="minorEastAsia" w:hAnsiTheme="minorEastAsia"/>
          <w:lang w:eastAsia="zh-CN"/>
        </w:rPr>
        <w:t>_____________________</w:t>
      </w:r>
    </w:p>
    <w:sectPr w:rsidR="00907B9B" w:rsidRPr="003247F1">
      <w:headerReference w:type="default" r:id="rId29"/>
      <w:footerReference w:type="default" r:id="rId30"/>
      <w:footerReference w:type="first" r:id="rId3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CA7A0F" w:rsidRDefault="003F5140">
      <w:r>
        <w:separator/>
      </w:r>
    </w:p>
  </w:endnote>
  <w:endnote w:type="continuationSeparator" w:id="0">
    <w:p w14:paraId="171487AF" w14:textId="77777777" w:rsidR="00CA7A0F" w:rsidRDefault="003F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A42" w14:textId="1E858283" w:rsidR="00CA7A0F" w:rsidRDefault="003F514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019B2">
      <w:rPr>
        <w:noProof/>
        <w:lang w:val="en-US"/>
      </w:rPr>
      <w:t>P:\FRA\SG\CONF-SG\PP22\200\205F.docx</w:t>
    </w:r>
    <w:r>
      <w:fldChar w:fldCharType="end"/>
    </w:r>
    <w:r>
      <w:rPr>
        <w:lang w:val="en-US"/>
      </w:rPr>
      <w:t xml:space="preserve"> (515441)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35386948" w:rsidR="00CA7A0F" w:rsidRDefault="003F5140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CA7A0F" w:rsidRDefault="003F5140">
      <w:r>
        <w:t>____________________</w:t>
      </w:r>
    </w:p>
  </w:footnote>
  <w:footnote w:type="continuationSeparator" w:id="0">
    <w:p w14:paraId="38068C51" w14:textId="77777777" w:rsidR="00CA7A0F" w:rsidRDefault="003F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262DEFAB" w:rsidR="00CA7A0F" w:rsidRDefault="003F514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19B2">
      <w:rPr>
        <w:noProof/>
      </w:rPr>
      <w:t>6</w:t>
    </w:r>
    <w:r>
      <w:fldChar w:fldCharType="end"/>
    </w:r>
  </w:p>
  <w:p w14:paraId="650D8FD2" w14:textId="0F8221D4" w:rsidR="00CA7A0F" w:rsidRDefault="003F5140">
    <w:pPr>
      <w:pStyle w:val="Header"/>
    </w:pPr>
    <w:r>
      <w:t>PP22/205-F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DC3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3842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883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CC6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ECE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C8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8D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D8A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0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806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3492674">
    <w:abstractNumId w:val="9"/>
  </w:num>
  <w:num w:numId="2" w16cid:durableId="181208531">
    <w:abstractNumId w:val="7"/>
  </w:num>
  <w:num w:numId="3" w16cid:durableId="2067559265">
    <w:abstractNumId w:val="6"/>
  </w:num>
  <w:num w:numId="4" w16cid:durableId="186138872">
    <w:abstractNumId w:val="5"/>
  </w:num>
  <w:num w:numId="5" w16cid:durableId="1264804620">
    <w:abstractNumId w:val="4"/>
  </w:num>
  <w:num w:numId="6" w16cid:durableId="2071997709">
    <w:abstractNumId w:val="8"/>
  </w:num>
  <w:num w:numId="7" w16cid:durableId="983968854">
    <w:abstractNumId w:val="3"/>
  </w:num>
  <w:num w:numId="8" w16cid:durableId="983774967">
    <w:abstractNumId w:val="2"/>
  </w:num>
  <w:num w:numId="9" w16cid:durableId="2080008565">
    <w:abstractNumId w:val="1"/>
  </w:num>
  <w:num w:numId="10" w16cid:durableId="8048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0F"/>
    <w:rsid w:val="001B5F93"/>
    <w:rsid w:val="001F5A8D"/>
    <w:rsid w:val="00200A10"/>
    <w:rsid w:val="00236293"/>
    <w:rsid w:val="002D6EAB"/>
    <w:rsid w:val="003019B2"/>
    <w:rsid w:val="003247F1"/>
    <w:rsid w:val="003F5140"/>
    <w:rsid w:val="004A5D2F"/>
    <w:rsid w:val="004D738F"/>
    <w:rsid w:val="005205D0"/>
    <w:rsid w:val="007164AD"/>
    <w:rsid w:val="007E6A18"/>
    <w:rsid w:val="008C368E"/>
    <w:rsid w:val="00907B9B"/>
    <w:rsid w:val="009C237A"/>
    <w:rsid w:val="00B62D2C"/>
    <w:rsid w:val="00BE0CD3"/>
    <w:rsid w:val="00C42E33"/>
    <w:rsid w:val="00C96790"/>
    <w:rsid w:val="00CA7413"/>
    <w:rsid w:val="00CA7A0F"/>
    <w:rsid w:val="00DD6443"/>
    <w:rsid w:val="00E244FC"/>
    <w:rsid w:val="00E360CA"/>
    <w:rsid w:val="00EB1372"/>
    <w:rsid w:val="00F543B8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</w:style>
  <w:style w:type="paragraph" w:customStyle="1" w:styleId="AnnexNoS2">
    <w:name w:val="Annex_No_S2"/>
    <w:basedOn w:val="AnnexNo"/>
    <w:next w:val="Anne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Pr>
      <w:b w:val="0"/>
      <w:i/>
    </w:rPr>
  </w:style>
  <w:style w:type="paragraph" w:customStyle="1" w:styleId="Heading1cS2">
    <w:name w:val="Heading 1c_S2"/>
    <w:basedOn w:val="Heading1c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Pr>
      <w:rFonts w:ascii="Calibri" w:hAnsi="Calibri"/>
    </w:rPr>
  </w:style>
  <w:style w:type="character" w:styleId="Hyperlink">
    <w:name w:val="Hyperlink"/>
    <w:basedOn w:val="DefaultParagraphFont"/>
    <w:uiPriority w:val="99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</w:style>
  <w:style w:type="paragraph" w:customStyle="1" w:styleId="Dectitle">
    <w:name w:val="Dec_title"/>
    <w:basedOn w:val="Restitle"/>
    <w:next w:val="Normalaftertitle"/>
    <w:qFormat/>
  </w:style>
  <w:style w:type="paragraph" w:customStyle="1" w:styleId="DecNo">
    <w:name w:val="Dec_No"/>
    <w:basedOn w:val="ResNo"/>
    <w:next w:val="Dectitle"/>
    <w:qFormat/>
  </w:style>
  <w:style w:type="paragraph" w:customStyle="1" w:styleId="DectitleS2">
    <w:name w:val="Dec_title_S2"/>
    <w:basedOn w:val="RestitleS2"/>
    <w:next w:val="Normal"/>
    <w:qFormat/>
  </w:style>
  <w:style w:type="paragraph" w:customStyle="1" w:styleId="DecNoS2">
    <w:name w:val="Dec_No_S2"/>
    <w:basedOn w:val="ResNoS2"/>
    <w:next w:val="DectitleS2"/>
    <w:qFormat/>
  </w:style>
  <w:style w:type="paragraph" w:customStyle="1" w:styleId="SectionNo">
    <w:name w:val="Section_No"/>
    <w:basedOn w:val="ArtNo"/>
    <w:next w:val="Normal"/>
    <w:qFormat/>
    <w:rPr>
      <w:lang w:val="en-GB"/>
    </w:rPr>
  </w:style>
  <w:style w:type="paragraph" w:customStyle="1" w:styleId="SectionNoS2">
    <w:name w:val="Section_No_S2"/>
    <w:basedOn w:val="ArtNoS2"/>
    <w:next w:val="Normal"/>
    <w:qFormat/>
    <w:rPr>
      <w:lang w:val="en-GB"/>
    </w:rPr>
  </w:style>
  <w:style w:type="paragraph" w:customStyle="1" w:styleId="Sectiontitle">
    <w:name w:val="Section_title"/>
    <w:basedOn w:val="Arttitle"/>
    <w:next w:val="Normalaftertitle"/>
    <w:qFormat/>
    <w:rPr>
      <w:lang w:val="en-GB"/>
    </w:rPr>
  </w:style>
  <w:style w:type="paragraph" w:customStyle="1" w:styleId="SectiontitleS2">
    <w:name w:val="Section_title_S2"/>
    <w:basedOn w:val="ArttitleS2"/>
    <w:next w:val="Normal"/>
    <w:qFormat/>
    <w:rPr>
      <w:lang w:val="en-GB"/>
    </w:rPr>
  </w:style>
  <w:style w:type="paragraph" w:customStyle="1" w:styleId="Proposal">
    <w:name w:val="Proposal"/>
    <w:basedOn w:val="Normal"/>
    <w:next w:val="Normal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A7413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84/en" TargetMode="External"/><Relationship Id="rId18" Type="http://schemas.openxmlformats.org/officeDocument/2006/relationships/hyperlink" Target="https://www.itu.int/md/S22-PP-C-0175/en" TargetMode="External"/><Relationship Id="rId26" Type="http://schemas.openxmlformats.org/officeDocument/2006/relationships/hyperlink" Target="https://www.itu.int/md/S22-PP-C-015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PP-C-017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83/en" TargetMode="External"/><Relationship Id="rId17" Type="http://schemas.openxmlformats.org/officeDocument/2006/relationships/hyperlink" Target="https://www.itu.int/md/S22-PP-C-0178/en" TargetMode="External"/><Relationship Id="rId25" Type="http://schemas.openxmlformats.org/officeDocument/2006/relationships/hyperlink" Target="https://www.itu.int/md/S22-PP-C-0184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168/en" TargetMode="External"/><Relationship Id="rId20" Type="http://schemas.openxmlformats.org/officeDocument/2006/relationships/hyperlink" Target="https://www.itu.int/md/S22-PP-C-0179/en" TargetMode="Externa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79/en" TargetMode="External"/><Relationship Id="rId24" Type="http://schemas.openxmlformats.org/officeDocument/2006/relationships/hyperlink" Target="https://www.itu.int/md/S22-PP-C-0184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152/en" TargetMode="External"/><Relationship Id="rId23" Type="http://schemas.openxmlformats.org/officeDocument/2006/relationships/hyperlink" Target="https://www.itu.int/md/S22-PP-C-0183/en" TargetMode="External"/><Relationship Id="rId28" Type="http://schemas.openxmlformats.org/officeDocument/2006/relationships/hyperlink" Target="https://www.itu.int/md/S22-PP-C-0168/en" TargetMode="External"/><Relationship Id="rId10" Type="http://schemas.openxmlformats.org/officeDocument/2006/relationships/hyperlink" Target="https://www.itu.int/md/S22-PP-C-0175/en" TargetMode="External"/><Relationship Id="rId19" Type="http://schemas.openxmlformats.org/officeDocument/2006/relationships/hyperlink" Target="https://www.itu.int/md/S22-PP-C-0175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178/en" TargetMode="External"/><Relationship Id="rId14" Type="http://schemas.openxmlformats.org/officeDocument/2006/relationships/hyperlink" Target="https://www.itu.int/md/S22-PP-C-0151/en" TargetMode="External"/><Relationship Id="rId22" Type="http://schemas.openxmlformats.org/officeDocument/2006/relationships/hyperlink" Target="https://www.itu.int/md/S22-PP-C-0183/en" TargetMode="External"/><Relationship Id="rId27" Type="http://schemas.openxmlformats.org/officeDocument/2006/relationships/hyperlink" Target="https://www.itu.int/md/S22-PP-C-0152/en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2175</Words>
  <Characters>13339</Characters>
  <Application>Microsoft Office Word</Application>
  <DocSecurity>4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Xue, Kun</cp:lastModifiedBy>
  <cp:revision>2</cp:revision>
  <dcterms:created xsi:type="dcterms:W3CDTF">2022-11-21T07:58:00Z</dcterms:created>
  <dcterms:modified xsi:type="dcterms:W3CDTF">2022-11-21T07:58:00Z</dcterms:modified>
  <cp:category>Conference document</cp:category>
</cp:coreProperties>
</file>