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2CCF697C"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4B4069">
              <w:rPr>
                <w:rFonts w:cstheme="minorHAnsi"/>
                <w:b/>
                <w:szCs w:val="24"/>
              </w:rPr>
              <w:t>20</w:t>
            </w:r>
            <w:r w:rsidR="00556A6E">
              <w:rPr>
                <w:rFonts w:cstheme="minorHAnsi"/>
                <w:b/>
                <w:szCs w:val="24"/>
              </w:rPr>
              <w:t>5</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285B23CE" w:rsidR="001A16ED" w:rsidRPr="00D96B4B" w:rsidRDefault="004B4069" w:rsidP="003740BC">
            <w:pPr>
              <w:spacing w:before="0"/>
              <w:rPr>
                <w:rFonts w:cstheme="minorHAnsi"/>
                <w:szCs w:val="24"/>
              </w:rPr>
            </w:pPr>
            <w:r>
              <w:rPr>
                <w:rFonts w:cstheme="minorHAnsi"/>
                <w:b/>
                <w:szCs w:val="24"/>
              </w:rPr>
              <w:t>26 October</w:t>
            </w:r>
            <w:r w:rsidR="001A16ED" w:rsidRPr="00D96B4B">
              <w:rPr>
                <w:rFonts w:cstheme="minorHAnsi"/>
                <w:b/>
                <w:szCs w:val="24"/>
              </w:rPr>
              <w:t xml:space="preserve"> 202</w:t>
            </w:r>
            <w:r w:rsidR="00027EF2" w:rsidRPr="00027EF2">
              <w:rPr>
                <w:rFonts w:cstheme="minorHAnsi" w:hint="eastAsia"/>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03CCFD97" w14:textId="77777777" w:rsidTr="006A046E">
        <w:trPr>
          <w:cantSplit/>
          <w:trHeight w:val="23"/>
        </w:trPr>
        <w:tc>
          <w:tcPr>
            <w:tcW w:w="10031" w:type="dxa"/>
            <w:gridSpan w:val="2"/>
            <w:shd w:val="clear" w:color="auto" w:fill="auto"/>
          </w:tcPr>
          <w:p w14:paraId="6A6252AC" w14:textId="77777777" w:rsidR="00704BB1" w:rsidRDefault="00704BB1" w:rsidP="00704BB1">
            <w:pPr>
              <w:pStyle w:val="Title1"/>
            </w:pPr>
            <w:r>
              <w:t>MINUTES</w:t>
            </w:r>
          </w:p>
          <w:p w14:paraId="590A8F90" w14:textId="77777777" w:rsidR="00704BB1" w:rsidRDefault="00704BB1" w:rsidP="00704BB1">
            <w:pPr>
              <w:pStyle w:val="Title1"/>
            </w:pPr>
            <w:r>
              <w:t>OF THE</w:t>
            </w:r>
          </w:p>
          <w:p w14:paraId="31A43689" w14:textId="65E27971" w:rsidR="001A16ED" w:rsidRDefault="00920A67" w:rsidP="00704BB1">
            <w:pPr>
              <w:pStyle w:val="Title1"/>
            </w:pPr>
            <w:r>
              <w:t>F</w:t>
            </w:r>
            <w:r w:rsidR="00556A6E">
              <w:t>if</w:t>
            </w:r>
            <w:r>
              <w:t>teenth</w:t>
            </w:r>
            <w:r w:rsidR="00704BB1">
              <w:t xml:space="preserve"> PLENARY MEETING</w:t>
            </w:r>
          </w:p>
        </w:tc>
      </w:tr>
      <w:tr w:rsidR="001A16ED" w:rsidRPr="00C324A8" w14:paraId="4A763F4F" w14:textId="77777777" w:rsidTr="006A046E">
        <w:trPr>
          <w:cantSplit/>
          <w:trHeight w:val="23"/>
        </w:trPr>
        <w:tc>
          <w:tcPr>
            <w:tcW w:w="10031" w:type="dxa"/>
            <w:gridSpan w:val="2"/>
            <w:shd w:val="clear" w:color="auto" w:fill="auto"/>
          </w:tcPr>
          <w:p w14:paraId="6A2938D5" w14:textId="0468253B" w:rsidR="001A16ED" w:rsidRDefault="00B47EF2" w:rsidP="006A046E">
            <w:pPr>
              <w:pStyle w:val="Title2"/>
            </w:pPr>
            <w:r w:rsidRPr="00B47EF2">
              <w:rPr>
                <w:caps w:val="0"/>
                <w:lang w:val="en-CA"/>
              </w:rPr>
              <w:t>Wednesday, 12 October 2022, at 0935 hours</w:t>
            </w:r>
          </w:p>
        </w:tc>
      </w:tr>
      <w:tr w:rsidR="001A16ED" w:rsidRPr="00C324A8" w14:paraId="64120A18" w14:textId="77777777" w:rsidTr="006A046E">
        <w:trPr>
          <w:cantSplit/>
          <w:trHeight w:val="23"/>
        </w:trPr>
        <w:tc>
          <w:tcPr>
            <w:tcW w:w="10031" w:type="dxa"/>
            <w:gridSpan w:val="2"/>
            <w:shd w:val="clear" w:color="auto" w:fill="auto"/>
          </w:tcPr>
          <w:p w14:paraId="3567A42C" w14:textId="2F789EFD" w:rsidR="001A16ED" w:rsidRPr="00D32543" w:rsidRDefault="00603C33" w:rsidP="006A046E">
            <w:pPr>
              <w:pStyle w:val="Agendaitem"/>
              <w:rPr>
                <w:lang w:val="en-GB"/>
              </w:rPr>
            </w:pPr>
            <w:r w:rsidRPr="00603C33">
              <w:rPr>
                <w:b/>
                <w:bCs/>
                <w:lang w:val="en-CA"/>
              </w:rPr>
              <w:t>Chairman:</w:t>
            </w:r>
            <w:r w:rsidRPr="00603C33">
              <w:rPr>
                <w:lang w:val="en-CA"/>
              </w:rPr>
              <w:t xml:space="preserve"> </w:t>
            </w:r>
            <w:r w:rsidRPr="00603C33">
              <w:rPr>
                <w:bCs/>
                <w:lang w:val="en-CA"/>
              </w:rPr>
              <w:t xml:space="preserve">Mr Sabin </w:t>
            </w:r>
            <w:proofErr w:type="spellStart"/>
            <w:r w:rsidRPr="00603C33">
              <w:rPr>
                <w:bCs/>
                <w:lang w:val="en-CA"/>
              </w:rPr>
              <w:t>Sărmaș</w:t>
            </w:r>
            <w:proofErr w:type="spellEnd"/>
            <w:r w:rsidRPr="00603C33">
              <w:rPr>
                <w:bCs/>
                <w:lang w:val="en-CA"/>
              </w:rPr>
              <w:t xml:space="preserve"> (Romania)</w:t>
            </w:r>
          </w:p>
        </w:tc>
      </w:tr>
      <w:bookmarkEnd w:id="7"/>
      <w:bookmarkEnd w:id="8"/>
    </w:tbl>
    <w:tbl>
      <w:tblPr>
        <w:tblW w:w="10031" w:type="dxa"/>
        <w:tblLayout w:type="fixed"/>
        <w:tblLook w:val="0000" w:firstRow="0" w:lastRow="0" w:firstColumn="0" w:lastColumn="0" w:noHBand="0" w:noVBand="0"/>
      </w:tblPr>
      <w:tblGrid>
        <w:gridCol w:w="534"/>
        <w:gridCol w:w="7830"/>
        <w:gridCol w:w="1667"/>
      </w:tblGrid>
      <w:tr w:rsidR="007032DE" w:rsidRPr="00317D7A" w14:paraId="50E9BCFC" w14:textId="77777777" w:rsidTr="00D3237F">
        <w:tc>
          <w:tcPr>
            <w:tcW w:w="534" w:type="dxa"/>
          </w:tcPr>
          <w:p w14:paraId="4C48A3DF" w14:textId="77777777" w:rsidR="007032DE" w:rsidRPr="00317D7A" w:rsidRDefault="007032DE" w:rsidP="0045169D">
            <w:pPr>
              <w:tabs>
                <w:tab w:val="right" w:pos="9781"/>
              </w:tabs>
              <w:spacing w:before="100" w:after="120"/>
              <w:rPr>
                <w:rFonts w:eastAsia="Times New Roman"/>
                <w:b/>
                <w:szCs w:val="24"/>
                <w:lang w:val="en-CA"/>
              </w:rPr>
            </w:pPr>
          </w:p>
        </w:tc>
        <w:tc>
          <w:tcPr>
            <w:tcW w:w="7830" w:type="dxa"/>
          </w:tcPr>
          <w:p w14:paraId="19C38C56" w14:textId="77777777" w:rsidR="007032DE" w:rsidRPr="00317D7A" w:rsidRDefault="007032DE" w:rsidP="0045169D">
            <w:pPr>
              <w:tabs>
                <w:tab w:val="right" w:pos="9781"/>
              </w:tabs>
              <w:spacing w:before="100" w:after="120"/>
              <w:rPr>
                <w:rFonts w:eastAsia="Times New Roman"/>
                <w:b/>
                <w:szCs w:val="24"/>
                <w:lang w:val="en-CA"/>
              </w:rPr>
            </w:pPr>
            <w:r w:rsidRPr="00317D7A">
              <w:rPr>
                <w:rFonts w:eastAsia="Times New Roman"/>
                <w:b/>
                <w:szCs w:val="24"/>
                <w:lang w:val="en-CA"/>
              </w:rPr>
              <w:t>Subjects discussed</w:t>
            </w:r>
          </w:p>
        </w:tc>
        <w:tc>
          <w:tcPr>
            <w:tcW w:w="1667" w:type="dxa"/>
          </w:tcPr>
          <w:p w14:paraId="7DEB8F69" w14:textId="77777777" w:rsidR="007032DE" w:rsidRPr="00317D7A" w:rsidRDefault="007032DE" w:rsidP="0045169D">
            <w:pPr>
              <w:tabs>
                <w:tab w:val="right" w:pos="9781"/>
              </w:tabs>
              <w:spacing w:before="100" w:after="120"/>
              <w:jc w:val="center"/>
              <w:rPr>
                <w:rFonts w:eastAsia="Times New Roman"/>
                <w:b/>
                <w:szCs w:val="24"/>
                <w:lang w:val="en-CA"/>
              </w:rPr>
            </w:pPr>
            <w:r w:rsidRPr="00317D7A">
              <w:rPr>
                <w:rFonts w:eastAsia="Times New Roman"/>
                <w:b/>
                <w:szCs w:val="24"/>
                <w:lang w:val="en-CA"/>
              </w:rPr>
              <w:t>Documents</w:t>
            </w:r>
          </w:p>
        </w:tc>
      </w:tr>
      <w:tr w:rsidR="0045157C" w:rsidRPr="00317D7A" w14:paraId="5DEEB2B7" w14:textId="77777777" w:rsidTr="00D3237F">
        <w:tc>
          <w:tcPr>
            <w:tcW w:w="534" w:type="dxa"/>
          </w:tcPr>
          <w:p w14:paraId="3203E38B" w14:textId="716D3932" w:rsidR="0045157C" w:rsidRPr="00317D7A" w:rsidRDefault="0045157C" w:rsidP="00445645">
            <w:pPr>
              <w:spacing w:before="60" w:after="60"/>
              <w:ind w:left="567" w:hanging="567"/>
              <w:rPr>
                <w:rFonts w:eastAsia="Times New Roman"/>
                <w:szCs w:val="24"/>
                <w:lang w:val="en-CA"/>
              </w:rPr>
            </w:pPr>
            <w:r w:rsidRPr="00554EF0">
              <w:rPr>
                <w:szCs w:val="24"/>
              </w:rPr>
              <w:t>1</w:t>
            </w:r>
          </w:p>
        </w:tc>
        <w:tc>
          <w:tcPr>
            <w:tcW w:w="7830" w:type="dxa"/>
          </w:tcPr>
          <w:p w14:paraId="5A3D16B9" w14:textId="3196973F" w:rsidR="0045157C" w:rsidRPr="00317D7A" w:rsidRDefault="0045157C" w:rsidP="00445645">
            <w:pPr>
              <w:tabs>
                <w:tab w:val="left" w:pos="6"/>
              </w:tabs>
              <w:spacing w:before="60" w:after="60" w:line="276" w:lineRule="auto"/>
              <w:ind w:left="6"/>
              <w:rPr>
                <w:rFonts w:eastAsia="Times New Roman"/>
                <w:szCs w:val="24"/>
                <w:lang w:val="en-CA"/>
              </w:rPr>
            </w:pPr>
            <w:r w:rsidRPr="00554EF0">
              <w:rPr>
                <w:szCs w:val="24"/>
              </w:rPr>
              <w:t xml:space="preserve">Preparation for the </w:t>
            </w:r>
            <w:r>
              <w:rPr>
                <w:szCs w:val="24"/>
              </w:rPr>
              <w:t>2024 w</w:t>
            </w:r>
            <w:r w:rsidRPr="00554EF0">
              <w:rPr>
                <w:szCs w:val="24"/>
              </w:rPr>
              <w:t xml:space="preserve">orld </w:t>
            </w:r>
            <w:r>
              <w:rPr>
                <w:szCs w:val="24"/>
              </w:rPr>
              <w:t>t</w:t>
            </w:r>
            <w:r w:rsidRPr="00554EF0">
              <w:rPr>
                <w:szCs w:val="24"/>
              </w:rPr>
              <w:t xml:space="preserve">elecommunication </w:t>
            </w:r>
            <w:r>
              <w:rPr>
                <w:szCs w:val="24"/>
              </w:rPr>
              <w:t>s</w:t>
            </w:r>
            <w:r w:rsidRPr="00554EF0">
              <w:rPr>
                <w:szCs w:val="24"/>
              </w:rPr>
              <w:t xml:space="preserve">tandardization </w:t>
            </w:r>
            <w:r>
              <w:rPr>
                <w:szCs w:val="24"/>
              </w:rPr>
              <w:t>a</w:t>
            </w:r>
            <w:r w:rsidRPr="00554EF0">
              <w:rPr>
                <w:szCs w:val="24"/>
              </w:rPr>
              <w:t>ssembly</w:t>
            </w:r>
          </w:p>
        </w:tc>
        <w:tc>
          <w:tcPr>
            <w:tcW w:w="1667" w:type="dxa"/>
          </w:tcPr>
          <w:p w14:paraId="749D9F21" w14:textId="39DB7FF2" w:rsidR="0045157C" w:rsidRPr="00317D7A" w:rsidRDefault="00C224C3" w:rsidP="00445645">
            <w:pPr>
              <w:spacing w:before="60" w:after="60"/>
              <w:jc w:val="center"/>
              <w:rPr>
                <w:rFonts w:eastAsia="Times New Roman"/>
                <w:szCs w:val="24"/>
                <w:lang w:val="en-CA"/>
              </w:rPr>
            </w:pPr>
            <w:hyperlink r:id="rId12" w:history="1">
              <w:r w:rsidR="0045157C" w:rsidRPr="00C224C3">
                <w:rPr>
                  <w:rStyle w:val="Hyperlink"/>
                  <w:szCs w:val="24"/>
                </w:rPr>
                <w:t>178</w:t>
              </w:r>
            </w:hyperlink>
          </w:p>
        </w:tc>
      </w:tr>
      <w:tr w:rsidR="0045157C" w:rsidRPr="00317D7A" w14:paraId="5D99CFEE" w14:textId="77777777" w:rsidTr="00D3237F">
        <w:tc>
          <w:tcPr>
            <w:tcW w:w="534" w:type="dxa"/>
          </w:tcPr>
          <w:p w14:paraId="294B0EE4" w14:textId="7702B775" w:rsidR="0045157C" w:rsidRPr="00317D7A" w:rsidRDefault="0045157C" w:rsidP="00445645">
            <w:pPr>
              <w:spacing w:before="60" w:after="60"/>
              <w:ind w:left="567" w:hanging="567"/>
              <w:rPr>
                <w:rFonts w:eastAsia="Times New Roman"/>
                <w:szCs w:val="24"/>
                <w:lang w:val="en-CA"/>
              </w:rPr>
            </w:pPr>
            <w:r w:rsidRPr="00554EF0">
              <w:rPr>
                <w:szCs w:val="24"/>
              </w:rPr>
              <w:t>2</w:t>
            </w:r>
          </w:p>
        </w:tc>
        <w:tc>
          <w:tcPr>
            <w:tcW w:w="7830" w:type="dxa"/>
          </w:tcPr>
          <w:p w14:paraId="3F8716B2" w14:textId="74ACB68A" w:rsidR="0045157C" w:rsidRPr="00317D7A" w:rsidRDefault="0045157C" w:rsidP="00445645">
            <w:pPr>
              <w:spacing w:before="60" w:after="60"/>
              <w:rPr>
                <w:rFonts w:eastAsia="Times New Roman"/>
                <w:szCs w:val="24"/>
                <w:lang w:val="en-CA"/>
              </w:rPr>
            </w:pPr>
            <w:r w:rsidRPr="00554EF0">
              <w:rPr>
                <w:szCs w:val="24"/>
              </w:rPr>
              <w:t>Nineteenth series of texts submitted by the Editorial Committee for first reading (B.19)</w:t>
            </w:r>
          </w:p>
        </w:tc>
        <w:tc>
          <w:tcPr>
            <w:tcW w:w="1667" w:type="dxa"/>
          </w:tcPr>
          <w:p w14:paraId="3C7E8AA6" w14:textId="27C7F887" w:rsidR="0045157C" w:rsidRPr="00317D7A" w:rsidRDefault="00C224C3" w:rsidP="00445645">
            <w:pPr>
              <w:spacing w:before="60" w:after="60"/>
              <w:jc w:val="center"/>
              <w:rPr>
                <w:rFonts w:eastAsia="Times New Roman"/>
                <w:szCs w:val="24"/>
                <w:lang w:val="en-CA"/>
              </w:rPr>
            </w:pPr>
            <w:hyperlink r:id="rId13" w:history="1">
              <w:r w:rsidR="0045157C" w:rsidRPr="00C224C3">
                <w:rPr>
                  <w:rStyle w:val="Hyperlink"/>
                  <w:szCs w:val="24"/>
                </w:rPr>
                <w:t>175</w:t>
              </w:r>
            </w:hyperlink>
          </w:p>
        </w:tc>
      </w:tr>
      <w:tr w:rsidR="0045157C" w:rsidRPr="00317D7A" w14:paraId="49408A80" w14:textId="77777777" w:rsidTr="00D3237F">
        <w:tc>
          <w:tcPr>
            <w:tcW w:w="534" w:type="dxa"/>
          </w:tcPr>
          <w:p w14:paraId="70CABE31" w14:textId="60F7F007" w:rsidR="0045157C" w:rsidRPr="00317D7A" w:rsidRDefault="0045157C" w:rsidP="00445645">
            <w:pPr>
              <w:spacing w:before="60" w:after="60"/>
              <w:ind w:left="567" w:hanging="567"/>
              <w:rPr>
                <w:rFonts w:eastAsia="Times New Roman"/>
                <w:szCs w:val="24"/>
                <w:lang w:val="en-CA"/>
              </w:rPr>
            </w:pPr>
            <w:r w:rsidRPr="00554EF0">
              <w:rPr>
                <w:szCs w:val="24"/>
              </w:rPr>
              <w:t>3</w:t>
            </w:r>
          </w:p>
        </w:tc>
        <w:tc>
          <w:tcPr>
            <w:tcW w:w="7830" w:type="dxa"/>
          </w:tcPr>
          <w:p w14:paraId="2CEF4ABF" w14:textId="3FC84C86" w:rsidR="0045157C" w:rsidRPr="00317D7A" w:rsidRDefault="0045157C" w:rsidP="00445645">
            <w:pPr>
              <w:spacing w:before="60" w:after="60"/>
              <w:rPr>
                <w:rFonts w:eastAsia="Times New Roman"/>
                <w:szCs w:val="24"/>
                <w:lang w:val="en-CA"/>
              </w:rPr>
            </w:pPr>
            <w:r w:rsidRPr="00554EF0">
              <w:rPr>
                <w:szCs w:val="24"/>
              </w:rPr>
              <w:t>Nineteenth series of texts submitted by the Editorial Committee – second reading</w:t>
            </w:r>
          </w:p>
        </w:tc>
        <w:tc>
          <w:tcPr>
            <w:tcW w:w="1667" w:type="dxa"/>
          </w:tcPr>
          <w:p w14:paraId="73135F6B" w14:textId="7E69A8E9" w:rsidR="0045157C" w:rsidRPr="00317D7A" w:rsidRDefault="0045157C" w:rsidP="00445645">
            <w:pPr>
              <w:spacing w:before="60" w:after="60"/>
              <w:jc w:val="center"/>
              <w:rPr>
                <w:rFonts w:eastAsia="Times New Roman"/>
                <w:szCs w:val="24"/>
                <w:lang w:val="en-CA"/>
              </w:rPr>
            </w:pPr>
            <w:r w:rsidRPr="00D27B57">
              <w:rPr>
                <w:szCs w:val="24"/>
              </w:rPr>
              <w:t>175</w:t>
            </w:r>
          </w:p>
        </w:tc>
      </w:tr>
      <w:tr w:rsidR="0045157C" w:rsidRPr="00317D7A" w14:paraId="35A944DE" w14:textId="77777777" w:rsidTr="00D3237F">
        <w:tc>
          <w:tcPr>
            <w:tcW w:w="534" w:type="dxa"/>
          </w:tcPr>
          <w:p w14:paraId="4C0E2971" w14:textId="3428A23E" w:rsidR="0045157C" w:rsidRPr="00317D7A" w:rsidRDefault="0045157C" w:rsidP="00445645">
            <w:pPr>
              <w:spacing w:before="60" w:after="60"/>
              <w:ind w:left="567" w:hanging="567"/>
              <w:rPr>
                <w:rFonts w:eastAsia="Times New Roman"/>
                <w:szCs w:val="24"/>
                <w:lang w:val="en-CA"/>
              </w:rPr>
            </w:pPr>
            <w:r w:rsidRPr="00554EF0">
              <w:rPr>
                <w:szCs w:val="24"/>
              </w:rPr>
              <w:t>4</w:t>
            </w:r>
          </w:p>
        </w:tc>
        <w:tc>
          <w:tcPr>
            <w:tcW w:w="7830" w:type="dxa"/>
          </w:tcPr>
          <w:p w14:paraId="56589ED4" w14:textId="0E32999F" w:rsidR="0045157C" w:rsidRPr="00317D7A" w:rsidRDefault="0045157C" w:rsidP="00445645">
            <w:pPr>
              <w:tabs>
                <w:tab w:val="left" w:pos="6"/>
                <w:tab w:val="left" w:pos="668"/>
                <w:tab w:val="left" w:pos="855"/>
              </w:tabs>
              <w:spacing w:before="60" w:after="60" w:line="276" w:lineRule="auto"/>
              <w:rPr>
                <w:rFonts w:eastAsia="Times New Roman"/>
                <w:szCs w:val="24"/>
                <w:lang w:val="en-CA"/>
              </w:rPr>
            </w:pPr>
            <w:r w:rsidRPr="00554EF0">
              <w:rPr>
                <w:szCs w:val="24"/>
              </w:rPr>
              <w:t>Twentieth series of texts submitted by the Editorial Committee for first reading (B.20)</w:t>
            </w:r>
          </w:p>
        </w:tc>
        <w:tc>
          <w:tcPr>
            <w:tcW w:w="1667" w:type="dxa"/>
          </w:tcPr>
          <w:p w14:paraId="20D20F7F" w14:textId="624A147D" w:rsidR="0045157C" w:rsidRPr="00317D7A" w:rsidRDefault="00C224C3" w:rsidP="00445645">
            <w:pPr>
              <w:spacing w:before="60" w:after="60"/>
              <w:jc w:val="center"/>
              <w:rPr>
                <w:rFonts w:eastAsia="Times New Roman"/>
                <w:szCs w:val="24"/>
                <w:lang w:val="en-CA"/>
              </w:rPr>
            </w:pPr>
            <w:hyperlink r:id="rId14" w:history="1">
              <w:r w:rsidR="0045157C" w:rsidRPr="00C224C3">
                <w:rPr>
                  <w:rStyle w:val="Hyperlink"/>
                  <w:rFonts w:cs="Calibri"/>
                  <w:szCs w:val="24"/>
                </w:rPr>
                <w:t>179</w:t>
              </w:r>
            </w:hyperlink>
          </w:p>
        </w:tc>
      </w:tr>
      <w:tr w:rsidR="0045157C" w:rsidRPr="00317D7A" w14:paraId="0BEE6478" w14:textId="77777777" w:rsidTr="00D3237F">
        <w:tc>
          <w:tcPr>
            <w:tcW w:w="534" w:type="dxa"/>
          </w:tcPr>
          <w:p w14:paraId="39C3C84C" w14:textId="101BB418" w:rsidR="0045157C" w:rsidRPr="00317D7A" w:rsidRDefault="0045157C" w:rsidP="00445645">
            <w:pPr>
              <w:spacing w:before="60" w:after="60"/>
              <w:ind w:left="567" w:hanging="567"/>
              <w:rPr>
                <w:rFonts w:eastAsia="Times New Roman"/>
                <w:szCs w:val="24"/>
                <w:lang w:val="en-CA"/>
              </w:rPr>
            </w:pPr>
            <w:r w:rsidRPr="00554EF0">
              <w:rPr>
                <w:szCs w:val="24"/>
              </w:rPr>
              <w:t>5</w:t>
            </w:r>
          </w:p>
        </w:tc>
        <w:tc>
          <w:tcPr>
            <w:tcW w:w="7830" w:type="dxa"/>
          </w:tcPr>
          <w:p w14:paraId="26E7E8AC" w14:textId="434504CF" w:rsidR="0045157C" w:rsidRPr="0032648D" w:rsidRDefault="0045157C" w:rsidP="00445645">
            <w:pPr>
              <w:spacing w:before="60" w:after="60"/>
              <w:rPr>
                <w:rFonts w:eastAsia="Times New Roman"/>
                <w:spacing w:val="-2"/>
                <w:szCs w:val="24"/>
                <w:lang w:val="en-CA"/>
              </w:rPr>
            </w:pPr>
            <w:r w:rsidRPr="00554EF0">
              <w:rPr>
                <w:szCs w:val="24"/>
              </w:rPr>
              <w:t>Twentieth series of texts submitted by the Editorial Committee – second reading</w:t>
            </w:r>
          </w:p>
        </w:tc>
        <w:tc>
          <w:tcPr>
            <w:tcW w:w="1667" w:type="dxa"/>
          </w:tcPr>
          <w:p w14:paraId="29D5D8E4" w14:textId="3B9336F5" w:rsidR="0045157C" w:rsidRPr="00317D7A" w:rsidRDefault="0045157C" w:rsidP="00445645">
            <w:pPr>
              <w:spacing w:before="60" w:after="60"/>
              <w:jc w:val="center"/>
              <w:rPr>
                <w:rFonts w:eastAsia="Times New Roman"/>
                <w:szCs w:val="24"/>
                <w:lang w:val="en-CA"/>
              </w:rPr>
            </w:pPr>
            <w:r w:rsidRPr="00D27B57">
              <w:rPr>
                <w:szCs w:val="24"/>
              </w:rPr>
              <w:t>179</w:t>
            </w:r>
          </w:p>
        </w:tc>
      </w:tr>
      <w:tr w:rsidR="0045157C" w:rsidRPr="00317D7A" w14:paraId="68212731" w14:textId="77777777" w:rsidTr="00D3237F">
        <w:tc>
          <w:tcPr>
            <w:tcW w:w="534" w:type="dxa"/>
          </w:tcPr>
          <w:p w14:paraId="53910790" w14:textId="13D46ABE" w:rsidR="0045157C" w:rsidRPr="00317D7A" w:rsidRDefault="0045157C" w:rsidP="00445645">
            <w:pPr>
              <w:spacing w:before="60" w:after="60"/>
              <w:ind w:left="567" w:hanging="567"/>
              <w:rPr>
                <w:rFonts w:eastAsia="Times New Roman"/>
                <w:szCs w:val="24"/>
                <w:lang w:val="en-CA"/>
              </w:rPr>
            </w:pPr>
            <w:r w:rsidRPr="00554EF0">
              <w:rPr>
                <w:szCs w:val="24"/>
              </w:rPr>
              <w:t>6</w:t>
            </w:r>
          </w:p>
        </w:tc>
        <w:tc>
          <w:tcPr>
            <w:tcW w:w="7830" w:type="dxa"/>
          </w:tcPr>
          <w:p w14:paraId="7DDC1373" w14:textId="11E23C70" w:rsidR="0045157C" w:rsidRPr="00317D7A" w:rsidRDefault="0045157C" w:rsidP="00445645">
            <w:pPr>
              <w:tabs>
                <w:tab w:val="left" w:pos="4660"/>
              </w:tabs>
              <w:spacing w:before="60" w:after="60"/>
              <w:rPr>
                <w:rFonts w:eastAsia="Times New Roman"/>
                <w:szCs w:val="24"/>
                <w:lang w:val="en-CA"/>
              </w:rPr>
            </w:pPr>
            <w:r w:rsidRPr="00554EF0">
              <w:rPr>
                <w:szCs w:val="24"/>
              </w:rPr>
              <w:t>Twenty-first series of texts submitted by the Editorial Committee for first reading (B.21)</w:t>
            </w:r>
          </w:p>
        </w:tc>
        <w:tc>
          <w:tcPr>
            <w:tcW w:w="1667" w:type="dxa"/>
          </w:tcPr>
          <w:p w14:paraId="7EE31171" w14:textId="75B78888" w:rsidR="0045157C" w:rsidRPr="00317D7A" w:rsidRDefault="005A7FFE" w:rsidP="00445645">
            <w:pPr>
              <w:spacing w:before="60" w:after="60"/>
              <w:jc w:val="center"/>
              <w:rPr>
                <w:rFonts w:eastAsia="Times New Roman"/>
                <w:szCs w:val="24"/>
                <w:lang w:val="en-CA"/>
              </w:rPr>
            </w:pPr>
            <w:hyperlink r:id="rId15" w:history="1">
              <w:r w:rsidR="0045157C" w:rsidRPr="005A7FFE">
                <w:rPr>
                  <w:rStyle w:val="Hyperlink"/>
                  <w:rFonts w:cs="Calibri"/>
                  <w:szCs w:val="24"/>
                </w:rPr>
                <w:t>183</w:t>
              </w:r>
            </w:hyperlink>
          </w:p>
        </w:tc>
      </w:tr>
      <w:tr w:rsidR="0045157C" w:rsidRPr="00317D7A" w14:paraId="0161AAD8" w14:textId="77777777" w:rsidTr="00D3237F">
        <w:tc>
          <w:tcPr>
            <w:tcW w:w="534" w:type="dxa"/>
          </w:tcPr>
          <w:p w14:paraId="5AE9687A" w14:textId="5D8483E3" w:rsidR="0045157C" w:rsidRPr="00317D7A" w:rsidRDefault="0045157C" w:rsidP="00445645">
            <w:pPr>
              <w:spacing w:before="60" w:after="60"/>
              <w:ind w:left="567" w:hanging="567"/>
              <w:rPr>
                <w:rFonts w:eastAsia="Times New Roman"/>
                <w:szCs w:val="24"/>
                <w:lang w:val="en-CA"/>
              </w:rPr>
            </w:pPr>
            <w:r w:rsidRPr="00554EF0">
              <w:rPr>
                <w:szCs w:val="24"/>
              </w:rPr>
              <w:t>7</w:t>
            </w:r>
          </w:p>
        </w:tc>
        <w:tc>
          <w:tcPr>
            <w:tcW w:w="7830" w:type="dxa"/>
          </w:tcPr>
          <w:p w14:paraId="4759FCD1" w14:textId="6E42699A" w:rsidR="0045157C" w:rsidRPr="00317D7A" w:rsidRDefault="0045157C" w:rsidP="00445645">
            <w:pPr>
              <w:tabs>
                <w:tab w:val="left" w:pos="4660"/>
              </w:tabs>
              <w:spacing w:before="60" w:after="60"/>
              <w:rPr>
                <w:rFonts w:eastAsia="Times New Roman"/>
                <w:szCs w:val="24"/>
                <w:lang w:val="en-CA"/>
              </w:rPr>
            </w:pPr>
            <w:r w:rsidRPr="00554EF0">
              <w:rPr>
                <w:szCs w:val="24"/>
              </w:rPr>
              <w:t>Twenty-first series of texts submitted by the Editorial Committee – second reading</w:t>
            </w:r>
          </w:p>
        </w:tc>
        <w:tc>
          <w:tcPr>
            <w:tcW w:w="1667" w:type="dxa"/>
          </w:tcPr>
          <w:p w14:paraId="6244B85D" w14:textId="3FBE7BEF" w:rsidR="0045157C" w:rsidRPr="00317D7A" w:rsidRDefault="0045157C" w:rsidP="00445645">
            <w:pPr>
              <w:spacing w:before="60" w:after="60"/>
              <w:jc w:val="center"/>
              <w:rPr>
                <w:rFonts w:eastAsia="Times New Roman"/>
                <w:szCs w:val="24"/>
                <w:lang w:val="en-CA"/>
              </w:rPr>
            </w:pPr>
            <w:r w:rsidRPr="00D27B57">
              <w:rPr>
                <w:szCs w:val="24"/>
              </w:rPr>
              <w:t>183</w:t>
            </w:r>
          </w:p>
        </w:tc>
      </w:tr>
      <w:tr w:rsidR="0045157C" w:rsidRPr="00317D7A" w14:paraId="3E1158DC" w14:textId="77777777" w:rsidTr="00D3237F">
        <w:tc>
          <w:tcPr>
            <w:tcW w:w="534" w:type="dxa"/>
          </w:tcPr>
          <w:p w14:paraId="1AE3D8E4" w14:textId="259355C5" w:rsidR="0045157C" w:rsidRPr="00317D7A" w:rsidRDefault="0045157C" w:rsidP="00445645">
            <w:pPr>
              <w:spacing w:before="60" w:after="60"/>
              <w:ind w:left="567" w:hanging="567"/>
              <w:rPr>
                <w:rFonts w:eastAsia="Times New Roman"/>
                <w:szCs w:val="24"/>
                <w:lang w:val="en-CA"/>
              </w:rPr>
            </w:pPr>
            <w:r w:rsidRPr="00554EF0">
              <w:rPr>
                <w:szCs w:val="24"/>
              </w:rPr>
              <w:t>8</w:t>
            </w:r>
          </w:p>
        </w:tc>
        <w:tc>
          <w:tcPr>
            <w:tcW w:w="7830" w:type="dxa"/>
          </w:tcPr>
          <w:p w14:paraId="3204740E" w14:textId="73631A76" w:rsidR="0045157C" w:rsidRPr="00317D7A" w:rsidRDefault="0045157C" w:rsidP="00445645">
            <w:pPr>
              <w:tabs>
                <w:tab w:val="left" w:pos="4660"/>
              </w:tabs>
              <w:spacing w:before="60" w:after="60"/>
              <w:rPr>
                <w:rFonts w:eastAsia="Times New Roman"/>
                <w:szCs w:val="24"/>
                <w:lang w:val="en-CA"/>
              </w:rPr>
            </w:pPr>
            <w:r w:rsidRPr="00554EF0">
              <w:rPr>
                <w:szCs w:val="24"/>
              </w:rPr>
              <w:t>Twenty-second series of texts submitted by the Editorial Committee for first reading (B.22)</w:t>
            </w:r>
          </w:p>
        </w:tc>
        <w:tc>
          <w:tcPr>
            <w:tcW w:w="1667" w:type="dxa"/>
          </w:tcPr>
          <w:p w14:paraId="6FE4F82A" w14:textId="2CA55DD3" w:rsidR="0045157C" w:rsidRPr="00317D7A" w:rsidRDefault="005A7FFE" w:rsidP="00445645">
            <w:pPr>
              <w:spacing w:before="60" w:after="60"/>
              <w:jc w:val="center"/>
              <w:rPr>
                <w:rFonts w:eastAsia="Times New Roman"/>
                <w:szCs w:val="24"/>
                <w:lang w:val="en-CA"/>
              </w:rPr>
            </w:pPr>
            <w:hyperlink r:id="rId16" w:history="1">
              <w:r w:rsidR="0045157C" w:rsidRPr="005A7FFE">
                <w:rPr>
                  <w:rStyle w:val="Hyperlink"/>
                  <w:rFonts w:cs="Calibri"/>
                  <w:szCs w:val="24"/>
                </w:rPr>
                <w:t>184</w:t>
              </w:r>
            </w:hyperlink>
          </w:p>
        </w:tc>
      </w:tr>
      <w:tr w:rsidR="00457B49" w:rsidRPr="00317D7A" w14:paraId="44305FE1" w14:textId="77777777" w:rsidTr="00D3237F">
        <w:tc>
          <w:tcPr>
            <w:tcW w:w="534" w:type="dxa"/>
          </w:tcPr>
          <w:p w14:paraId="53958F83" w14:textId="7A5D98B5" w:rsidR="00457B49" w:rsidRPr="00554EF0" w:rsidRDefault="00457B49" w:rsidP="00445645">
            <w:pPr>
              <w:spacing w:before="60" w:after="60"/>
              <w:ind w:left="567" w:hanging="567"/>
              <w:rPr>
                <w:szCs w:val="24"/>
              </w:rPr>
            </w:pPr>
            <w:r w:rsidRPr="00554EF0">
              <w:rPr>
                <w:szCs w:val="24"/>
              </w:rPr>
              <w:t>9</w:t>
            </w:r>
          </w:p>
        </w:tc>
        <w:tc>
          <w:tcPr>
            <w:tcW w:w="7830" w:type="dxa"/>
          </w:tcPr>
          <w:p w14:paraId="2BAF8968" w14:textId="73B84FDC" w:rsidR="00457B49" w:rsidRPr="00554EF0" w:rsidRDefault="00457B49" w:rsidP="00445645">
            <w:pPr>
              <w:tabs>
                <w:tab w:val="left" w:pos="4660"/>
              </w:tabs>
              <w:spacing w:before="60" w:after="60"/>
              <w:rPr>
                <w:szCs w:val="24"/>
              </w:rPr>
            </w:pPr>
            <w:r w:rsidRPr="00554EF0">
              <w:rPr>
                <w:szCs w:val="24"/>
              </w:rPr>
              <w:t>Twenty-second series of texts submitted by the Editorial Committee – second reading</w:t>
            </w:r>
          </w:p>
        </w:tc>
        <w:tc>
          <w:tcPr>
            <w:tcW w:w="1667" w:type="dxa"/>
          </w:tcPr>
          <w:p w14:paraId="08371514" w14:textId="00DCB1B9" w:rsidR="00457B49" w:rsidRPr="00D27B57" w:rsidRDefault="00457B49" w:rsidP="00445645">
            <w:pPr>
              <w:spacing w:before="60" w:after="60"/>
              <w:jc w:val="center"/>
              <w:rPr>
                <w:rFonts w:cs="Calibri"/>
                <w:szCs w:val="24"/>
              </w:rPr>
            </w:pPr>
            <w:r w:rsidRPr="00D27B57">
              <w:rPr>
                <w:szCs w:val="24"/>
              </w:rPr>
              <w:t>185</w:t>
            </w:r>
          </w:p>
        </w:tc>
      </w:tr>
      <w:tr w:rsidR="00457B49" w:rsidRPr="00317D7A" w14:paraId="16F0856E" w14:textId="77777777" w:rsidTr="00D3237F">
        <w:tc>
          <w:tcPr>
            <w:tcW w:w="534" w:type="dxa"/>
          </w:tcPr>
          <w:p w14:paraId="16026898" w14:textId="2D9AB0FE" w:rsidR="00457B49" w:rsidRPr="00554EF0" w:rsidRDefault="00457B49" w:rsidP="00445645">
            <w:pPr>
              <w:spacing w:before="60" w:after="60"/>
              <w:ind w:left="567" w:hanging="567"/>
              <w:rPr>
                <w:szCs w:val="24"/>
              </w:rPr>
            </w:pPr>
            <w:r w:rsidRPr="00554EF0">
              <w:rPr>
                <w:szCs w:val="24"/>
              </w:rPr>
              <w:t>10</w:t>
            </w:r>
          </w:p>
        </w:tc>
        <w:tc>
          <w:tcPr>
            <w:tcW w:w="7830" w:type="dxa"/>
          </w:tcPr>
          <w:p w14:paraId="75735AD2" w14:textId="2284CF40" w:rsidR="00457B49" w:rsidRPr="00554EF0" w:rsidRDefault="00457B49" w:rsidP="00445645">
            <w:pPr>
              <w:tabs>
                <w:tab w:val="left" w:pos="4660"/>
              </w:tabs>
              <w:spacing w:before="60" w:after="60"/>
              <w:rPr>
                <w:szCs w:val="24"/>
              </w:rPr>
            </w:pPr>
            <w:r w:rsidRPr="00554EF0">
              <w:rPr>
                <w:szCs w:val="24"/>
              </w:rPr>
              <w:t>Approval of minutes</w:t>
            </w:r>
          </w:p>
        </w:tc>
        <w:tc>
          <w:tcPr>
            <w:tcW w:w="1667" w:type="dxa"/>
          </w:tcPr>
          <w:p w14:paraId="65700EB1" w14:textId="4F26B5DD" w:rsidR="00457B49" w:rsidRPr="00D27B57" w:rsidRDefault="005A7FFE" w:rsidP="00445645">
            <w:pPr>
              <w:spacing w:before="60" w:after="60"/>
              <w:jc w:val="center"/>
              <w:rPr>
                <w:rFonts w:cs="Calibri"/>
                <w:szCs w:val="24"/>
              </w:rPr>
            </w:pPr>
            <w:hyperlink r:id="rId17" w:history="1">
              <w:r w:rsidR="00457B49" w:rsidRPr="005A7FFE">
                <w:rPr>
                  <w:rStyle w:val="Hyperlink"/>
                  <w:szCs w:val="24"/>
                </w:rPr>
                <w:t>151</w:t>
              </w:r>
            </w:hyperlink>
            <w:r w:rsidR="00457B49" w:rsidRPr="00D27B57">
              <w:rPr>
                <w:szCs w:val="24"/>
              </w:rPr>
              <w:t xml:space="preserve">, </w:t>
            </w:r>
            <w:hyperlink r:id="rId18" w:history="1">
              <w:r w:rsidR="00457B49" w:rsidRPr="005A7FFE">
                <w:rPr>
                  <w:rStyle w:val="Hyperlink"/>
                  <w:szCs w:val="24"/>
                </w:rPr>
                <w:t>152</w:t>
              </w:r>
            </w:hyperlink>
            <w:r w:rsidR="00457B49" w:rsidRPr="00D27B57">
              <w:rPr>
                <w:szCs w:val="24"/>
              </w:rPr>
              <w:t xml:space="preserve">, </w:t>
            </w:r>
            <w:hyperlink r:id="rId19" w:history="1">
              <w:r w:rsidR="00457B49" w:rsidRPr="00631A82">
                <w:rPr>
                  <w:rStyle w:val="Hyperlink"/>
                  <w:szCs w:val="24"/>
                </w:rPr>
                <w:t>168</w:t>
              </w:r>
            </w:hyperlink>
          </w:p>
        </w:tc>
      </w:tr>
      <w:tr w:rsidR="00457B49" w:rsidRPr="00317D7A" w14:paraId="169CC6AD" w14:textId="77777777" w:rsidTr="00D3237F">
        <w:tc>
          <w:tcPr>
            <w:tcW w:w="534" w:type="dxa"/>
          </w:tcPr>
          <w:p w14:paraId="18D8DD5E" w14:textId="5DA578A5" w:rsidR="00457B49" w:rsidRPr="00554EF0" w:rsidRDefault="00457B49" w:rsidP="00445645">
            <w:pPr>
              <w:spacing w:before="60" w:after="60"/>
              <w:ind w:left="567" w:hanging="567"/>
              <w:rPr>
                <w:szCs w:val="24"/>
              </w:rPr>
            </w:pPr>
            <w:r w:rsidRPr="00554EF0">
              <w:rPr>
                <w:szCs w:val="24"/>
              </w:rPr>
              <w:t>11</w:t>
            </w:r>
          </w:p>
        </w:tc>
        <w:tc>
          <w:tcPr>
            <w:tcW w:w="7830" w:type="dxa"/>
          </w:tcPr>
          <w:p w14:paraId="52B1153F" w14:textId="301236F2" w:rsidR="00457B49" w:rsidRPr="00554EF0" w:rsidRDefault="00457B49" w:rsidP="00445645">
            <w:pPr>
              <w:tabs>
                <w:tab w:val="left" w:pos="4660"/>
              </w:tabs>
              <w:spacing w:before="60" w:after="60"/>
              <w:rPr>
                <w:szCs w:val="24"/>
              </w:rPr>
            </w:pPr>
            <w:r>
              <w:rPr>
                <w:szCs w:val="24"/>
              </w:rPr>
              <w:t>Editorial matters</w:t>
            </w:r>
          </w:p>
        </w:tc>
        <w:tc>
          <w:tcPr>
            <w:tcW w:w="1667" w:type="dxa"/>
          </w:tcPr>
          <w:p w14:paraId="6E88F145" w14:textId="45D2B60F" w:rsidR="00457B49" w:rsidRPr="00D27B57" w:rsidRDefault="00457B49" w:rsidP="00445645">
            <w:pPr>
              <w:spacing w:before="60" w:after="60"/>
              <w:jc w:val="center"/>
              <w:rPr>
                <w:rFonts w:cs="Calibri"/>
                <w:szCs w:val="24"/>
              </w:rPr>
            </w:pPr>
            <w:r w:rsidRPr="00D27B57">
              <w:rPr>
                <w:rFonts w:eastAsia="Calibri"/>
                <w:szCs w:val="24"/>
              </w:rPr>
              <w:t>-</w:t>
            </w:r>
          </w:p>
        </w:tc>
      </w:tr>
      <w:tr w:rsidR="00D3237F" w:rsidRPr="00317D7A" w14:paraId="1025C5E5" w14:textId="77777777" w:rsidTr="00D3237F">
        <w:tc>
          <w:tcPr>
            <w:tcW w:w="534" w:type="dxa"/>
          </w:tcPr>
          <w:p w14:paraId="63D3B592" w14:textId="2DEDB613" w:rsidR="00D3237F" w:rsidRPr="00554EF0" w:rsidRDefault="00D3237F" w:rsidP="00445645">
            <w:pPr>
              <w:spacing w:before="60" w:after="60"/>
              <w:ind w:left="567" w:hanging="567"/>
              <w:rPr>
                <w:szCs w:val="24"/>
              </w:rPr>
            </w:pPr>
            <w:r>
              <w:rPr>
                <w:szCs w:val="24"/>
              </w:rPr>
              <w:t>12</w:t>
            </w:r>
          </w:p>
        </w:tc>
        <w:tc>
          <w:tcPr>
            <w:tcW w:w="7830" w:type="dxa"/>
          </w:tcPr>
          <w:p w14:paraId="4BE9944E" w14:textId="136ED098" w:rsidR="00D3237F" w:rsidRDefault="00D3237F" w:rsidP="00445645">
            <w:pPr>
              <w:tabs>
                <w:tab w:val="left" w:pos="4660"/>
              </w:tabs>
              <w:spacing w:before="60" w:after="60"/>
              <w:rPr>
                <w:szCs w:val="24"/>
              </w:rPr>
            </w:pPr>
            <w:r w:rsidRPr="00F1369D">
              <w:rPr>
                <w:szCs w:val="24"/>
              </w:rPr>
              <w:t xml:space="preserve">Use of appropriate language in </w:t>
            </w:r>
            <w:r>
              <w:rPr>
                <w:szCs w:val="24"/>
              </w:rPr>
              <w:t xml:space="preserve">meetings of </w:t>
            </w:r>
            <w:r w:rsidRPr="00F1369D">
              <w:rPr>
                <w:szCs w:val="24"/>
              </w:rPr>
              <w:t xml:space="preserve">the conference </w:t>
            </w:r>
          </w:p>
        </w:tc>
        <w:tc>
          <w:tcPr>
            <w:tcW w:w="1667" w:type="dxa"/>
          </w:tcPr>
          <w:p w14:paraId="5AEB4E40" w14:textId="1D451AF5" w:rsidR="00D3237F" w:rsidRPr="00D27B57" w:rsidRDefault="00D3237F" w:rsidP="00445645">
            <w:pPr>
              <w:spacing w:before="60" w:after="60"/>
              <w:jc w:val="center"/>
              <w:rPr>
                <w:rFonts w:eastAsia="Calibri"/>
                <w:szCs w:val="24"/>
              </w:rPr>
            </w:pPr>
            <w:r w:rsidRPr="00D27B57">
              <w:rPr>
                <w:szCs w:val="24"/>
              </w:rPr>
              <w:t>-</w:t>
            </w:r>
          </w:p>
        </w:tc>
      </w:tr>
    </w:tbl>
    <w:p w14:paraId="3B627A4F" w14:textId="77777777" w:rsidR="001A16ED" w:rsidRDefault="001A16ED" w:rsidP="00AB2D04">
      <w:r>
        <w:br w:type="page"/>
      </w:r>
    </w:p>
    <w:p w14:paraId="12C1FA49" w14:textId="227FDCD8" w:rsidR="009A6623" w:rsidRPr="00AD3E91" w:rsidRDefault="009A6623" w:rsidP="00D86C63">
      <w:pPr>
        <w:pStyle w:val="NormalWeb"/>
        <w:spacing w:before="120" w:beforeAutospacing="0" w:after="120" w:afterAutospacing="0"/>
        <w:ind w:left="720" w:hanging="720"/>
        <w:rPr>
          <w:rFonts w:asciiTheme="minorHAnsi" w:hAnsiTheme="minorHAnsi" w:cstheme="minorHAnsi"/>
          <w:b/>
        </w:rPr>
      </w:pPr>
      <w:r w:rsidRPr="00AD3E91">
        <w:rPr>
          <w:rFonts w:asciiTheme="minorHAnsi" w:hAnsiTheme="minorHAnsi" w:cstheme="minorHAnsi"/>
          <w:b/>
          <w:bCs/>
        </w:rPr>
        <w:lastRenderedPageBreak/>
        <w:t>1</w:t>
      </w:r>
      <w:r w:rsidRPr="00AD3E91">
        <w:rPr>
          <w:rFonts w:asciiTheme="minorHAnsi" w:hAnsiTheme="minorHAnsi" w:cstheme="minorHAnsi"/>
          <w:b/>
          <w:bCs/>
        </w:rPr>
        <w:tab/>
      </w:r>
      <w:r w:rsidRPr="00AD3E91">
        <w:rPr>
          <w:rFonts w:asciiTheme="minorHAnsi" w:hAnsiTheme="minorHAnsi" w:cstheme="minorHAnsi"/>
          <w:b/>
        </w:rPr>
        <w:t>Preparation for the 2024 world telecommunication standardization assembly (Document </w:t>
      </w:r>
      <w:hyperlink r:id="rId20" w:history="1">
        <w:r w:rsidRPr="00203F3F">
          <w:rPr>
            <w:rStyle w:val="Hyperlink"/>
            <w:rFonts w:asciiTheme="minorHAnsi" w:hAnsiTheme="minorHAnsi" w:cstheme="minorHAnsi"/>
            <w:b/>
            <w:bCs/>
          </w:rPr>
          <w:t>178</w:t>
        </w:r>
      </w:hyperlink>
      <w:r w:rsidRPr="00AD3E91">
        <w:rPr>
          <w:rFonts w:asciiTheme="minorHAnsi" w:hAnsiTheme="minorHAnsi" w:cstheme="minorHAnsi"/>
          <w:b/>
        </w:rPr>
        <w:t>)</w:t>
      </w:r>
    </w:p>
    <w:p w14:paraId="6D8C6A45"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eastAsia="Times New Roman" w:hAnsiTheme="minorHAnsi" w:cstheme="minorHAnsi"/>
          <w:szCs w:val="24"/>
        </w:rPr>
      </w:pPr>
      <w:r w:rsidRPr="00AD3E91">
        <w:rPr>
          <w:rFonts w:asciiTheme="minorHAnsi" w:eastAsia="Times New Roman" w:hAnsiTheme="minorHAnsi" w:cstheme="minorHAnsi"/>
          <w:szCs w:val="24"/>
        </w:rPr>
        <w:t>1.1</w:t>
      </w:r>
      <w:r w:rsidRPr="00AD3E91">
        <w:rPr>
          <w:rFonts w:asciiTheme="minorHAnsi" w:eastAsia="Times New Roman" w:hAnsiTheme="minorHAnsi" w:cstheme="minorHAnsi"/>
          <w:szCs w:val="24"/>
        </w:rPr>
        <w:tab/>
        <w:t xml:space="preserve">On behalf of the Secretary-General, the </w:t>
      </w:r>
      <w:r w:rsidRPr="00AD3E91">
        <w:rPr>
          <w:rFonts w:asciiTheme="minorHAnsi" w:eastAsia="Times New Roman" w:hAnsiTheme="minorHAnsi" w:cstheme="minorHAnsi"/>
          <w:b/>
          <w:bCs/>
          <w:szCs w:val="24"/>
        </w:rPr>
        <w:t>Deputy to the Director of the Telecommunication Standardization Bureau</w:t>
      </w:r>
      <w:r w:rsidRPr="00AD3E91">
        <w:rPr>
          <w:rFonts w:asciiTheme="minorHAnsi" w:eastAsia="Times New Roman" w:hAnsiTheme="minorHAnsi" w:cstheme="minorHAnsi"/>
          <w:szCs w:val="24"/>
        </w:rPr>
        <w:t xml:space="preserve"> introduced Document 178, which contained a proposal from the Government of India to host WTSA-24.</w:t>
      </w:r>
    </w:p>
    <w:p w14:paraId="286DF252"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rPr>
      </w:pPr>
      <w:r w:rsidRPr="00AD3E91">
        <w:rPr>
          <w:rFonts w:asciiTheme="minorHAnsi" w:hAnsiTheme="minorHAnsi" w:cstheme="minorHAnsi"/>
          <w:szCs w:val="24"/>
        </w:rPr>
        <w:t>1.2</w:t>
      </w:r>
      <w:r w:rsidRPr="00AD3E91">
        <w:rPr>
          <w:rFonts w:asciiTheme="minorHAnsi" w:hAnsiTheme="minorHAnsi" w:cstheme="minorHAnsi"/>
          <w:szCs w:val="24"/>
        </w:rPr>
        <w:tab/>
        <w:t xml:space="preserve">The delegates of </w:t>
      </w:r>
      <w:r w:rsidRPr="00AD3E91">
        <w:rPr>
          <w:rFonts w:asciiTheme="minorHAnsi" w:hAnsiTheme="minorHAnsi" w:cstheme="minorHAnsi"/>
          <w:b/>
          <w:bCs/>
          <w:szCs w:val="24"/>
        </w:rPr>
        <w:t>Papua New Guinea</w:t>
      </w:r>
      <w:r w:rsidRPr="00AD3E91">
        <w:rPr>
          <w:rFonts w:asciiTheme="minorHAnsi" w:hAnsiTheme="minorHAnsi" w:cstheme="minorHAnsi"/>
          <w:szCs w:val="24"/>
        </w:rPr>
        <w:t xml:space="preserve">, speaking on behalf of APT, </w:t>
      </w:r>
      <w:r w:rsidRPr="00AD3E91">
        <w:rPr>
          <w:rFonts w:asciiTheme="minorHAnsi" w:hAnsiTheme="minorHAnsi" w:cstheme="minorHAnsi"/>
          <w:b/>
          <w:bCs/>
          <w:szCs w:val="24"/>
        </w:rPr>
        <w:t>Spain, Romania</w:t>
      </w:r>
      <w:r w:rsidRPr="00AD3E91">
        <w:rPr>
          <w:rFonts w:asciiTheme="minorHAnsi" w:hAnsiTheme="minorHAnsi" w:cstheme="minorHAnsi"/>
          <w:szCs w:val="24"/>
        </w:rPr>
        <w:t xml:space="preserve">, speaking on behalf of CEPT, the </w:t>
      </w:r>
      <w:r w:rsidRPr="00AD3E91">
        <w:rPr>
          <w:rFonts w:asciiTheme="minorHAnsi" w:hAnsiTheme="minorHAnsi" w:cstheme="minorHAnsi"/>
          <w:b/>
          <w:bCs/>
          <w:szCs w:val="24"/>
        </w:rPr>
        <w:t>United Arab Emirates</w:t>
      </w:r>
      <w:r w:rsidRPr="00AD3E91">
        <w:rPr>
          <w:rFonts w:asciiTheme="minorHAnsi" w:hAnsiTheme="minorHAnsi" w:cstheme="minorHAnsi"/>
          <w:szCs w:val="24"/>
        </w:rPr>
        <w:t xml:space="preserve">, </w:t>
      </w:r>
      <w:r w:rsidRPr="00AD3E91">
        <w:rPr>
          <w:rFonts w:asciiTheme="minorHAnsi" w:hAnsiTheme="minorHAnsi" w:cstheme="minorHAnsi"/>
          <w:b/>
          <w:bCs/>
          <w:szCs w:val="24"/>
        </w:rPr>
        <w:t>Egypt</w:t>
      </w:r>
      <w:r w:rsidRPr="00AD3E91">
        <w:rPr>
          <w:rFonts w:asciiTheme="minorHAnsi" w:hAnsiTheme="minorHAnsi" w:cstheme="minorHAnsi"/>
          <w:szCs w:val="24"/>
        </w:rPr>
        <w:t xml:space="preserve">, the </w:t>
      </w:r>
      <w:r w:rsidRPr="00AD3E91">
        <w:rPr>
          <w:rFonts w:asciiTheme="minorHAnsi" w:hAnsiTheme="minorHAnsi" w:cstheme="minorHAnsi"/>
          <w:b/>
          <w:bCs/>
          <w:szCs w:val="24"/>
        </w:rPr>
        <w:t>Russian Federation</w:t>
      </w:r>
      <w:r w:rsidRPr="00AD3E91">
        <w:rPr>
          <w:rFonts w:asciiTheme="minorHAnsi" w:hAnsiTheme="minorHAnsi" w:cstheme="minorHAnsi"/>
          <w:szCs w:val="24"/>
        </w:rPr>
        <w:t xml:space="preserve">, speaking on behalf of RCC, </w:t>
      </w:r>
      <w:r w:rsidRPr="00AD3E91">
        <w:rPr>
          <w:rFonts w:asciiTheme="minorHAnsi" w:hAnsiTheme="minorHAnsi" w:cstheme="minorHAnsi"/>
          <w:b/>
          <w:bCs/>
          <w:szCs w:val="24"/>
        </w:rPr>
        <w:t>Algeria</w:t>
      </w:r>
      <w:r w:rsidRPr="00AD3E91">
        <w:rPr>
          <w:rFonts w:asciiTheme="minorHAnsi" w:hAnsiTheme="minorHAnsi" w:cstheme="minorHAnsi"/>
          <w:szCs w:val="24"/>
        </w:rPr>
        <w:t xml:space="preserve">, speaking on behalf of the African group, </w:t>
      </w:r>
      <w:r w:rsidRPr="00AD3E91">
        <w:rPr>
          <w:rFonts w:asciiTheme="minorHAnsi" w:hAnsiTheme="minorHAnsi" w:cstheme="minorHAnsi"/>
          <w:b/>
          <w:bCs/>
          <w:szCs w:val="24"/>
        </w:rPr>
        <w:t>Israel</w:t>
      </w:r>
      <w:r w:rsidRPr="00AD3E91">
        <w:rPr>
          <w:rFonts w:asciiTheme="minorHAnsi" w:hAnsiTheme="minorHAnsi" w:cstheme="minorHAnsi"/>
          <w:szCs w:val="24"/>
        </w:rPr>
        <w:t>,</w:t>
      </w:r>
      <w:r w:rsidRPr="00AD3E91">
        <w:rPr>
          <w:rFonts w:asciiTheme="minorHAnsi" w:hAnsiTheme="minorHAnsi" w:cstheme="minorHAnsi"/>
          <w:b/>
          <w:bCs/>
          <w:szCs w:val="24"/>
        </w:rPr>
        <w:t xml:space="preserve"> </w:t>
      </w:r>
      <w:r w:rsidRPr="00AD3E91">
        <w:rPr>
          <w:rFonts w:asciiTheme="minorHAnsi" w:hAnsiTheme="minorHAnsi" w:cstheme="minorHAnsi"/>
          <w:szCs w:val="24"/>
        </w:rPr>
        <w:t>the</w:t>
      </w:r>
      <w:r w:rsidRPr="00AD3E91">
        <w:rPr>
          <w:rFonts w:asciiTheme="minorHAnsi" w:hAnsiTheme="minorHAnsi" w:cstheme="minorHAnsi"/>
          <w:b/>
          <w:bCs/>
          <w:szCs w:val="24"/>
        </w:rPr>
        <w:t xml:space="preserve"> Republic of Korea</w:t>
      </w:r>
      <w:r w:rsidRPr="00AD3E91">
        <w:rPr>
          <w:rFonts w:asciiTheme="minorHAnsi" w:hAnsiTheme="minorHAnsi" w:cstheme="minorHAnsi"/>
          <w:szCs w:val="24"/>
        </w:rPr>
        <w:t>,</w:t>
      </w:r>
      <w:r w:rsidRPr="00AD3E91">
        <w:rPr>
          <w:rFonts w:asciiTheme="minorHAnsi" w:hAnsiTheme="minorHAnsi" w:cstheme="minorHAnsi"/>
          <w:b/>
          <w:bCs/>
          <w:szCs w:val="24"/>
        </w:rPr>
        <w:t xml:space="preserve"> Thailand</w:t>
      </w:r>
      <w:r w:rsidRPr="00AD3E91">
        <w:rPr>
          <w:rFonts w:asciiTheme="minorHAnsi" w:hAnsiTheme="minorHAnsi" w:cstheme="minorHAnsi"/>
          <w:szCs w:val="24"/>
        </w:rPr>
        <w:t>,</w:t>
      </w:r>
      <w:r w:rsidRPr="00AD3E91">
        <w:rPr>
          <w:rFonts w:asciiTheme="minorHAnsi" w:hAnsiTheme="minorHAnsi" w:cstheme="minorHAnsi"/>
          <w:b/>
          <w:bCs/>
          <w:szCs w:val="24"/>
        </w:rPr>
        <w:t xml:space="preserve"> </w:t>
      </w:r>
      <w:r w:rsidRPr="00AD3E91">
        <w:rPr>
          <w:rFonts w:asciiTheme="minorHAnsi" w:hAnsiTheme="minorHAnsi" w:cstheme="minorHAnsi"/>
          <w:szCs w:val="24"/>
        </w:rPr>
        <w:t>the</w:t>
      </w:r>
      <w:r w:rsidRPr="00AD3E91">
        <w:rPr>
          <w:rFonts w:asciiTheme="minorHAnsi" w:hAnsiTheme="minorHAnsi" w:cstheme="minorHAnsi"/>
          <w:b/>
          <w:bCs/>
          <w:szCs w:val="24"/>
        </w:rPr>
        <w:t xml:space="preserve"> Islamic Republic of Iran</w:t>
      </w:r>
      <w:r w:rsidRPr="00AD3E91">
        <w:rPr>
          <w:rFonts w:asciiTheme="minorHAnsi" w:hAnsiTheme="minorHAnsi" w:cstheme="minorHAnsi"/>
          <w:szCs w:val="24"/>
        </w:rPr>
        <w:t xml:space="preserve">, </w:t>
      </w:r>
      <w:r w:rsidRPr="00AD3E91">
        <w:rPr>
          <w:rFonts w:asciiTheme="minorHAnsi" w:hAnsiTheme="minorHAnsi" w:cstheme="minorHAnsi"/>
          <w:b/>
          <w:bCs/>
          <w:szCs w:val="24"/>
        </w:rPr>
        <w:t>Malaysia</w:t>
      </w:r>
      <w:r w:rsidRPr="00AD3E91">
        <w:rPr>
          <w:rFonts w:asciiTheme="minorHAnsi" w:hAnsiTheme="minorHAnsi" w:cstheme="minorHAnsi"/>
          <w:szCs w:val="24"/>
        </w:rPr>
        <w:t xml:space="preserve">, </w:t>
      </w:r>
      <w:r w:rsidRPr="00AD3E91">
        <w:rPr>
          <w:rFonts w:asciiTheme="minorHAnsi" w:hAnsiTheme="minorHAnsi" w:cstheme="minorHAnsi"/>
          <w:b/>
          <w:bCs/>
          <w:szCs w:val="24"/>
        </w:rPr>
        <w:t>Canada</w:t>
      </w:r>
      <w:r w:rsidRPr="00AD3E91">
        <w:rPr>
          <w:rFonts w:asciiTheme="minorHAnsi" w:hAnsiTheme="minorHAnsi" w:cstheme="minorHAnsi"/>
          <w:szCs w:val="24"/>
        </w:rPr>
        <w:t xml:space="preserve">, speaking on behalf of CITEL, </w:t>
      </w:r>
      <w:r w:rsidRPr="00AD3E91">
        <w:rPr>
          <w:rFonts w:asciiTheme="minorHAnsi" w:hAnsiTheme="minorHAnsi" w:cstheme="minorHAnsi"/>
          <w:b/>
          <w:bCs/>
          <w:szCs w:val="24"/>
        </w:rPr>
        <w:t>China</w:t>
      </w:r>
      <w:r w:rsidRPr="00AD3E91">
        <w:rPr>
          <w:rFonts w:asciiTheme="minorHAnsi" w:hAnsiTheme="minorHAnsi" w:cstheme="minorHAnsi"/>
          <w:szCs w:val="24"/>
        </w:rPr>
        <w:t>,</w:t>
      </w:r>
      <w:r w:rsidRPr="00AD3E91">
        <w:rPr>
          <w:rFonts w:asciiTheme="minorHAnsi" w:hAnsiTheme="minorHAnsi" w:cstheme="minorHAnsi"/>
          <w:b/>
          <w:bCs/>
          <w:szCs w:val="24"/>
        </w:rPr>
        <w:t xml:space="preserve"> Tunisia</w:t>
      </w:r>
      <w:r w:rsidRPr="00AD3E91">
        <w:rPr>
          <w:rFonts w:asciiTheme="minorHAnsi" w:hAnsiTheme="minorHAnsi" w:cstheme="minorHAnsi"/>
          <w:szCs w:val="24"/>
        </w:rPr>
        <w:t>,</w:t>
      </w:r>
      <w:r w:rsidRPr="00AD3E91">
        <w:rPr>
          <w:rFonts w:asciiTheme="minorHAnsi" w:hAnsiTheme="minorHAnsi" w:cstheme="minorHAnsi"/>
          <w:b/>
          <w:bCs/>
          <w:szCs w:val="24"/>
        </w:rPr>
        <w:t xml:space="preserve"> Japan</w:t>
      </w:r>
      <w:r w:rsidRPr="00AD3E91">
        <w:rPr>
          <w:rFonts w:asciiTheme="minorHAnsi" w:hAnsiTheme="minorHAnsi" w:cstheme="minorHAnsi"/>
          <w:szCs w:val="24"/>
        </w:rPr>
        <w:t xml:space="preserve">, </w:t>
      </w:r>
      <w:r w:rsidRPr="00AD3E91">
        <w:rPr>
          <w:rFonts w:asciiTheme="minorHAnsi" w:hAnsiTheme="minorHAnsi" w:cstheme="minorHAnsi"/>
          <w:b/>
          <w:bCs/>
          <w:szCs w:val="24"/>
        </w:rPr>
        <w:t>Saudi Arabia</w:t>
      </w:r>
      <w:r w:rsidRPr="00AD3E91">
        <w:rPr>
          <w:rFonts w:asciiTheme="minorHAnsi" w:hAnsiTheme="minorHAnsi" w:cstheme="minorHAnsi"/>
          <w:szCs w:val="24"/>
        </w:rPr>
        <w:t xml:space="preserve"> and </w:t>
      </w:r>
      <w:r w:rsidRPr="00AD3E91">
        <w:rPr>
          <w:rFonts w:asciiTheme="minorHAnsi" w:hAnsiTheme="minorHAnsi" w:cstheme="minorHAnsi"/>
          <w:b/>
          <w:szCs w:val="24"/>
        </w:rPr>
        <w:t xml:space="preserve">Samoa </w:t>
      </w:r>
      <w:r w:rsidRPr="00AD3E91">
        <w:rPr>
          <w:rFonts w:asciiTheme="minorHAnsi" w:hAnsiTheme="minorHAnsi" w:cstheme="minorHAnsi"/>
          <w:szCs w:val="24"/>
        </w:rPr>
        <w:t>thanked the Government of India for its generous proposal.</w:t>
      </w:r>
    </w:p>
    <w:p w14:paraId="1CF60550"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eastAsia="Times New Roman" w:hAnsiTheme="minorHAnsi" w:cstheme="minorHAnsi"/>
          <w:szCs w:val="24"/>
          <w:lang w:val="en-CA"/>
        </w:rPr>
      </w:pPr>
      <w:r w:rsidRPr="00AD3E91">
        <w:rPr>
          <w:rFonts w:asciiTheme="minorHAnsi" w:eastAsia="Times New Roman" w:hAnsiTheme="minorHAnsi" w:cstheme="minorHAnsi"/>
          <w:szCs w:val="24"/>
          <w:lang w:val="en-CA"/>
        </w:rPr>
        <w:t>1.3</w:t>
      </w:r>
      <w:r w:rsidRPr="00AD3E91">
        <w:rPr>
          <w:rFonts w:asciiTheme="minorHAnsi" w:eastAsia="Times New Roman" w:hAnsiTheme="minorHAnsi" w:cstheme="minorHAnsi"/>
          <w:szCs w:val="24"/>
          <w:lang w:val="en-CA"/>
        </w:rPr>
        <w:tab/>
        <w:t>The</w:t>
      </w:r>
      <w:r w:rsidRPr="00AD3E91">
        <w:rPr>
          <w:rFonts w:asciiTheme="minorHAnsi" w:eastAsia="Times New Roman" w:hAnsiTheme="minorHAnsi" w:cstheme="minorHAnsi"/>
          <w:b/>
          <w:bCs/>
          <w:szCs w:val="24"/>
          <w:lang w:val="en-CA"/>
        </w:rPr>
        <w:t xml:space="preserve"> Chairman</w:t>
      </w:r>
      <w:r w:rsidRPr="00AD3E91">
        <w:rPr>
          <w:rFonts w:asciiTheme="minorHAnsi" w:eastAsia="Times New Roman" w:hAnsiTheme="minorHAnsi" w:cstheme="minorHAnsi"/>
          <w:szCs w:val="24"/>
          <w:lang w:val="en-CA"/>
        </w:rPr>
        <w:t xml:space="preserve"> said that he took it that the Plenary approved the proposal for WTSA</w:t>
      </w:r>
      <w:r w:rsidRPr="00AD3E91">
        <w:rPr>
          <w:rFonts w:asciiTheme="minorHAnsi" w:eastAsia="Times New Roman" w:hAnsiTheme="minorHAnsi" w:cstheme="minorHAnsi"/>
          <w:szCs w:val="24"/>
          <w:lang w:val="en-CA"/>
        </w:rPr>
        <w:noBreakHyphen/>
        <w:t xml:space="preserve">24 to be held in Hyderabad, India in 2024, and that this would be reflected in the revision of Resolution 77 (Rev. Dubai, 2018). </w:t>
      </w:r>
    </w:p>
    <w:p w14:paraId="3AAC336C"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eastAsia="Times New Roman" w:hAnsiTheme="minorHAnsi" w:cstheme="minorHAnsi"/>
          <w:b/>
          <w:bCs/>
          <w:szCs w:val="24"/>
          <w:lang w:val="en-CA"/>
        </w:rPr>
      </w:pPr>
      <w:r w:rsidRPr="00AD3E91">
        <w:rPr>
          <w:rFonts w:asciiTheme="minorHAnsi" w:eastAsia="Times New Roman" w:hAnsiTheme="minorHAnsi" w:cstheme="minorHAnsi"/>
          <w:szCs w:val="24"/>
          <w:lang w:val="en-CA"/>
        </w:rPr>
        <w:t>1.4</w:t>
      </w:r>
      <w:r w:rsidRPr="00AD3E91">
        <w:rPr>
          <w:rFonts w:asciiTheme="minorHAnsi" w:eastAsia="Times New Roman" w:hAnsiTheme="minorHAnsi" w:cstheme="minorHAnsi"/>
          <w:szCs w:val="24"/>
          <w:lang w:val="en-CA"/>
        </w:rPr>
        <w:tab/>
        <w:t xml:space="preserve">It was </w:t>
      </w:r>
      <w:r w:rsidRPr="00AD3E91">
        <w:rPr>
          <w:rFonts w:asciiTheme="minorHAnsi" w:eastAsia="Times New Roman" w:hAnsiTheme="minorHAnsi" w:cstheme="minorHAnsi"/>
          <w:b/>
          <w:bCs/>
          <w:szCs w:val="24"/>
          <w:lang w:val="en-CA"/>
        </w:rPr>
        <w:t>so agreed.</w:t>
      </w:r>
    </w:p>
    <w:p w14:paraId="0193D42F"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rPr>
      </w:pPr>
      <w:r w:rsidRPr="00AD3E91">
        <w:rPr>
          <w:rFonts w:asciiTheme="minorHAnsi" w:hAnsiTheme="minorHAnsi" w:cstheme="minorHAnsi"/>
          <w:szCs w:val="24"/>
        </w:rPr>
        <w:t>1.5</w:t>
      </w:r>
      <w:r w:rsidRPr="00AD3E91">
        <w:rPr>
          <w:rFonts w:asciiTheme="minorHAnsi" w:hAnsiTheme="minorHAnsi" w:cstheme="minorHAnsi"/>
          <w:szCs w:val="24"/>
        </w:rPr>
        <w:tab/>
        <w:t xml:space="preserve">The delegate of </w:t>
      </w:r>
      <w:r w:rsidRPr="00AD3E91">
        <w:rPr>
          <w:rFonts w:asciiTheme="minorHAnsi" w:hAnsiTheme="minorHAnsi" w:cstheme="minorHAnsi"/>
          <w:b/>
          <w:bCs/>
          <w:szCs w:val="24"/>
        </w:rPr>
        <w:t xml:space="preserve">India </w:t>
      </w:r>
      <w:r w:rsidRPr="00AD3E91">
        <w:rPr>
          <w:rFonts w:asciiTheme="minorHAnsi" w:hAnsiTheme="minorHAnsi" w:cstheme="minorHAnsi"/>
          <w:szCs w:val="24"/>
        </w:rPr>
        <w:t xml:space="preserve">thanked Member States for their support for his country’s proposal, noting that India had been unable to host WTSA-20 owing to the COVID-19 pandemic. WTSA-24 would be a superlative event, offering participants the opportunity to discuss important topics such as ecosystems and interoperability, as well as the best of Indian food, </w:t>
      </w:r>
      <w:proofErr w:type="gramStart"/>
      <w:r w:rsidRPr="00AD3E91">
        <w:rPr>
          <w:rFonts w:asciiTheme="minorHAnsi" w:hAnsiTheme="minorHAnsi" w:cstheme="minorHAnsi"/>
          <w:szCs w:val="24"/>
        </w:rPr>
        <w:t>culture</w:t>
      </w:r>
      <w:proofErr w:type="gramEnd"/>
      <w:r w:rsidRPr="00AD3E91">
        <w:rPr>
          <w:rFonts w:asciiTheme="minorHAnsi" w:hAnsiTheme="minorHAnsi" w:cstheme="minorHAnsi"/>
          <w:szCs w:val="24"/>
        </w:rPr>
        <w:t xml:space="preserve"> and heritage. He looked forward to welcoming delegates to India in 2024.</w:t>
      </w:r>
    </w:p>
    <w:p w14:paraId="1F3FCC71" w14:textId="3392A882"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rPr>
      </w:pPr>
      <w:r w:rsidRPr="00AD3E91">
        <w:rPr>
          <w:rFonts w:asciiTheme="minorHAnsi" w:hAnsiTheme="minorHAnsi" w:cstheme="minorHAnsi"/>
          <w:szCs w:val="24"/>
        </w:rPr>
        <w:t>1.6</w:t>
      </w:r>
      <w:r w:rsidRPr="00AD3E91">
        <w:rPr>
          <w:rFonts w:asciiTheme="minorHAnsi" w:hAnsiTheme="minorHAnsi" w:cstheme="minorHAnsi"/>
          <w:szCs w:val="24"/>
        </w:rPr>
        <w:tab/>
        <w:t xml:space="preserve">The </w:t>
      </w:r>
      <w:r w:rsidRPr="00AD3E91">
        <w:rPr>
          <w:rFonts w:asciiTheme="minorHAnsi" w:hAnsiTheme="minorHAnsi" w:cstheme="minorHAnsi"/>
          <w:b/>
          <w:bCs/>
          <w:szCs w:val="24"/>
        </w:rPr>
        <w:t>Secretary-General</w:t>
      </w:r>
      <w:r w:rsidRPr="00AD3E91">
        <w:rPr>
          <w:rFonts w:asciiTheme="minorHAnsi" w:hAnsiTheme="minorHAnsi" w:cstheme="minorHAnsi"/>
          <w:szCs w:val="24"/>
        </w:rPr>
        <w:t xml:space="preserve"> thanked India for its offer to host WTSA-24 and welcomed the unanimous support of the Plenary for that proposal. While it had unfortunately not been possible to hold the assembly in India in 2020, he had fond memories of the fifth world telecommunication development conference (WTDC-10) in Hyderabad. He noted that coordination work with host countries on the organization of forthcoming ITU events, including WTSA-24, WTDC-</w:t>
      </w:r>
      <w:proofErr w:type="gramStart"/>
      <w:r w:rsidRPr="00AD3E91">
        <w:rPr>
          <w:rFonts w:asciiTheme="minorHAnsi" w:hAnsiTheme="minorHAnsi" w:cstheme="minorHAnsi"/>
          <w:szCs w:val="24"/>
        </w:rPr>
        <w:t>25</w:t>
      </w:r>
      <w:proofErr w:type="gramEnd"/>
      <w:r w:rsidRPr="00AD3E91">
        <w:rPr>
          <w:rFonts w:asciiTheme="minorHAnsi" w:hAnsiTheme="minorHAnsi" w:cstheme="minorHAnsi"/>
          <w:szCs w:val="24"/>
        </w:rPr>
        <w:t xml:space="preserve"> and PP-26, would begin shortly. A report would then be submitted to the Council, with a view to finalizing the process.</w:t>
      </w:r>
    </w:p>
    <w:p w14:paraId="36080BA7" w14:textId="76CCFB1E" w:rsidR="009A6623" w:rsidRPr="00AD3E91" w:rsidRDefault="009A6623" w:rsidP="000E10AB">
      <w:pPr>
        <w:tabs>
          <w:tab w:val="clear" w:pos="567"/>
          <w:tab w:val="clear" w:pos="1134"/>
          <w:tab w:val="clear" w:pos="1701"/>
          <w:tab w:val="clear" w:pos="2268"/>
          <w:tab w:val="clear" w:pos="2835"/>
        </w:tabs>
        <w:spacing w:before="480" w:after="120"/>
        <w:ind w:left="567" w:hanging="567"/>
        <w:rPr>
          <w:rFonts w:asciiTheme="minorHAnsi" w:hAnsiTheme="minorHAnsi" w:cstheme="minorHAnsi"/>
          <w:szCs w:val="24"/>
          <w:lang w:val="en-CA"/>
        </w:rPr>
      </w:pPr>
      <w:r w:rsidRPr="00AD3E91">
        <w:rPr>
          <w:rFonts w:asciiTheme="minorHAnsi" w:hAnsiTheme="minorHAnsi" w:cstheme="minorHAnsi"/>
          <w:b/>
          <w:bCs/>
          <w:szCs w:val="24"/>
          <w:lang w:val="en-CA"/>
        </w:rPr>
        <w:t>2</w:t>
      </w:r>
      <w:r w:rsidRPr="00AD3E91">
        <w:rPr>
          <w:rFonts w:asciiTheme="minorHAnsi" w:hAnsiTheme="minorHAnsi" w:cstheme="minorHAnsi"/>
          <w:b/>
          <w:bCs/>
          <w:szCs w:val="24"/>
          <w:lang w:val="en-CA"/>
        </w:rPr>
        <w:tab/>
        <w:t xml:space="preserve">Nineteenth series of texts submitted by the Editorial Committee for first reading (B19) (Document </w:t>
      </w:r>
      <w:hyperlink r:id="rId21" w:history="1">
        <w:r w:rsidRPr="00203F3F">
          <w:rPr>
            <w:rStyle w:val="Hyperlink"/>
            <w:rFonts w:asciiTheme="minorHAnsi" w:hAnsiTheme="minorHAnsi" w:cstheme="minorHAnsi"/>
            <w:b/>
            <w:bCs/>
            <w:szCs w:val="24"/>
            <w:lang w:val="en-CA"/>
          </w:rPr>
          <w:t>175</w:t>
        </w:r>
      </w:hyperlink>
      <w:r w:rsidRPr="00AD3E91">
        <w:rPr>
          <w:rFonts w:asciiTheme="minorHAnsi" w:hAnsiTheme="minorHAnsi" w:cstheme="minorHAnsi"/>
          <w:b/>
          <w:bCs/>
          <w:szCs w:val="24"/>
          <w:lang w:val="en-CA"/>
        </w:rPr>
        <w:t>)</w:t>
      </w:r>
    </w:p>
    <w:p w14:paraId="6DB3C761" w14:textId="77777777" w:rsidR="009A6623" w:rsidRPr="00AD3E91" w:rsidRDefault="009A6623" w:rsidP="00D86C63">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AD3E91">
        <w:rPr>
          <w:rFonts w:asciiTheme="minorHAnsi" w:hAnsiTheme="minorHAnsi" w:cstheme="minorHAnsi"/>
          <w:b/>
          <w:bCs/>
          <w:szCs w:val="24"/>
          <w:lang w:val="en-CA"/>
        </w:rPr>
        <w:t>Draft Resolution 48 (Rev. Bucharest, 2022) - Human resources management and development</w:t>
      </w:r>
    </w:p>
    <w:p w14:paraId="24F4B98B" w14:textId="77777777" w:rsidR="009A6623" w:rsidRPr="00AD3E91" w:rsidRDefault="009A6623" w:rsidP="00D86C63">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AD3E91">
        <w:rPr>
          <w:rFonts w:asciiTheme="minorHAnsi" w:hAnsiTheme="minorHAnsi" w:cstheme="minorHAnsi"/>
          <w:b/>
          <w:bCs/>
          <w:szCs w:val="24"/>
          <w:lang w:val="en-CA"/>
        </w:rPr>
        <w:t>Draft Resolution 162 (Rev. Bucharest, 2022) - Independent management advisory committee</w:t>
      </w:r>
    </w:p>
    <w:p w14:paraId="5B7ED326" w14:textId="77777777" w:rsidR="009A6623" w:rsidRPr="00AD3E91" w:rsidRDefault="009A6623" w:rsidP="00D86C63">
      <w:pPr>
        <w:tabs>
          <w:tab w:val="clear" w:pos="567"/>
          <w:tab w:val="clear" w:pos="1134"/>
          <w:tab w:val="clear" w:pos="1701"/>
          <w:tab w:val="clear" w:pos="2268"/>
          <w:tab w:val="clear" w:pos="2835"/>
        </w:tabs>
        <w:spacing w:after="120"/>
        <w:rPr>
          <w:rFonts w:asciiTheme="minorHAnsi" w:hAnsiTheme="minorHAnsi" w:cstheme="minorHAnsi"/>
          <w:b/>
          <w:bCs/>
          <w:szCs w:val="24"/>
          <w:lang w:val="en-CA"/>
        </w:rPr>
      </w:pPr>
      <w:r w:rsidRPr="00AD3E91">
        <w:rPr>
          <w:rFonts w:asciiTheme="minorHAnsi" w:hAnsiTheme="minorHAnsi" w:cstheme="minorHAnsi"/>
          <w:bCs/>
          <w:szCs w:val="24"/>
          <w:lang w:val="en-CA"/>
        </w:rPr>
        <w:t>2.1</w:t>
      </w:r>
      <w:r w:rsidRPr="00AD3E91">
        <w:rPr>
          <w:rFonts w:asciiTheme="minorHAnsi" w:hAnsiTheme="minorHAnsi" w:cstheme="minorHAnsi"/>
          <w:b/>
          <w:bCs/>
          <w:szCs w:val="24"/>
          <w:lang w:val="en-CA"/>
        </w:rPr>
        <w:tab/>
        <w:t>Adopted</w:t>
      </w:r>
      <w:r w:rsidRPr="00AD3E91">
        <w:rPr>
          <w:rFonts w:asciiTheme="minorHAnsi" w:hAnsiTheme="minorHAnsi" w:cstheme="minorHAnsi"/>
          <w:szCs w:val="24"/>
          <w:lang w:val="en-CA"/>
        </w:rPr>
        <w:t>.</w:t>
      </w:r>
    </w:p>
    <w:p w14:paraId="2B7747DA" w14:textId="77777777" w:rsidR="009A6623" w:rsidRPr="00AD3E91" w:rsidRDefault="009A6623" w:rsidP="00D86C63">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AD3E91">
        <w:rPr>
          <w:rFonts w:asciiTheme="minorHAnsi" w:hAnsiTheme="minorHAnsi" w:cstheme="minorHAnsi"/>
          <w:bCs/>
          <w:szCs w:val="24"/>
          <w:lang w:val="en-CA"/>
        </w:rPr>
        <w:t>2.2</w:t>
      </w:r>
      <w:r w:rsidRPr="00AD3E91">
        <w:rPr>
          <w:rFonts w:asciiTheme="minorHAnsi" w:hAnsiTheme="minorHAnsi" w:cstheme="minorHAnsi"/>
          <w:b/>
          <w:bCs/>
          <w:szCs w:val="24"/>
          <w:lang w:val="en-CA"/>
        </w:rPr>
        <w:tab/>
      </w:r>
      <w:r w:rsidRPr="00AD3E91">
        <w:rPr>
          <w:rFonts w:asciiTheme="minorHAnsi" w:hAnsiTheme="minorHAnsi" w:cstheme="minorHAnsi"/>
          <w:szCs w:val="24"/>
          <w:lang w:val="en-CA"/>
        </w:rPr>
        <w:t xml:space="preserve">The nineteenth series of texts submitted by the Editorial Committee for first reading (B19) (Document 175) was </w:t>
      </w:r>
      <w:r w:rsidRPr="00AD3E91">
        <w:rPr>
          <w:rFonts w:asciiTheme="minorHAnsi" w:hAnsiTheme="minorHAnsi" w:cstheme="minorHAnsi"/>
          <w:b/>
          <w:bCs/>
          <w:szCs w:val="24"/>
          <w:lang w:val="en-CA"/>
        </w:rPr>
        <w:t>approved</w:t>
      </w:r>
      <w:r w:rsidRPr="00AD3E91">
        <w:rPr>
          <w:rFonts w:asciiTheme="minorHAnsi" w:hAnsiTheme="minorHAnsi" w:cstheme="minorHAnsi"/>
          <w:szCs w:val="24"/>
          <w:lang w:val="en-CA"/>
        </w:rPr>
        <w:t>.</w:t>
      </w:r>
    </w:p>
    <w:p w14:paraId="1A0C3104" w14:textId="537E453A" w:rsidR="009A6623" w:rsidRPr="00AD3E91" w:rsidRDefault="009A6623" w:rsidP="000E10AB">
      <w:pPr>
        <w:tabs>
          <w:tab w:val="clear" w:pos="567"/>
          <w:tab w:val="clear" w:pos="1134"/>
          <w:tab w:val="clear" w:pos="1701"/>
          <w:tab w:val="clear" w:pos="2268"/>
          <w:tab w:val="clear" w:pos="2835"/>
        </w:tabs>
        <w:spacing w:before="480" w:after="120"/>
        <w:ind w:left="567" w:hanging="567"/>
        <w:rPr>
          <w:rFonts w:asciiTheme="minorHAnsi" w:hAnsiTheme="minorHAnsi" w:cstheme="minorHAnsi"/>
          <w:b/>
          <w:bCs/>
          <w:szCs w:val="24"/>
          <w:lang w:val="en-CA"/>
        </w:rPr>
      </w:pPr>
      <w:r w:rsidRPr="00AD3E91">
        <w:rPr>
          <w:rFonts w:asciiTheme="minorHAnsi" w:hAnsiTheme="minorHAnsi" w:cstheme="minorHAnsi"/>
          <w:b/>
          <w:bCs/>
          <w:szCs w:val="24"/>
          <w:lang w:val="en-CA"/>
        </w:rPr>
        <w:t>3</w:t>
      </w:r>
      <w:r w:rsidRPr="00AD3E91">
        <w:rPr>
          <w:rFonts w:asciiTheme="minorHAnsi" w:hAnsiTheme="minorHAnsi" w:cstheme="minorHAnsi"/>
          <w:b/>
          <w:bCs/>
          <w:szCs w:val="24"/>
          <w:lang w:val="en-CA"/>
        </w:rPr>
        <w:tab/>
        <w:t xml:space="preserve">Nineteenth series of texts submitted by the Editorial Committee – second reading (Document </w:t>
      </w:r>
      <w:hyperlink r:id="rId22" w:history="1">
        <w:r w:rsidRPr="00203F3F">
          <w:rPr>
            <w:rStyle w:val="Hyperlink"/>
            <w:rFonts w:asciiTheme="minorHAnsi" w:hAnsiTheme="minorHAnsi" w:cstheme="minorHAnsi"/>
            <w:b/>
            <w:bCs/>
            <w:szCs w:val="24"/>
            <w:lang w:val="en-CA"/>
          </w:rPr>
          <w:t>175</w:t>
        </w:r>
      </w:hyperlink>
      <w:r w:rsidRPr="00AD3E91">
        <w:rPr>
          <w:rFonts w:asciiTheme="minorHAnsi" w:hAnsiTheme="minorHAnsi" w:cstheme="minorHAnsi"/>
          <w:b/>
          <w:bCs/>
          <w:szCs w:val="24"/>
          <w:lang w:val="en-CA"/>
        </w:rPr>
        <w:t>)</w:t>
      </w:r>
    </w:p>
    <w:p w14:paraId="60C1307B" w14:textId="77777777" w:rsidR="009A6623" w:rsidRPr="00AD3E91" w:rsidRDefault="009A6623" w:rsidP="00D86C63">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AD3E91">
        <w:rPr>
          <w:rFonts w:asciiTheme="minorHAnsi" w:hAnsiTheme="minorHAnsi" w:cstheme="minorHAnsi"/>
          <w:szCs w:val="24"/>
          <w:lang w:val="en-CA"/>
        </w:rPr>
        <w:t>3.1</w:t>
      </w:r>
      <w:r w:rsidRPr="00AD3E91">
        <w:rPr>
          <w:rFonts w:asciiTheme="minorHAnsi" w:hAnsiTheme="minorHAnsi" w:cstheme="minorHAnsi"/>
          <w:szCs w:val="24"/>
          <w:lang w:val="en-CA"/>
        </w:rPr>
        <w:tab/>
        <w:t xml:space="preserve">The nineteenth series of texts submitted by the Editorial Committee (Document 175) was </w:t>
      </w:r>
      <w:r w:rsidRPr="00AD3E91">
        <w:rPr>
          <w:rFonts w:asciiTheme="minorHAnsi" w:hAnsiTheme="minorHAnsi" w:cstheme="minorHAnsi"/>
          <w:b/>
          <w:bCs/>
          <w:szCs w:val="24"/>
          <w:lang w:val="en-CA"/>
        </w:rPr>
        <w:t>approved</w:t>
      </w:r>
      <w:r w:rsidRPr="00AD3E91">
        <w:rPr>
          <w:rFonts w:asciiTheme="minorHAnsi" w:hAnsiTheme="minorHAnsi" w:cstheme="minorHAnsi"/>
          <w:szCs w:val="24"/>
          <w:lang w:val="en-CA"/>
        </w:rPr>
        <w:t xml:space="preserve"> on second reading.</w:t>
      </w:r>
    </w:p>
    <w:p w14:paraId="6E6DCA34" w14:textId="21EBB0A5" w:rsidR="009A6623" w:rsidRPr="00AD3E91" w:rsidRDefault="009A6623" w:rsidP="000E10AB">
      <w:pPr>
        <w:tabs>
          <w:tab w:val="clear" w:pos="567"/>
          <w:tab w:val="clear" w:pos="1134"/>
          <w:tab w:val="clear" w:pos="1701"/>
          <w:tab w:val="clear" w:pos="2268"/>
          <w:tab w:val="clear" w:pos="2835"/>
        </w:tabs>
        <w:spacing w:before="480" w:after="120"/>
        <w:ind w:left="567" w:hanging="567"/>
        <w:rPr>
          <w:rFonts w:asciiTheme="minorHAnsi" w:hAnsiTheme="minorHAnsi" w:cstheme="minorHAnsi"/>
          <w:szCs w:val="24"/>
          <w:lang w:val="en-CA"/>
        </w:rPr>
      </w:pPr>
      <w:r w:rsidRPr="00AD3E91">
        <w:rPr>
          <w:rFonts w:asciiTheme="minorHAnsi" w:hAnsiTheme="minorHAnsi" w:cstheme="minorHAnsi"/>
          <w:b/>
          <w:bCs/>
          <w:szCs w:val="24"/>
          <w:lang w:val="en-CA"/>
        </w:rPr>
        <w:lastRenderedPageBreak/>
        <w:t>4</w:t>
      </w:r>
      <w:r w:rsidRPr="00AD3E91">
        <w:rPr>
          <w:rFonts w:asciiTheme="minorHAnsi" w:hAnsiTheme="minorHAnsi" w:cstheme="minorHAnsi"/>
          <w:b/>
          <w:bCs/>
          <w:szCs w:val="24"/>
          <w:lang w:val="en-CA"/>
        </w:rPr>
        <w:tab/>
        <w:t xml:space="preserve">Twentieth series of texts submitted by the Editorial Committee for first reading (B20) (Document </w:t>
      </w:r>
      <w:hyperlink r:id="rId23" w:history="1">
        <w:r w:rsidRPr="00203F3F">
          <w:rPr>
            <w:rStyle w:val="Hyperlink"/>
            <w:rFonts w:asciiTheme="minorHAnsi" w:hAnsiTheme="minorHAnsi" w:cstheme="minorHAnsi"/>
            <w:b/>
            <w:bCs/>
            <w:szCs w:val="24"/>
            <w:lang w:val="en-CA"/>
          </w:rPr>
          <w:t>179</w:t>
        </w:r>
      </w:hyperlink>
      <w:r w:rsidRPr="00AD3E91">
        <w:rPr>
          <w:rFonts w:asciiTheme="minorHAnsi" w:hAnsiTheme="minorHAnsi" w:cstheme="minorHAnsi"/>
          <w:b/>
          <w:bCs/>
          <w:szCs w:val="24"/>
          <w:lang w:val="en-CA"/>
        </w:rPr>
        <w:t>)</w:t>
      </w:r>
    </w:p>
    <w:p w14:paraId="04F31FD6"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
          <w:bCs/>
          <w:szCs w:val="24"/>
          <w:lang w:val="en-CA"/>
        </w:rPr>
        <w:t xml:space="preserve">Draft Resolution 186 (Rev. Bucharest, 2022) - Strengthening the role of ITU </w:t>
      </w:r>
      <w:proofErr w:type="gramStart"/>
      <w:r w:rsidRPr="00AD3E91">
        <w:rPr>
          <w:rFonts w:asciiTheme="minorHAnsi" w:hAnsiTheme="minorHAnsi" w:cstheme="minorHAnsi"/>
          <w:b/>
          <w:bCs/>
          <w:szCs w:val="24"/>
          <w:lang w:val="en-CA"/>
        </w:rPr>
        <w:t>with regard to</w:t>
      </w:r>
      <w:proofErr w:type="gramEnd"/>
      <w:r w:rsidRPr="00AD3E91">
        <w:rPr>
          <w:rFonts w:asciiTheme="minorHAnsi" w:hAnsiTheme="minorHAnsi" w:cstheme="minorHAnsi"/>
          <w:b/>
          <w:bCs/>
          <w:szCs w:val="24"/>
          <w:lang w:val="en-CA"/>
        </w:rPr>
        <w:t xml:space="preserve"> transparency and confidence-building measures in outer space activities</w:t>
      </w:r>
    </w:p>
    <w:p w14:paraId="7E18FA6D"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
          <w:bCs/>
          <w:szCs w:val="24"/>
          <w:lang w:val="en-CA"/>
        </w:rPr>
        <w:t>Draft Resolution 188 (Rev. Bucharest, 2022) - Combating counterfeit and tampered telecommunication/information and communication technology devices</w:t>
      </w:r>
    </w:p>
    <w:p w14:paraId="1F4C35D0"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
          <w:bCs/>
          <w:szCs w:val="24"/>
          <w:lang w:val="en-CA"/>
        </w:rPr>
        <w:t>Draft Resolution 208 (Rev. Bucharest, 2022) - Appointment and maximum term of office for chairmen and vice-chairmen of Sector advisory groups, study groups and other groups</w:t>
      </w:r>
    </w:p>
    <w:p w14:paraId="49B93D1C"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
          <w:bCs/>
          <w:szCs w:val="24"/>
          <w:lang w:val="en-CA"/>
        </w:rPr>
        <w:t>Draft new Resolution COM5/3 - ITU’s role in the implementation of the “Space2030” Agenda: space as a driver of sustainable development, and its follow-up and review process</w:t>
      </w:r>
    </w:p>
    <w:p w14:paraId="626A3F20"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
          <w:bCs/>
          <w:szCs w:val="24"/>
          <w:lang w:val="en-CA"/>
        </w:rPr>
        <w:t>Draft new Resolution COM5/4 - Sustainability of the radio-frequency spectrum and associated satellite orbit resources used by space services</w:t>
      </w:r>
    </w:p>
    <w:p w14:paraId="2104944E"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lang w:val="en-CA"/>
        </w:rPr>
      </w:pPr>
      <w:r w:rsidRPr="00AD3E91">
        <w:rPr>
          <w:rFonts w:asciiTheme="minorHAnsi" w:hAnsiTheme="minorHAnsi" w:cstheme="minorHAnsi"/>
          <w:bCs/>
          <w:szCs w:val="24"/>
          <w:lang w:val="en-CA"/>
        </w:rPr>
        <w:t>4.1</w:t>
      </w:r>
      <w:r w:rsidRPr="00AD3E91">
        <w:rPr>
          <w:rFonts w:asciiTheme="minorHAnsi" w:hAnsiTheme="minorHAnsi" w:cstheme="minorHAnsi"/>
          <w:b/>
          <w:bCs/>
          <w:szCs w:val="24"/>
          <w:lang w:val="en-CA"/>
        </w:rPr>
        <w:tab/>
        <w:t>Adopted</w:t>
      </w:r>
      <w:r w:rsidRPr="00AD3E91">
        <w:rPr>
          <w:rFonts w:asciiTheme="minorHAnsi" w:hAnsiTheme="minorHAnsi" w:cstheme="minorHAnsi"/>
          <w:szCs w:val="24"/>
          <w:lang w:val="en-CA"/>
        </w:rPr>
        <w:t>.</w:t>
      </w:r>
    </w:p>
    <w:p w14:paraId="47BA3A78"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rPr>
      </w:pPr>
      <w:r w:rsidRPr="00AD3E91">
        <w:rPr>
          <w:rFonts w:asciiTheme="minorHAnsi" w:hAnsiTheme="minorHAnsi" w:cstheme="minorHAnsi"/>
          <w:bCs/>
          <w:szCs w:val="24"/>
          <w:lang w:val="en-CA"/>
        </w:rPr>
        <w:t>4.2</w:t>
      </w:r>
      <w:r w:rsidRPr="00AD3E91">
        <w:rPr>
          <w:rFonts w:asciiTheme="minorHAnsi" w:hAnsiTheme="minorHAnsi" w:cstheme="minorHAnsi"/>
          <w:bCs/>
          <w:szCs w:val="24"/>
          <w:lang w:val="en-CA"/>
        </w:rPr>
        <w:tab/>
      </w:r>
      <w:r w:rsidRPr="00AD3E91">
        <w:rPr>
          <w:rFonts w:asciiTheme="minorHAnsi" w:hAnsiTheme="minorHAnsi" w:cstheme="minorHAnsi"/>
          <w:szCs w:val="24"/>
        </w:rPr>
        <w:t xml:space="preserve">The </w:t>
      </w:r>
      <w:r w:rsidRPr="00AD3E91">
        <w:rPr>
          <w:rFonts w:asciiTheme="minorHAnsi" w:hAnsiTheme="minorHAnsi" w:cstheme="minorHAnsi"/>
          <w:b/>
          <w:bCs/>
          <w:szCs w:val="24"/>
        </w:rPr>
        <w:t>delegates of Brazil</w:t>
      </w:r>
      <w:r w:rsidRPr="00AD3E91">
        <w:rPr>
          <w:rFonts w:asciiTheme="minorHAnsi" w:hAnsiTheme="minorHAnsi" w:cstheme="minorHAnsi"/>
          <w:szCs w:val="24"/>
        </w:rPr>
        <w:t xml:space="preserve"> and </w:t>
      </w:r>
      <w:r w:rsidRPr="00AD3E91">
        <w:rPr>
          <w:rFonts w:asciiTheme="minorHAnsi" w:hAnsiTheme="minorHAnsi" w:cstheme="minorHAnsi"/>
          <w:b/>
          <w:bCs/>
          <w:szCs w:val="24"/>
        </w:rPr>
        <w:t>Samoa</w:t>
      </w:r>
      <w:r w:rsidRPr="00AD3E91">
        <w:rPr>
          <w:rFonts w:asciiTheme="minorHAnsi" w:hAnsiTheme="minorHAnsi" w:cstheme="minorHAnsi"/>
          <w:szCs w:val="24"/>
        </w:rPr>
        <w:t xml:space="preserve"> said that they commended the adoption of new Resolution COM5/4 and looked forward to working constructively with others to address the sustainability of space services in appropriate forums. The new resolution represented a high-level compromise; it was only the first step, however, towards ensuring the rational, </w:t>
      </w:r>
      <w:proofErr w:type="gramStart"/>
      <w:r w:rsidRPr="00AD3E91">
        <w:rPr>
          <w:rFonts w:asciiTheme="minorHAnsi" w:hAnsiTheme="minorHAnsi" w:cstheme="minorHAnsi"/>
          <w:szCs w:val="24"/>
        </w:rPr>
        <w:t>efficient</w:t>
      </w:r>
      <w:proofErr w:type="gramEnd"/>
      <w:r w:rsidRPr="00AD3E91">
        <w:rPr>
          <w:rFonts w:asciiTheme="minorHAnsi" w:hAnsiTheme="minorHAnsi" w:cstheme="minorHAnsi"/>
          <w:szCs w:val="24"/>
        </w:rPr>
        <w:t xml:space="preserve"> and economical use of, and equitable access to, frequencies and associated orbits by satellite systems. Other concerns that fell outside the scope of ITU’s work, such as the environmental and economic impact, visual pollution, safety in space, exponential debris growth and collision risks, needed to be addressed in the appropriate forums.</w:t>
      </w:r>
    </w:p>
    <w:p w14:paraId="4E61E808"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rPr>
      </w:pPr>
      <w:r w:rsidRPr="00AD3E91">
        <w:rPr>
          <w:rFonts w:asciiTheme="minorHAnsi" w:hAnsiTheme="minorHAnsi" w:cstheme="minorHAnsi"/>
          <w:szCs w:val="24"/>
        </w:rPr>
        <w:t>4.3</w:t>
      </w:r>
      <w:r w:rsidRPr="00AD3E91">
        <w:rPr>
          <w:rFonts w:asciiTheme="minorHAnsi" w:hAnsiTheme="minorHAnsi" w:cstheme="minorHAnsi"/>
          <w:szCs w:val="24"/>
        </w:rPr>
        <w:tab/>
        <w:t xml:space="preserve">The </w:t>
      </w:r>
      <w:r w:rsidRPr="00AD3E91">
        <w:rPr>
          <w:rFonts w:asciiTheme="minorHAnsi" w:hAnsiTheme="minorHAnsi" w:cstheme="minorHAnsi"/>
          <w:b/>
          <w:bCs/>
          <w:szCs w:val="24"/>
        </w:rPr>
        <w:t xml:space="preserve">delegate of the Islamic Republic of Iran </w:t>
      </w:r>
      <w:r w:rsidRPr="00AD3E91">
        <w:rPr>
          <w:rFonts w:asciiTheme="minorHAnsi" w:hAnsiTheme="minorHAnsi" w:cstheme="minorHAnsi"/>
          <w:szCs w:val="24"/>
        </w:rPr>
        <w:t>welcomed the adoption of the resolution and commended the work of the delegation of Brazil, which notably included many young members whose significant contribution to the deliberations on the resolution testified to the value of associating youth in the work of the conference.</w:t>
      </w:r>
    </w:p>
    <w:p w14:paraId="1D0F5DF7"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rPr>
      </w:pPr>
      <w:r w:rsidRPr="00AD3E91">
        <w:rPr>
          <w:rFonts w:asciiTheme="minorHAnsi" w:hAnsiTheme="minorHAnsi" w:cstheme="minorHAnsi"/>
          <w:szCs w:val="24"/>
        </w:rPr>
        <w:t>4.4</w:t>
      </w:r>
      <w:r w:rsidRPr="00AD3E91">
        <w:rPr>
          <w:rFonts w:asciiTheme="minorHAnsi" w:hAnsiTheme="minorHAnsi" w:cstheme="minorHAnsi"/>
          <w:szCs w:val="24"/>
        </w:rPr>
        <w:tab/>
        <w:t xml:space="preserve">The </w:t>
      </w:r>
      <w:r w:rsidRPr="00AD3E91">
        <w:rPr>
          <w:rFonts w:asciiTheme="minorHAnsi" w:hAnsiTheme="minorHAnsi" w:cstheme="minorHAnsi"/>
          <w:b/>
          <w:bCs/>
          <w:szCs w:val="24"/>
        </w:rPr>
        <w:t>delegate of</w:t>
      </w:r>
      <w:r w:rsidRPr="00AD3E91">
        <w:rPr>
          <w:rFonts w:asciiTheme="minorHAnsi" w:hAnsiTheme="minorHAnsi" w:cstheme="minorHAnsi"/>
          <w:szCs w:val="24"/>
        </w:rPr>
        <w:t xml:space="preserve"> </w:t>
      </w:r>
      <w:r w:rsidRPr="00AD3E91">
        <w:rPr>
          <w:rFonts w:asciiTheme="minorHAnsi" w:hAnsiTheme="minorHAnsi" w:cstheme="minorHAnsi"/>
          <w:b/>
          <w:bCs/>
          <w:szCs w:val="24"/>
        </w:rPr>
        <w:t>Viet Nam</w:t>
      </w:r>
      <w:r w:rsidRPr="00AD3E91">
        <w:rPr>
          <w:rFonts w:asciiTheme="minorHAnsi" w:hAnsiTheme="minorHAnsi" w:cstheme="minorHAnsi"/>
          <w:szCs w:val="24"/>
        </w:rPr>
        <w:t xml:space="preserve"> underlined the importance of new Resolution COM5/4, especially given the rising number of non-GSO system filings received by ITU. He encouraged the Radiocommunication Bureau to pursue its efforts to enhance the software used to assess system filings.</w:t>
      </w:r>
    </w:p>
    <w:p w14:paraId="71948526"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rPr>
      </w:pPr>
      <w:r w:rsidRPr="00AD3E91">
        <w:rPr>
          <w:rFonts w:asciiTheme="minorHAnsi" w:hAnsiTheme="minorHAnsi" w:cstheme="minorHAnsi"/>
          <w:szCs w:val="24"/>
        </w:rPr>
        <w:t>4.5</w:t>
      </w:r>
      <w:r w:rsidRPr="00AD3E91">
        <w:rPr>
          <w:rFonts w:asciiTheme="minorHAnsi" w:hAnsiTheme="minorHAnsi" w:cstheme="minorHAnsi"/>
          <w:szCs w:val="24"/>
        </w:rPr>
        <w:tab/>
        <w:t xml:space="preserve">The </w:t>
      </w:r>
      <w:r w:rsidRPr="00AD3E91">
        <w:rPr>
          <w:rFonts w:asciiTheme="minorHAnsi" w:hAnsiTheme="minorHAnsi" w:cstheme="minorHAnsi"/>
          <w:b/>
          <w:bCs/>
          <w:szCs w:val="24"/>
        </w:rPr>
        <w:t xml:space="preserve">delegate of Indonesia </w:t>
      </w:r>
      <w:r w:rsidRPr="00AD3E91">
        <w:rPr>
          <w:rFonts w:asciiTheme="minorHAnsi" w:hAnsiTheme="minorHAnsi" w:cstheme="minorHAnsi"/>
          <w:szCs w:val="24"/>
        </w:rPr>
        <w:t>also welcomed</w:t>
      </w:r>
      <w:r w:rsidRPr="00AD3E91">
        <w:rPr>
          <w:rFonts w:asciiTheme="minorHAnsi" w:hAnsiTheme="minorHAnsi" w:cstheme="minorHAnsi"/>
          <w:b/>
          <w:bCs/>
          <w:szCs w:val="24"/>
        </w:rPr>
        <w:t xml:space="preserve"> </w:t>
      </w:r>
      <w:r w:rsidRPr="00AD3E91">
        <w:rPr>
          <w:rFonts w:asciiTheme="minorHAnsi" w:hAnsiTheme="minorHAnsi" w:cstheme="minorHAnsi"/>
          <w:szCs w:val="24"/>
        </w:rPr>
        <w:t xml:space="preserve">the adoption of the new resolution, which, while it did not address all outstanding concerns regarding non-GSO satellite systems, would serve as a </w:t>
      </w:r>
      <w:proofErr w:type="gramStart"/>
      <w:r w:rsidRPr="00AD3E91">
        <w:rPr>
          <w:rFonts w:asciiTheme="minorHAnsi" w:hAnsiTheme="minorHAnsi" w:cstheme="minorHAnsi"/>
          <w:szCs w:val="24"/>
        </w:rPr>
        <w:t>stepping stone</w:t>
      </w:r>
      <w:proofErr w:type="gramEnd"/>
      <w:r w:rsidRPr="00AD3E91">
        <w:rPr>
          <w:rFonts w:asciiTheme="minorHAnsi" w:hAnsiTheme="minorHAnsi" w:cstheme="minorHAnsi"/>
          <w:szCs w:val="24"/>
        </w:rPr>
        <w:t xml:space="preserve"> towards establishing a harmonized access framework for GSO and non-GSO systems.</w:t>
      </w:r>
    </w:p>
    <w:p w14:paraId="69C4FA63"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lang w:val="en-CA"/>
        </w:rPr>
      </w:pPr>
      <w:r w:rsidRPr="00AD3E91">
        <w:rPr>
          <w:rFonts w:asciiTheme="minorHAnsi" w:hAnsiTheme="minorHAnsi" w:cstheme="minorHAnsi"/>
          <w:bCs/>
          <w:szCs w:val="24"/>
          <w:lang w:val="en-CA"/>
        </w:rPr>
        <w:t>4.6</w:t>
      </w:r>
      <w:r w:rsidRPr="00AD3E91">
        <w:rPr>
          <w:rFonts w:asciiTheme="minorHAnsi" w:hAnsiTheme="minorHAnsi" w:cstheme="minorHAnsi"/>
          <w:b/>
          <w:bCs/>
          <w:szCs w:val="24"/>
          <w:lang w:val="en-CA"/>
        </w:rPr>
        <w:tab/>
      </w:r>
      <w:r w:rsidRPr="00AD3E91">
        <w:rPr>
          <w:rFonts w:asciiTheme="minorHAnsi" w:hAnsiTheme="minorHAnsi" w:cstheme="minorHAnsi"/>
          <w:szCs w:val="24"/>
          <w:lang w:val="en-CA"/>
        </w:rPr>
        <w:t xml:space="preserve">The twentieth series of texts submitted by the Editorial Committee for first reading (B20) (Document 179) was </w:t>
      </w:r>
      <w:r w:rsidRPr="00AD3E91">
        <w:rPr>
          <w:rFonts w:asciiTheme="minorHAnsi" w:hAnsiTheme="minorHAnsi" w:cstheme="minorHAnsi"/>
          <w:b/>
          <w:bCs/>
          <w:szCs w:val="24"/>
          <w:lang w:val="en-CA"/>
        </w:rPr>
        <w:t>approved</w:t>
      </w:r>
      <w:r w:rsidRPr="00AD3E91">
        <w:rPr>
          <w:rFonts w:asciiTheme="minorHAnsi" w:hAnsiTheme="minorHAnsi" w:cstheme="minorHAnsi"/>
          <w:szCs w:val="24"/>
          <w:lang w:val="en-CA"/>
        </w:rPr>
        <w:t>.</w:t>
      </w:r>
    </w:p>
    <w:p w14:paraId="44C6A445" w14:textId="7A56CE00" w:rsidR="009A6623" w:rsidRPr="00AD3E91" w:rsidRDefault="009A6623" w:rsidP="000E10AB">
      <w:pPr>
        <w:tabs>
          <w:tab w:val="clear" w:pos="567"/>
          <w:tab w:val="clear" w:pos="1134"/>
          <w:tab w:val="clear" w:pos="1701"/>
          <w:tab w:val="clear" w:pos="2268"/>
          <w:tab w:val="clear" w:pos="2835"/>
        </w:tabs>
        <w:spacing w:before="480" w:after="120"/>
        <w:ind w:left="567" w:hanging="567"/>
        <w:rPr>
          <w:rFonts w:asciiTheme="minorHAnsi" w:hAnsiTheme="minorHAnsi" w:cstheme="minorHAnsi"/>
          <w:b/>
          <w:bCs/>
          <w:szCs w:val="24"/>
          <w:lang w:val="en-CA"/>
        </w:rPr>
      </w:pPr>
      <w:r w:rsidRPr="00AD3E91">
        <w:rPr>
          <w:rFonts w:asciiTheme="minorHAnsi" w:hAnsiTheme="minorHAnsi" w:cstheme="minorHAnsi"/>
          <w:b/>
          <w:bCs/>
          <w:szCs w:val="24"/>
          <w:lang w:val="en-CA"/>
        </w:rPr>
        <w:t>5</w:t>
      </w:r>
      <w:r w:rsidRPr="00AD3E91">
        <w:rPr>
          <w:rFonts w:asciiTheme="minorHAnsi" w:hAnsiTheme="minorHAnsi" w:cstheme="minorHAnsi"/>
          <w:b/>
          <w:bCs/>
          <w:szCs w:val="24"/>
          <w:lang w:val="en-CA"/>
        </w:rPr>
        <w:tab/>
        <w:t xml:space="preserve">Twentieth series of texts submitted by the Editorial Committee – second reading (Document </w:t>
      </w:r>
      <w:hyperlink r:id="rId24" w:history="1">
        <w:r w:rsidRPr="00203F3F">
          <w:rPr>
            <w:rStyle w:val="Hyperlink"/>
            <w:rFonts w:asciiTheme="minorHAnsi" w:hAnsiTheme="minorHAnsi" w:cstheme="minorHAnsi"/>
            <w:b/>
            <w:bCs/>
            <w:szCs w:val="24"/>
            <w:lang w:val="en-CA"/>
          </w:rPr>
          <w:t>179</w:t>
        </w:r>
      </w:hyperlink>
      <w:r w:rsidRPr="00AD3E91">
        <w:rPr>
          <w:rFonts w:asciiTheme="minorHAnsi" w:hAnsiTheme="minorHAnsi" w:cstheme="minorHAnsi"/>
          <w:b/>
          <w:bCs/>
          <w:szCs w:val="24"/>
          <w:lang w:val="en-CA"/>
        </w:rPr>
        <w:t>)</w:t>
      </w:r>
    </w:p>
    <w:p w14:paraId="1398D205" w14:textId="77777777" w:rsidR="009A6623" w:rsidRPr="00AD3E91" w:rsidRDefault="009A6623" w:rsidP="00D86C63">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AD3E91">
        <w:rPr>
          <w:rFonts w:asciiTheme="minorHAnsi" w:hAnsiTheme="minorHAnsi" w:cstheme="minorHAnsi"/>
          <w:szCs w:val="24"/>
          <w:lang w:val="en-CA"/>
        </w:rPr>
        <w:t>5.1</w:t>
      </w:r>
      <w:r w:rsidRPr="00AD3E91">
        <w:rPr>
          <w:rFonts w:asciiTheme="minorHAnsi" w:hAnsiTheme="minorHAnsi" w:cstheme="minorHAnsi"/>
          <w:szCs w:val="24"/>
          <w:lang w:val="en-CA"/>
        </w:rPr>
        <w:tab/>
        <w:t xml:space="preserve">The twentieth series of texts submitted by the Editorial Committee (Document 179) was </w:t>
      </w:r>
      <w:r w:rsidRPr="00AD3E91">
        <w:rPr>
          <w:rFonts w:asciiTheme="minorHAnsi" w:hAnsiTheme="minorHAnsi" w:cstheme="minorHAnsi"/>
          <w:b/>
          <w:bCs/>
          <w:szCs w:val="24"/>
          <w:lang w:val="en-CA"/>
        </w:rPr>
        <w:t>approved</w:t>
      </w:r>
      <w:r w:rsidRPr="00AD3E91">
        <w:rPr>
          <w:rFonts w:asciiTheme="minorHAnsi" w:hAnsiTheme="minorHAnsi" w:cstheme="minorHAnsi"/>
          <w:szCs w:val="24"/>
          <w:lang w:val="en-CA"/>
        </w:rPr>
        <w:t xml:space="preserve"> on second reading.</w:t>
      </w:r>
    </w:p>
    <w:p w14:paraId="68BDD352" w14:textId="07259733" w:rsidR="009A6623" w:rsidRPr="00AD3E91" w:rsidRDefault="009A6623" w:rsidP="000E10AB">
      <w:pPr>
        <w:tabs>
          <w:tab w:val="clear" w:pos="567"/>
          <w:tab w:val="clear" w:pos="1134"/>
          <w:tab w:val="clear" w:pos="1701"/>
          <w:tab w:val="clear" w:pos="2268"/>
          <w:tab w:val="clear" w:pos="2835"/>
        </w:tabs>
        <w:spacing w:before="480" w:after="120"/>
        <w:ind w:left="567" w:hanging="567"/>
        <w:rPr>
          <w:rFonts w:asciiTheme="minorHAnsi" w:hAnsiTheme="minorHAnsi" w:cstheme="minorHAnsi"/>
          <w:szCs w:val="24"/>
          <w:lang w:val="en-CA"/>
        </w:rPr>
      </w:pPr>
      <w:r w:rsidRPr="00AD3E91">
        <w:rPr>
          <w:rFonts w:asciiTheme="minorHAnsi" w:hAnsiTheme="minorHAnsi" w:cstheme="minorHAnsi"/>
          <w:b/>
          <w:bCs/>
          <w:szCs w:val="24"/>
          <w:lang w:val="en-CA"/>
        </w:rPr>
        <w:lastRenderedPageBreak/>
        <w:t>6</w:t>
      </w:r>
      <w:r w:rsidRPr="00AD3E91">
        <w:rPr>
          <w:rFonts w:asciiTheme="minorHAnsi" w:hAnsiTheme="minorHAnsi" w:cstheme="minorHAnsi"/>
          <w:b/>
          <w:bCs/>
          <w:szCs w:val="24"/>
          <w:lang w:val="en-CA"/>
        </w:rPr>
        <w:tab/>
        <w:t xml:space="preserve">Twenty-first series of texts submitted by the Editorial Committee for first reading (B21) (Document </w:t>
      </w:r>
      <w:hyperlink r:id="rId25" w:history="1">
        <w:r w:rsidRPr="00203F3F">
          <w:rPr>
            <w:rStyle w:val="Hyperlink"/>
            <w:rFonts w:asciiTheme="minorHAnsi" w:hAnsiTheme="minorHAnsi" w:cstheme="minorHAnsi"/>
            <w:b/>
            <w:bCs/>
            <w:szCs w:val="24"/>
            <w:lang w:val="en-CA"/>
          </w:rPr>
          <w:t>183</w:t>
        </w:r>
      </w:hyperlink>
      <w:r w:rsidRPr="00AD3E91">
        <w:rPr>
          <w:rFonts w:asciiTheme="minorHAnsi" w:hAnsiTheme="minorHAnsi" w:cstheme="minorHAnsi"/>
          <w:b/>
          <w:bCs/>
          <w:szCs w:val="24"/>
          <w:lang w:val="en-CA"/>
        </w:rPr>
        <w:t>)</w:t>
      </w:r>
    </w:p>
    <w:p w14:paraId="5560D1E5"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
          <w:bCs/>
          <w:szCs w:val="24"/>
          <w:lang w:val="en-CA"/>
        </w:rPr>
        <w:t>Draft Decision 11 (Rev. Bucharest, 2022) - Creation and management of Council working groups</w:t>
      </w:r>
    </w:p>
    <w:p w14:paraId="7E61279D"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
          <w:bCs/>
          <w:szCs w:val="24"/>
          <w:lang w:val="en-CA"/>
        </w:rPr>
        <w:t>Draft Resolution 191 (Rev. Bucharest, 2022) - Strategy for the coordination of efforts among the three Sectors of the Union</w:t>
      </w:r>
    </w:p>
    <w:p w14:paraId="7039A1AD"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Cs/>
          <w:szCs w:val="24"/>
          <w:lang w:val="en-CA"/>
        </w:rPr>
        <w:t>6.1</w:t>
      </w:r>
      <w:r w:rsidRPr="00AD3E91">
        <w:rPr>
          <w:rFonts w:asciiTheme="minorHAnsi" w:hAnsiTheme="minorHAnsi" w:cstheme="minorHAnsi"/>
          <w:bCs/>
          <w:szCs w:val="24"/>
          <w:lang w:val="en-CA"/>
        </w:rPr>
        <w:tab/>
      </w:r>
      <w:r w:rsidRPr="00AD3E91">
        <w:rPr>
          <w:rFonts w:asciiTheme="minorHAnsi" w:hAnsiTheme="minorHAnsi" w:cstheme="minorHAnsi"/>
          <w:b/>
          <w:bCs/>
          <w:szCs w:val="24"/>
          <w:lang w:val="en-CA"/>
        </w:rPr>
        <w:t>Adopted</w:t>
      </w:r>
      <w:r w:rsidRPr="00AD3E91">
        <w:rPr>
          <w:rFonts w:asciiTheme="minorHAnsi" w:hAnsiTheme="minorHAnsi" w:cstheme="minorHAnsi"/>
          <w:szCs w:val="24"/>
          <w:lang w:val="en-CA"/>
        </w:rPr>
        <w:t>.</w:t>
      </w:r>
    </w:p>
    <w:p w14:paraId="6DFC5C8F"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lang w:val="en-CA"/>
        </w:rPr>
      </w:pPr>
      <w:r w:rsidRPr="00AD3E91">
        <w:rPr>
          <w:rFonts w:asciiTheme="minorHAnsi" w:hAnsiTheme="minorHAnsi" w:cstheme="minorHAnsi"/>
          <w:szCs w:val="24"/>
          <w:lang w:val="en-CA"/>
        </w:rPr>
        <w:t>6.2</w:t>
      </w:r>
      <w:r w:rsidRPr="00AD3E91">
        <w:rPr>
          <w:rFonts w:asciiTheme="minorHAnsi" w:hAnsiTheme="minorHAnsi" w:cstheme="minorHAnsi"/>
          <w:szCs w:val="24"/>
          <w:lang w:val="en-CA"/>
        </w:rPr>
        <w:tab/>
        <w:t xml:space="preserve">The twenty-first series of texts submitted by the Editorial Committee for first reading (B21) (Document 183) was </w:t>
      </w:r>
      <w:r w:rsidRPr="00AD3E91">
        <w:rPr>
          <w:rFonts w:asciiTheme="minorHAnsi" w:hAnsiTheme="minorHAnsi" w:cstheme="minorHAnsi"/>
          <w:b/>
          <w:bCs/>
          <w:szCs w:val="24"/>
          <w:lang w:val="en-CA"/>
        </w:rPr>
        <w:t>approved</w:t>
      </w:r>
      <w:r w:rsidRPr="00AD3E91">
        <w:rPr>
          <w:rFonts w:asciiTheme="minorHAnsi" w:hAnsiTheme="minorHAnsi" w:cstheme="minorHAnsi"/>
          <w:szCs w:val="24"/>
          <w:lang w:val="en-CA"/>
        </w:rPr>
        <w:t>.</w:t>
      </w:r>
    </w:p>
    <w:p w14:paraId="0577DDC1" w14:textId="3EF082DB" w:rsidR="009A6623" w:rsidRPr="00AD3E91" w:rsidRDefault="009A6623" w:rsidP="00EC0AE6">
      <w:pPr>
        <w:tabs>
          <w:tab w:val="clear" w:pos="567"/>
          <w:tab w:val="clear" w:pos="1134"/>
          <w:tab w:val="clear" w:pos="1701"/>
          <w:tab w:val="clear" w:pos="2268"/>
          <w:tab w:val="clear" w:pos="2835"/>
        </w:tabs>
        <w:spacing w:before="480" w:after="120"/>
        <w:ind w:left="567" w:hanging="567"/>
        <w:rPr>
          <w:rFonts w:asciiTheme="minorHAnsi" w:hAnsiTheme="minorHAnsi" w:cstheme="minorHAnsi"/>
          <w:b/>
          <w:bCs/>
          <w:szCs w:val="24"/>
          <w:lang w:val="en-CA"/>
        </w:rPr>
      </w:pPr>
      <w:r w:rsidRPr="00AD3E91">
        <w:rPr>
          <w:rFonts w:asciiTheme="minorHAnsi" w:hAnsiTheme="minorHAnsi" w:cstheme="minorHAnsi"/>
          <w:b/>
          <w:bCs/>
          <w:szCs w:val="24"/>
          <w:lang w:val="en-CA"/>
        </w:rPr>
        <w:t>7</w:t>
      </w:r>
      <w:r w:rsidRPr="00AD3E91">
        <w:rPr>
          <w:rFonts w:asciiTheme="minorHAnsi" w:hAnsiTheme="minorHAnsi" w:cstheme="minorHAnsi"/>
          <w:b/>
          <w:bCs/>
          <w:szCs w:val="24"/>
          <w:lang w:val="en-CA"/>
        </w:rPr>
        <w:tab/>
        <w:t xml:space="preserve">Twenty-first series of texts submitted by the Editorial Committee – second reading (Document </w:t>
      </w:r>
      <w:hyperlink r:id="rId26" w:history="1">
        <w:r w:rsidRPr="00203F3F">
          <w:rPr>
            <w:rStyle w:val="Hyperlink"/>
            <w:rFonts w:asciiTheme="minorHAnsi" w:hAnsiTheme="minorHAnsi" w:cstheme="minorHAnsi"/>
            <w:b/>
            <w:bCs/>
            <w:szCs w:val="24"/>
            <w:lang w:val="en-CA"/>
          </w:rPr>
          <w:t>183</w:t>
        </w:r>
      </w:hyperlink>
      <w:r w:rsidRPr="00AD3E91">
        <w:rPr>
          <w:rFonts w:asciiTheme="minorHAnsi" w:hAnsiTheme="minorHAnsi" w:cstheme="minorHAnsi"/>
          <w:b/>
          <w:bCs/>
          <w:szCs w:val="24"/>
          <w:lang w:val="en-CA"/>
        </w:rPr>
        <w:t>)</w:t>
      </w:r>
    </w:p>
    <w:p w14:paraId="6282D5B5" w14:textId="77777777" w:rsidR="009A6623" w:rsidRPr="00AD3E91" w:rsidRDefault="009A6623" w:rsidP="00D86C63">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AD3E91">
        <w:rPr>
          <w:rFonts w:asciiTheme="minorHAnsi" w:hAnsiTheme="minorHAnsi" w:cstheme="minorHAnsi"/>
          <w:szCs w:val="24"/>
          <w:lang w:val="en-CA"/>
        </w:rPr>
        <w:t>7.1</w:t>
      </w:r>
      <w:r w:rsidRPr="00AD3E91">
        <w:rPr>
          <w:rFonts w:asciiTheme="minorHAnsi" w:hAnsiTheme="minorHAnsi" w:cstheme="minorHAnsi"/>
          <w:szCs w:val="24"/>
          <w:lang w:val="en-CA"/>
        </w:rPr>
        <w:tab/>
        <w:t xml:space="preserve">The twenty-first series of texts submitted by the Editorial Committee (Document 183) was </w:t>
      </w:r>
      <w:r w:rsidRPr="00AD3E91">
        <w:rPr>
          <w:rFonts w:asciiTheme="minorHAnsi" w:hAnsiTheme="minorHAnsi" w:cstheme="minorHAnsi"/>
          <w:b/>
          <w:bCs/>
          <w:szCs w:val="24"/>
          <w:lang w:val="en-CA"/>
        </w:rPr>
        <w:t xml:space="preserve">approved </w:t>
      </w:r>
      <w:r w:rsidRPr="00AD3E91">
        <w:rPr>
          <w:rFonts w:asciiTheme="minorHAnsi" w:hAnsiTheme="minorHAnsi" w:cstheme="minorHAnsi"/>
          <w:szCs w:val="24"/>
          <w:lang w:val="en-CA"/>
        </w:rPr>
        <w:t>on second reading.</w:t>
      </w:r>
    </w:p>
    <w:p w14:paraId="504D5B1E" w14:textId="4FC18201" w:rsidR="009A6623" w:rsidRPr="00AD3E91" w:rsidRDefault="009A6623" w:rsidP="00EC0AE6">
      <w:pPr>
        <w:tabs>
          <w:tab w:val="clear" w:pos="567"/>
          <w:tab w:val="clear" w:pos="1134"/>
          <w:tab w:val="clear" w:pos="1701"/>
          <w:tab w:val="clear" w:pos="2268"/>
          <w:tab w:val="clear" w:pos="2835"/>
        </w:tabs>
        <w:spacing w:before="480" w:after="120"/>
        <w:ind w:left="567" w:hanging="567"/>
        <w:rPr>
          <w:rFonts w:asciiTheme="minorHAnsi" w:hAnsiTheme="minorHAnsi" w:cstheme="minorHAnsi"/>
          <w:szCs w:val="24"/>
          <w:lang w:val="en-CA"/>
        </w:rPr>
      </w:pPr>
      <w:r w:rsidRPr="00AD3E91">
        <w:rPr>
          <w:rFonts w:asciiTheme="minorHAnsi" w:hAnsiTheme="minorHAnsi" w:cstheme="minorHAnsi"/>
          <w:b/>
          <w:bCs/>
          <w:szCs w:val="24"/>
          <w:lang w:val="en-CA"/>
        </w:rPr>
        <w:t>8</w:t>
      </w:r>
      <w:r w:rsidRPr="00AD3E91">
        <w:rPr>
          <w:rFonts w:asciiTheme="minorHAnsi" w:hAnsiTheme="minorHAnsi" w:cstheme="minorHAnsi"/>
          <w:b/>
          <w:bCs/>
          <w:szCs w:val="24"/>
          <w:lang w:val="en-CA"/>
        </w:rPr>
        <w:tab/>
        <w:t xml:space="preserve">Twenty-second series of texts submitted by the Editorial Committee for first reading (B22) (Document </w:t>
      </w:r>
      <w:hyperlink r:id="rId27" w:history="1">
        <w:r w:rsidRPr="00203F3F">
          <w:rPr>
            <w:rStyle w:val="Hyperlink"/>
            <w:rFonts w:asciiTheme="minorHAnsi" w:hAnsiTheme="minorHAnsi" w:cstheme="minorHAnsi"/>
            <w:b/>
            <w:bCs/>
            <w:szCs w:val="24"/>
            <w:lang w:val="en-CA"/>
          </w:rPr>
          <w:t>184</w:t>
        </w:r>
      </w:hyperlink>
      <w:r w:rsidRPr="00AD3E91">
        <w:rPr>
          <w:rFonts w:asciiTheme="minorHAnsi" w:hAnsiTheme="minorHAnsi" w:cstheme="minorHAnsi"/>
          <w:b/>
          <w:bCs/>
          <w:szCs w:val="24"/>
          <w:lang w:val="en-CA"/>
        </w:rPr>
        <w:t>)</w:t>
      </w:r>
    </w:p>
    <w:p w14:paraId="42AD69FC"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
          <w:bCs/>
          <w:szCs w:val="24"/>
          <w:lang w:val="en-CA"/>
        </w:rPr>
        <w:t>Draft Resolution 101 (Rev. Bucharest, 2022) - Internet Protocol-based networks</w:t>
      </w:r>
    </w:p>
    <w:p w14:paraId="11C7CB75"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
          <w:bCs/>
          <w:szCs w:val="24"/>
          <w:lang w:val="en-CA"/>
        </w:rPr>
        <w:t>Draft Resolution 133 (Rev. Bucharest, 2022) - Role of administrations of Member States in the management of internationalized (multilingual) domain names</w:t>
      </w:r>
    </w:p>
    <w:p w14:paraId="38D4F1FD"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
          <w:bCs/>
          <w:szCs w:val="24"/>
          <w:lang w:val="en-CA"/>
        </w:rPr>
        <w:t>Draft new Resolution WGPL/2 - Role of telecommunications/information and communication technologies in mitigating global pandemics</w:t>
      </w:r>
    </w:p>
    <w:p w14:paraId="5C545060"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b/>
          <w:bCs/>
          <w:szCs w:val="24"/>
          <w:lang w:val="en-CA"/>
        </w:rPr>
      </w:pPr>
      <w:r w:rsidRPr="00AD3E91">
        <w:rPr>
          <w:rFonts w:asciiTheme="minorHAnsi" w:hAnsiTheme="minorHAnsi" w:cstheme="minorHAnsi"/>
          <w:bCs/>
          <w:szCs w:val="24"/>
          <w:lang w:val="en-CA"/>
        </w:rPr>
        <w:t>8.1</w:t>
      </w:r>
      <w:r w:rsidRPr="00AD3E91">
        <w:rPr>
          <w:rFonts w:asciiTheme="minorHAnsi" w:hAnsiTheme="minorHAnsi" w:cstheme="minorHAnsi"/>
          <w:b/>
          <w:bCs/>
          <w:szCs w:val="24"/>
          <w:lang w:val="en-CA"/>
        </w:rPr>
        <w:tab/>
        <w:t>Adopted</w:t>
      </w:r>
      <w:r w:rsidRPr="00AD3E91">
        <w:rPr>
          <w:rFonts w:asciiTheme="minorHAnsi" w:hAnsiTheme="minorHAnsi" w:cstheme="minorHAnsi"/>
          <w:szCs w:val="24"/>
          <w:lang w:val="en-CA"/>
        </w:rPr>
        <w:t>.</w:t>
      </w:r>
    </w:p>
    <w:p w14:paraId="299C4812"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lang w:val="en-CA"/>
        </w:rPr>
      </w:pPr>
      <w:r w:rsidRPr="00AD3E91">
        <w:rPr>
          <w:rFonts w:asciiTheme="minorHAnsi" w:hAnsiTheme="minorHAnsi" w:cstheme="minorHAnsi"/>
          <w:bCs/>
          <w:szCs w:val="24"/>
          <w:lang w:val="en-CA"/>
        </w:rPr>
        <w:t>8.2</w:t>
      </w:r>
      <w:r w:rsidRPr="00AD3E91">
        <w:rPr>
          <w:rFonts w:asciiTheme="minorHAnsi" w:hAnsiTheme="minorHAnsi" w:cstheme="minorHAnsi"/>
          <w:b/>
          <w:bCs/>
          <w:szCs w:val="24"/>
          <w:lang w:val="en-CA"/>
        </w:rPr>
        <w:tab/>
      </w:r>
      <w:r w:rsidRPr="00AD3E91">
        <w:rPr>
          <w:rFonts w:asciiTheme="minorHAnsi" w:hAnsiTheme="minorHAnsi" w:cstheme="minorHAnsi"/>
          <w:szCs w:val="24"/>
          <w:lang w:val="en-CA"/>
        </w:rPr>
        <w:t xml:space="preserve">The twenty-second series of texts submitted by the Editorial Committee for first reading (B22) (Document 184) was </w:t>
      </w:r>
      <w:r w:rsidRPr="00AD3E91">
        <w:rPr>
          <w:rFonts w:asciiTheme="minorHAnsi" w:hAnsiTheme="minorHAnsi" w:cstheme="minorHAnsi"/>
          <w:b/>
          <w:bCs/>
          <w:szCs w:val="24"/>
          <w:lang w:val="en-CA"/>
        </w:rPr>
        <w:t>approved</w:t>
      </w:r>
      <w:r w:rsidRPr="00AD3E91">
        <w:rPr>
          <w:rFonts w:asciiTheme="minorHAnsi" w:hAnsiTheme="minorHAnsi" w:cstheme="minorHAnsi"/>
          <w:szCs w:val="24"/>
          <w:lang w:val="en-CA"/>
        </w:rPr>
        <w:t>.</w:t>
      </w:r>
    </w:p>
    <w:p w14:paraId="6B85A22B" w14:textId="77777777" w:rsidR="009A6623" w:rsidRPr="00AD3E91" w:rsidRDefault="009A6623" w:rsidP="00124B79">
      <w:pPr>
        <w:tabs>
          <w:tab w:val="clear" w:pos="567"/>
          <w:tab w:val="clear" w:pos="1134"/>
          <w:tab w:val="clear" w:pos="1701"/>
          <w:tab w:val="clear" w:pos="2268"/>
          <w:tab w:val="clear" w:pos="2835"/>
        </w:tabs>
        <w:spacing w:before="140" w:after="120"/>
        <w:rPr>
          <w:rFonts w:asciiTheme="minorHAnsi" w:hAnsiTheme="minorHAnsi" w:cstheme="minorHAnsi"/>
          <w:szCs w:val="24"/>
          <w:lang w:val="en-CA"/>
        </w:rPr>
      </w:pPr>
      <w:bookmarkStart w:id="9" w:name="_Hlk117083167"/>
      <w:r w:rsidRPr="00AD3E91">
        <w:rPr>
          <w:rFonts w:asciiTheme="minorHAnsi" w:hAnsiTheme="minorHAnsi" w:cstheme="minorHAnsi"/>
          <w:szCs w:val="24"/>
          <w:lang w:val="en-CA"/>
        </w:rPr>
        <w:t>8.3</w:t>
      </w:r>
      <w:r w:rsidRPr="00AD3E91">
        <w:rPr>
          <w:rFonts w:asciiTheme="minorHAnsi" w:hAnsiTheme="minorHAnsi" w:cstheme="minorHAnsi"/>
          <w:szCs w:val="24"/>
          <w:lang w:val="en-CA"/>
        </w:rPr>
        <w:tab/>
        <w:t xml:space="preserve">The </w:t>
      </w:r>
      <w:r w:rsidRPr="00AD3E91">
        <w:rPr>
          <w:rFonts w:asciiTheme="minorHAnsi" w:hAnsiTheme="minorHAnsi" w:cstheme="minorHAnsi"/>
          <w:b/>
          <w:bCs/>
          <w:szCs w:val="24"/>
          <w:lang w:val="en-CA"/>
        </w:rPr>
        <w:t>delegate of the Islamic Republic of Iran</w:t>
      </w:r>
      <w:r w:rsidRPr="00AD3E91">
        <w:rPr>
          <w:rFonts w:asciiTheme="minorHAnsi" w:hAnsiTheme="minorHAnsi" w:cstheme="minorHAnsi"/>
          <w:szCs w:val="24"/>
          <w:lang w:val="en-CA"/>
        </w:rPr>
        <w:t xml:space="preserve"> commended the work accomplished on the very important set of texts - Resolutions 101 (Rev. Bucharest, 2022), 102 (Rev. Bucharest, 2022) and 133 (Rev. Bucharest, 2022) - which had benefited in particular from the excellent work of the ad hoc group chairman from Kenya, who stood as an example of the major contribution that the inclusion of women and youth had made to the success of the conference.</w:t>
      </w:r>
      <w:bookmarkEnd w:id="9"/>
    </w:p>
    <w:p w14:paraId="00AB3E57" w14:textId="12EBEA22" w:rsidR="009A6623" w:rsidRPr="00AD3E91" w:rsidRDefault="009A6623" w:rsidP="00EC0AE6">
      <w:pPr>
        <w:tabs>
          <w:tab w:val="clear" w:pos="567"/>
          <w:tab w:val="clear" w:pos="1134"/>
          <w:tab w:val="clear" w:pos="1701"/>
          <w:tab w:val="clear" w:pos="2268"/>
          <w:tab w:val="clear" w:pos="2835"/>
        </w:tabs>
        <w:spacing w:before="480" w:after="120"/>
        <w:ind w:left="567" w:hanging="567"/>
        <w:rPr>
          <w:rFonts w:asciiTheme="minorHAnsi" w:hAnsiTheme="minorHAnsi" w:cstheme="minorHAnsi"/>
          <w:b/>
          <w:bCs/>
          <w:szCs w:val="24"/>
          <w:lang w:val="en-CA"/>
        </w:rPr>
      </w:pPr>
      <w:r w:rsidRPr="00AD3E91">
        <w:rPr>
          <w:rFonts w:asciiTheme="minorHAnsi" w:hAnsiTheme="minorHAnsi" w:cstheme="minorHAnsi"/>
          <w:b/>
          <w:bCs/>
          <w:szCs w:val="24"/>
          <w:lang w:val="en-CA"/>
        </w:rPr>
        <w:t>9</w:t>
      </w:r>
      <w:r w:rsidRPr="00AD3E91">
        <w:rPr>
          <w:rFonts w:asciiTheme="minorHAnsi" w:hAnsiTheme="minorHAnsi" w:cstheme="minorHAnsi"/>
          <w:b/>
          <w:bCs/>
          <w:szCs w:val="24"/>
          <w:lang w:val="en-CA"/>
        </w:rPr>
        <w:tab/>
        <w:t xml:space="preserve">Twenty-second series of texts submitted by the Editorial Committee –second reading (Document </w:t>
      </w:r>
      <w:hyperlink r:id="rId28" w:history="1">
        <w:r w:rsidRPr="00203F3F">
          <w:rPr>
            <w:rStyle w:val="Hyperlink"/>
            <w:rFonts w:asciiTheme="minorHAnsi" w:hAnsiTheme="minorHAnsi" w:cstheme="minorHAnsi"/>
            <w:b/>
            <w:bCs/>
            <w:szCs w:val="24"/>
            <w:lang w:val="en-CA"/>
          </w:rPr>
          <w:t>184</w:t>
        </w:r>
      </w:hyperlink>
      <w:r w:rsidRPr="00AD3E91">
        <w:rPr>
          <w:rFonts w:asciiTheme="minorHAnsi" w:hAnsiTheme="minorHAnsi" w:cstheme="minorHAnsi"/>
          <w:b/>
          <w:bCs/>
          <w:szCs w:val="24"/>
          <w:lang w:val="en-CA"/>
        </w:rPr>
        <w:t>)</w:t>
      </w:r>
    </w:p>
    <w:p w14:paraId="448346AE" w14:textId="1089B8F8" w:rsidR="009A6623" w:rsidRPr="00AD3E91" w:rsidRDefault="009A6623" w:rsidP="00D86C63">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AD3E91">
        <w:rPr>
          <w:rFonts w:asciiTheme="minorHAnsi" w:hAnsiTheme="minorHAnsi" w:cstheme="minorHAnsi"/>
          <w:szCs w:val="24"/>
          <w:lang w:val="en-CA"/>
        </w:rPr>
        <w:t>9.1</w:t>
      </w:r>
      <w:r w:rsidRPr="00AD3E91">
        <w:rPr>
          <w:rFonts w:asciiTheme="minorHAnsi" w:hAnsiTheme="minorHAnsi" w:cstheme="minorHAnsi"/>
          <w:szCs w:val="24"/>
          <w:lang w:val="en-CA"/>
        </w:rPr>
        <w:tab/>
      </w:r>
      <w:r w:rsidRPr="003F5E29">
        <w:rPr>
          <w:rFonts w:asciiTheme="minorHAnsi" w:hAnsiTheme="minorHAnsi" w:cstheme="minorHAnsi"/>
          <w:spacing w:val="-2"/>
          <w:szCs w:val="24"/>
          <w:lang w:val="en-CA"/>
        </w:rPr>
        <w:t>The twenty-second series of texts submitted by the Editorial Committee (Document</w:t>
      </w:r>
      <w:r w:rsidR="003F5E29" w:rsidRPr="003F5E29">
        <w:rPr>
          <w:rFonts w:asciiTheme="minorHAnsi" w:hAnsiTheme="minorHAnsi" w:cstheme="minorHAnsi"/>
          <w:spacing w:val="-2"/>
          <w:szCs w:val="24"/>
          <w:lang w:val="en-CA"/>
        </w:rPr>
        <w:t> </w:t>
      </w:r>
      <w:r w:rsidRPr="003F5E29">
        <w:rPr>
          <w:rFonts w:asciiTheme="minorHAnsi" w:hAnsiTheme="minorHAnsi" w:cstheme="minorHAnsi"/>
          <w:spacing w:val="-2"/>
          <w:szCs w:val="24"/>
          <w:lang w:val="en-CA"/>
        </w:rPr>
        <w:t>184)</w:t>
      </w:r>
      <w:r w:rsidRPr="00AD3E91">
        <w:rPr>
          <w:rFonts w:asciiTheme="minorHAnsi" w:hAnsiTheme="minorHAnsi" w:cstheme="minorHAnsi"/>
          <w:szCs w:val="24"/>
          <w:lang w:val="en-CA"/>
        </w:rPr>
        <w:t xml:space="preserve"> was </w:t>
      </w:r>
      <w:r w:rsidRPr="00AD3E91">
        <w:rPr>
          <w:rFonts w:asciiTheme="minorHAnsi" w:hAnsiTheme="minorHAnsi" w:cstheme="minorHAnsi"/>
          <w:b/>
          <w:bCs/>
          <w:szCs w:val="24"/>
          <w:lang w:val="en-CA"/>
        </w:rPr>
        <w:t>approved</w:t>
      </w:r>
      <w:r w:rsidRPr="00AD3E91">
        <w:rPr>
          <w:rFonts w:asciiTheme="minorHAnsi" w:hAnsiTheme="minorHAnsi" w:cstheme="minorHAnsi"/>
          <w:szCs w:val="24"/>
          <w:lang w:val="en-CA"/>
        </w:rPr>
        <w:t xml:space="preserve"> on second reading.</w:t>
      </w:r>
    </w:p>
    <w:p w14:paraId="7B3B4817" w14:textId="5E51E401" w:rsidR="009A6623" w:rsidRPr="00AD3E91" w:rsidRDefault="009A6623" w:rsidP="00EC0AE6">
      <w:pPr>
        <w:tabs>
          <w:tab w:val="clear" w:pos="567"/>
          <w:tab w:val="clear" w:pos="1134"/>
          <w:tab w:val="clear" w:pos="1701"/>
          <w:tab w:val="clear" w:pos="2268"/>
          <w:tab w:val="clear" w:pos="2835"/>
        </w:tabs>
        <w:spacing w:before="480" w:after="120"/>
        <w:ind w:left="567" w:hanging="567"/>
        <w:rPr>
          <w:rFonts w:asciiTheme="minorHAnsi" w:hAnsiTheme="minorHAnsi" w:cstheme="minorHAnsi"/>
          <w:szCs w:val="24"/>
          <w:lang w:val="en-CA"/>
        </w:rPr>
      </w:pPr>
      <w:r w:rsidRPr="00AD3E91">
        <w:rPr>
          <w:rFonts w:asciiTheme="minorHAnsi" w:hAnsiTheme="minorHAnsi" w:cstheme="minorHAnsi"/>
          <w:b/>
          <w:bCs/>
          <w:szCs w:val="24"/>
          <w:lang w:val="en-CA"/>
        </w:rPr>
        <w:t>10</w:t>
      </w:r>
      <w:r w:rsidRPr="00AD3E91">
        <w:rPr>
          <w:rFonts w:asciiTheme="minorHAnsi" w:hAnsiTheme="minorHAnsi" w:cstheme="minorHAnsi"/>
          <w:b/>
          <w:bCs/>
          <w:szCs w:val="24"/>
          <w:lang w:val="en-CA"/>
        </w:rPr>
        <w:tab/>
        <w:t xml:space="preserve">Approval of minutes (Documents </w:t>
      </w:r>
      <w:hyperlink r:id="rId29" w:history="1">
        <w:r w:rsidRPr="00203F3F">
          <w:rPr>
            <w:rStyle w:val="Hyperlink"/>
            <w:rFonts w:asciiTheme="minorHAnsi" w:hAnsiTheme="minorHAnsi" w:cstheme="minorHAnsi"/>
            <w:b/>
            <w:bCs/>
            <w:szCs w:val="24"/>
            <w:lang w:val="en-CA"/>
          </w:rPr>
          <w:t>151</w:t>
        </w:r>
      </w:hyperlink>
      <w:r w:rsidRPr="00AD3E91">
        <w:rPr>
          <w:rFonts w:asciiTheme="minorHAnsi" w:hAnsiTheme="minorHAnsi" w:cstheme="minorHAnsi"/>
          <w:b/>
          <w:bCs/>
          <w:szCs w:val="24"/>
          <w:lang w:val="en-CA"/>
        </w:rPr>
        <w:t xml:space="preserve">, </w:t>
      </w:r>
      <w:hyperlink r:id="rId30" w:history="1">
        <w:r w:rsidRPr="00203F3F">
          <w:rPr>
            <w:rStyle w:val="Hyperlink"/>
            <w:rFonts w:asciiTheme="minorHAnsi" w:hAnsiTheme="minorHAnsi" w:cstheme="minorHAnsi"/>
            <w:b/>
            <w:bCs/>
            <w:szCs w:val="24"/>
            <w:lang w:val="en-CA"/>
          </w:rPr>
          <w:t>152</w:t>
        </w:r>
      </w:hyperlink>
      <w:r w:rsidRPr="00AD3E91">
        <w:rPr>
          <w:rFonts w:asciiTheme="minorHAnsi" w:hAnsiTheme="minorHAnsi" w:cstheme="minorHAnsi"/>
          <w:b/>
          <w:bCs/>
          <w:szCs w:val="24"/>
          <w:lang w:val="en-CA"/>
        </w:rPr>
        <w:t xml:space="preserve"> and </w:t>
      </w:r>
      <w:hyperlink r:id="rId31" w:history="1">
        <w:r w:rsidRPr="00044856">
          <w:rPr>
            <w:rStyle w:val="Hyperlink"/>
            <w:rFonts w:asciiTheme="minorHAnsi" w:hAnsiTheme="minorHAnsi" w:cstheme="minorHAnsi"/>
            <w:b/>
            <w:bCs/>
            <w:szCs w:val="24"/>
            <w:lang w:val="en-CA"/>
          </w:rPr>
          <w:t>168</w:t>
        </w:r>
      </w:hyperlink>
      <w:r w:rsidRPr="00AD3E91">
        <w:rPr>
          <w:rFonts w:asciiTheme="minorHAnsi" w:hAnsiTheme="minorHAnsi" w:cstheme="minorHAnsi"/>
          <w:b/>
          <w:bCs/>
          <w:szCs w:val="24"/>
          <w:lang w:val="en-CA"/>
        </w:rPr>
        <w:t>)</w:t>
      </w:r>
    </w:p>
    <w:p w14:paraId="2C499F94" w14:textId="77777777" w:rsidR="009A6623" w:rsidRPr="00AD3E91" w:rsidRDefault="009A6623" w:rsidP="00D86C63">
      <w:pPr>
        <w:tabs>
          <w:tab w:val="clear" w:pos="567"/>
          <w:tab w:val="clear" w:pos="1134"/>
          <w:tab w:val="clear" w:pos="1701"/>
          <w:tab w:val="clear" w:pos="2268"/>
          <w:tab w:val="clear" w:pos="2835"/>
        </w:tabs>
        <w:spacing w:after="120"/>
        <w:rPr>
          <w:rFonts w:asciiTheme="minorHAnsi" w:hAnsiTheme="minorHAnsi" w:cstheme="minorHAnsi"/>
          <w:szCs w:val="24"/>
          <w:lang w:val="en-CA"/>
        </w:rPr>
      </w:pPr>
      <w:r w:rsidRPr="00AD3E91">
        <w:rPr>
          <w:rFonts w:asciiTheme="minorHAnsi" w:hAnsiTheme="minorHAnsi" w:cstheme="minorHAnsi"/>
          <w:szCs w:val="24"/>
          <w:lang w:val="en-CA"/>
        </w:rPr>
        <w:t>10.1</w:t>
      </w:r>
      <w:r w:rsidRPr="00AD3E91">
        <w:rPr>
          <w:rFonts w:asciiTheme="minorHAnsi" w:hAnsiTheme="minorHAnsi" w:cstheme="minorHAnsi"/>
          <w:szCs w:val="24"/>
          <w:lang w:val="en-CA"/>
        </w:rPr>
        <w:tab/>
        <w:t xml:space="preserve">The minutes of the tenth plenary meeting (Document 151), eleventh plenary meeting (Document 152) and twelfth plenary meeting (Document 168) were </w:t>
      </w:r>
      <w:r w:rsidRPr="00AD3E91">
        <w:rPr>
          <w:rFonts w:asciiTheme="minorHAnsi" w:hAnsiTheme="minorHAnsi" w:cstheme="minorHAnsi"/>
          <w:b/>
          <w:bCs/>
          <w:szCs w:val="24"/>
          <w:lang w:val="en-CA"/>
        </w:rPr>
        <w:t>approved</w:t>
      </w:r>
      <w:r w:rsidRPr="00AD3E91">
        <w:rPr>
          <w:rFonts w:asciiTheme="minorHAnsi" w:hAnsiTheme="minorHAnsi" w:cstheme="minorHAnsi"/>
          <w:szCs w:val="24"/>
          <w:lang w:val="en-CA"/>
        </w:rPr>
        <w:t>.</w:t>
      </w:r>
    </w:p>
    <w:p w14:paraId="1F7BC91C" w14:textId="77777777" w:rsidR="009A6623" w:rsidRPr="00AD3E91" w:rsidRDefault="009A6623" w:rsidP="00EC0AE6">
      <w:pPr>
        <w:tabs>
          <w:tab w:val="clear" w:pos="567"/>
          <w:tab w:val="clear" w:pos="1134"/>
          <w:tab w:val="clear" w:pos="1701"/>
          <w:tab w:val="clear" w:pos="2268"/>
          <w:tab w:val="clear" w:pos="2835"/>
        </w:tabs>
        <w:spacing w:before="480" w:after="120"/>
        <w:rPr>
          <w:rFonts w:asciiTheme="minorHAnsi" w:hAnsiTheme="minorHAnsi" w:cstheme="minorHAnsi"/>
          <w:szCs w:val="24"/>
          <w:lang w:val="en-CA"/>
        </w:rPr>
      </w:pPr>
      <w:r w:rsidRPr="00AD3E91">
        <w:rPr>
          <w:rFonts w:asciiTheme="minorHAnsi" w:hAnsiTheme="minorHAnsi" w:cstheme="minorHAnsi"/>
          <w:b/>
          <w:bCs/>
          <w:szCs w:val="24"/>
          <w:lang w:val="en-CA"/>
        </w:rPr>
        <w:lastRenderedPageBreak/>
        <w:t>11</w:t>
      </w:r>
      <w:r w:rsidRPr="00AD3E91">
        <w:rPr>
          <w:rFonts w:asciiTheme="minorHAnsi" w:hAnsiTheme="minorHAnsi" w:cstheme="minorHAnsi"/>
          <w:b/>
          <w:bCs/>
          <w:szCs w:val="24"/>
          <w:lang w:val="en-CA"/>
        </w:rPr>
        <w:tab/>
        <w:t>Editorial matters</w:t>
      </w:r>
    </w:p>
    <w:p w14:paraId="6ADEF091" w14:textId="5CF6360C" w:rsidR="009A6623" w:rsidRPr="00AD3E91" w:rsidRDefault="009A6623" w:rsidP="00097C8E">
      <w:pPr>
        <w:tabs>
          <w:tab w:val="clear" w:pos="567"/>
          <w:tab w:val="clear" w:pos="1134"/>
          <w:tab w:val="clear" w:pos="1701"/>
          <w:tab w:val="clear" w:pos="2268"/>
          <w:tab w:val="clear" w:pos="2835"/>
        </w:tabs>
        <w:spacing w:before="160" w:after="140"/>
        <w:rPr>
          <w:rFonts w:asciiTheme="minorHAnsi" w:eastAsia="Times New Roman" w:hAnsiTheme="minorHAnsi" w:cstheme="minorHAnsi"/>
          <w:szCs w:val="24"/>
        </w:rPr>
      </w:pPr>
      <w:r w:rsidRPr="00AD3E91">
        <w:rPr>
          <w:rFonts w:asciiTheme="minorHAnsi" w:eastAsia="Times New Roman" w:hAnsiTheme="minorHAnsi" w:cstheme="minorHAnsi"/>
          <w:szCs w:val="24"/>
        </w:rPr>
        <w:t>11.1</w:t>
      </w:r>
      <w:r w:rsidRPr="00AD3E91">
        <w:rPr>
          <w:rFonts w:asciiTheme="minorHAnsi" w:eastAsia="Times New Roman" w:hAnsiTheme="minorHAnsi" w:cstheme="minorHAnsi"/>
          <w:szCs w:val="24"/>
        </w:rPr>
        <w:tab/>
        <w:t xml:space="preserve">In response to a proposal from the delegate of the </w:t>
      </w:r>
      <w:r w:rsidRPr="00AD3E91">
        <w:rPr>
          <w:rFonts w:asciiTheme="minorHAnsi" w:eastAsia="Times New Roman" w:hAnsiTheme="minorHAnsi" w:cstheme="minorHAnsi"/>
          <w:b/>
          <w:bCs/>
          <w:szCs w:val="24"/>
        </w:rPr>
        <w:t>Russian Federation</w:t>
      </w:r>
      <w:r w:rsidRPr="00AD3E91">
        <w:rPr>
          <w:rFonts w:asciiTheme="minorHAnsi" w:eastAsia="Times New Roman" w:hAnsiTheme="minorHAnsi" w:cstheme="minorHAnsi"/>
          <w:szCs w:val="24"/>
        </w:rPr>
        <w:t xml:space="preserve"> that his delegation contact the ITU Russian language service directly to iron out any outstanding linguistic errors and inaccuracies in the Russian versions of documents submitted by the Editorial Committee, the </w:t>
      </w:r>
      <w:r w:rsidRPr="00AD3E91">
        <w:rPr>
          <w:rFonts w:asciiTheme="minorHAnsi" w:eastAsia="Times New Roman" w:hAnsiTheme="minorHAnsi" w:cstheme="minorHAnsi"/>
          <w:b/>
          <w:bCs/>
          <w:szCs w:val="24"/>
        </w:rPr>
        <w:t>Chairman of the Editorial Committee</w:t>
      </w:r>
      <w:r w:rsidRPr="00AD3E91">
        <w:rPr>
          <w:rFonts w:asciiTheme="minorHAnsi" w:eastAsia="Times New Roman" w:hAnsiTheme="minorHAnsi" w:cstheme="minorHAnsi"/>
          <w:szCs w:val="24"/>
        </w:rPr>
        <w:t xml:space="preserve"> said that once all documents were approved in plenary and the provisional final acts prepared by the secretariat, they were reviewed by the translation services to address any outstanding corrections. At that stage, the delegation of the Russian Federation might contact the Russian language service for any editorial or terminological matters affecting only the Russian text. At WRC-19, the Editorial Committee had requested authorization during the final plenary meeting to continue its work virtually to prepare the publication of the final documents. The same approach could be adopted for the present conference.</w:t>
      </w:r>
    </w:p>
    <w:p w14:paraId="05BFC9C4" w14:textId="4873C05F" w:rsidR="009A6623" w:rsidRPr="00AD3E91" w:rsidRDefault="009A6623" w:rsidP="00097C8E">
      <w:pPr>
        <w:tabs>
          <w:tab w:val="clear" w:pos="567"/>
          <w:tab w:val="clear" w:pos="1134"/>
          <w:tab w:val="clear" w:pos="1701"/>
          <w:tab w:val="clear" w:pos="2268"/>
          <w:tab w:val="clear" w:pos="2835"/>
        </w:tabs>
        <w:spacing w:before="160" w:after="140"/>
        <w:rPr>
          <w:rFonts w:asciiTheme="minorHAnsi" w:hAnsiTheme="minorHAnsi" w:cstheme="minorHAnsi"/>
          <w:szCs w:val="24"/>
        </w:rPr>
      </w:pPr>
      <w:r w:rsidRPr="00AD3E91">
        <w:rPr>
          <w:rFonts w:asciiTheme="minorHAnsi" w:eastAsia="Times New Roman" w:hAnsiTheme="minorHAnsi" w:cstheme="minorHAnsi"/>
          <w:szCs w:val="24"/>
        </w:rPr>
        <w:t>11.2</w:t>
      </w:r>
      <w:r w:rsidRPr="00AD3E91">
        <w:rPr>
          <w:rFonts w:asciiTheme="minorHAnsi" w:eastAsia="Times New Roman" w:hAnsiTheme="minorHAnsi" w:cstheme="minorHAnsi"/>
          <w:szCs w:val="24"/>
        </w:rPr>
        <w:tab/>
        <w:t>The delegate of the</w:t>
      </w:r>
      <w:r w:rsidRPr="00AD3E91">
        <w:rPr>
          <w:rFonts w:asciiTheme="minorHAnsi" w:eastAsia="Times New Roman" w:hAnsiTheme="minorHAnsi" w:cstheme="minorHAnsi"/>
          <w:b/>
          <w:bCs/>
          <w:szCs w:val="24"/>
        </w:rPr>
        <w:t xml:space="preserve"> Islamic Republic of Iran</w:t>
      </w:r>
      <w:r w:rsidRPr="00AD3E91">
        <w:rPr>
          <w:rFonts w:asciiTheme="minorHAnsi" w:eastAsia="Times New Roman" w:hAnsiTheme="minorHAnsi" w:cstheme="minorHAnsi"/>
          <w:szCs w:val="24"/>
        </w:rPr>
        <w:t xml:space="preserve"> expressed support for the proposal by the Chairman of the Editorial Committee. </w:t>
      </w:r>
      <w:bookmarkStart w:id="10" w:name="_Hlk116548789"/>
      <w:r w:rsidRPr="00AD3E91">
        <w:rPr>
          <w:rFonts w:asciiTheme="minorHAnsi" w:hAnsiTheme="minorHAnsi" w:cstheme="minorHAnsi"/>
          <w:szCs w:val="24"/>
        </w:rPr>
        <w:t>He also suggested that, for the future, the structure of all ITU</w:t>
      </w:r>
      <w:r w:rsidR="00D64BE5">
        <w:rPr>
          <w:rFonts w:asciiTheme="minorHAnsi" w:hAnsiTheme="minorHAnsi" w:cstheme="minorHAnsi"/>
          <w:szCs w:val="24"/>
        </w:rPr>
        <w:t> </w:t>
      </w:r>
      <w:r w:rsidRPr="00AD3E91">
        <w:rPr>
          <w:rFonts w:asciiTheme="minorHAnsi" w:hAnsiTheme="minorHAnsi" w:cstheme="minorHAnsi"/>
          <w:szCs w:val="24"/>
        </w:rPr>
        <w:t xml:space="preserve">resolutions needed to be harmonized. Preambular paragraphs should contain factual statements, without words of obligation, and their number kept to the minimum required to justify the operative sections. The wording used in the operative paragraphs needed to be consistent from one resolution to another. Moreover, care should be taken with the language used, including verbs of instruction, </w:t>
      </w:r>
      <w:proofErr w:type="gramStart"/>
      <w:r w:rsidRPr="00AD3E91">
        <w:rPr>
          <w:rFonts w:asciiTheme="minorHAnsi" w:hAnsiTheme="minorHAnsi" w:cstheme="minorHAnsi"/>
          <w:szCs w:val="24"/>
        </w:rPr>
        <w:t>recommendation</w:t>
      </w:r>
      <w:proofErr w:type="gramEnd"/>
      <w:r w:rsidRPr="00AD3E91">
        <w:rPr>
          <w:rFonts w:asciiTheme="minorHAnsi" w:hAnsiTheme="minorHAnsi" w:cstheme="minorHAnsi"/>
          <w:szCs w:val="24"/>
        </w:rPr>
        <w:t xml:space="preserve"> or obligation. He requested the Secretary-General to draft guidelines for the preparation of resolutions by all ITU conferences and to submit that document to the Council for formal approval. Once approved, the guidelines could be implemented across the board to ensure a harmonized structure for all ITU resolutions. His administration stood ready to </w:t>
      </w:r>
      <w:proofErr w:type="gramStart"/>
      <w:r w:rsidRPr="00AD3E91">
        <w:rPr>
          <w:rFonts w:asciiTheme="minorHAnsi" w:hAnsiTheme="minorHAnsi" w:cstheme="minorHAnsi"/>
          <w:szCs w:val="24"/>
        </w:rPr>
        <w:t>provide assistance to</w:t>
      </w:r>
      <w:proofErr w:type="gramEnd"/>
      <w:r w:rsidRPr="00AD3E91">
        <w:rPr>
          <w:rFonts w:asciiTheme="minorHAnsi" w:hAnsiTheme="minorHAnsi" w:cstheme="minorHAnsi"/>
          <w:szCs w:val="24"/>
        </w:rPr>
        <w:t xml:space="preserve"> address that long-standing problem.</w:t>
      </w:r>
    </w:p>
    <w:p w14:paraId="29AC04A6" w14:textId="77777777" w:rsidR="009A6623" w:rsidRPr="00AD3E91" w:rsidRDefault="009A6623" w:rsidP="00097C8E">
      <w:pPr>
        <w:tabs>
          <w:tab w:val="clear" w:pos="567"/>
          <w:tab w:val="clear" w:pos="1134"/>
          <w:tab w:val="clear" w:pos="1701"/>
          <w:tab w:val="clear" w:pos="2268"/>
          <w:tab w:val="clear" w:pos="2835"/>
        </w:tabs>
        <w:spacing w:before="160" w:after="140"/>
        <w:rPr>
          <w:rFonts w:asciiTheme="minorHAnsi" w:hAnsiTheme="minorHAnsi" w:cstheme="minorHAnsi"/>
          <w:szCs w:val="24"/>
        </w:rPr>
      </w:pPr>
      <w:r w:rsidRPr="00AD3E91">
        <w:rPr>
          <w:rFonts w:asciiTheme="minorHAnsi" w:hAnsiTheme="minorHAnsi" w:cstheme="minorHAnsi"/>
          <w:szCs w:val="24"/>
        </w:rPr>
        <w:t>11.3</w:t>
      </w:r>
      <w:r w:rsidRPr="00AD3E91">
        <w:rPr>
          <w:rFonts w:asciiTheme="minorHAnsi" w:hAnsiTheme="minorHAnsi" w:cstheme="minorHAnsi"/>
          <w:szCs w:val="24"/>
        </w:rPr>
        <w:tab/>
        <w:t xml:space="preserve">The delegate of </w:t>
      </w:r>
      <w:r w:rsidRPr="00AD3E91">
        <w:rPr>
          <w:rFonts w:asciiTheme="minorHAnsi" w:hAnsiTheme="minorHAnsi" w:cstheme="minorHAnsi"/>
          <w:b/>
          <w:bCs/>
          <w:szCs w:val="24"/>
        </w:rPr>
        <w:t>Jordan</w:t>
      </w:r>
      <w:r w:rsidRPr="00AD3E91">
        <w:rPr>
          <w:rFonts w:asciiTheme="minorHAnsi" w:hAnsiTheme="minorHAnsi" w:cstheme="minorHAnsi"/>
          <w:szCs w:val="24"/>
        </w:rPr>
        <w:t xml:space="preserve"> cautioned that each ITU conference was free to decide on the structure and wording of its resolutions. Thus, while he could support the idea of preparing and making available guidelines on the drafting of resolutions, which would indeed be a useful tool, </w:t>
      </w:r>
      <w:r w:rsidRPr="00A21DC3">
        <w:rPr>
          <w:rFonts w:asciiTheme="minorHAnsi" w:hAnsiTheme="minorHAnsi" w:cstheme="minorHAnsi"/>
          <w:spacing w:val="-2"/>
          <w:szCs w:val="24"/>
        </w:rPr>
        <w:t>he would however not be in favour of the formal adoption of any such guidelines by the Council.</w:t>
      </w:r>
    </w:p>
    <w:bookmarkEnd w:id="10"/>
    <w:p w14:paraId="473B20BB" w14:textId="77777777" w:rsidR="009A6623" w:rsidRPr="00AD3E91" w:rsidRDefault="009A6623" w:rsidP="00097C8E">
      <w:pPr>
        <w:tabs>
          <w:tab w:val="clear" w:pos="567"/>
          <w:tab w:val="clear" w:pos="1134"/>
          <w:tab w:val="clear" w:pos="1701"/>
          <w:tab w:val="clear" w:pos="2268"/>
          <w:tab w:val="clear" w:pos="2835"/>
        </w:tabs>
        <w:spacing w:before="160" w:after="140"/>
        <w:rPr>
          <w:rFonts w:asciiTheme="minorHAnsi" w:hAnsiTheme="minorHAnsi" w:cstheme="minorHAnsi"/>
          <w:szCs w:val="24"/>
        </w:rPr>
      </w:pPr>
      <w:r w:rsidRPr="00AD3E91">
        <w:rPr>
          <w:rFonts w:asciiTheme="minorHAnsi" w:hAnsiTheme="minorHAnsi" w:cstheme="minorHAnsi"/>
          <w:szCs w:val="24"/>
        </w:rPr>
        <w:t>11.4</w:t>
      </w:r>
      <w:r w:rsidRPr="00AD3E91">
        <w:rPr>
          <w:rFonts w:asciiTheme="minorHAnsi" w:hAnsiTheme="minorHAnsi" w:cstheme="minorHAnsi"/>
          <w:szCs w:val="24"/>
        </w:rPr>
        <w:tab/>
        <w:t xml:space="preserve">The </w:t>
      </w:r>
      <w:r w:rsidRPr="00AD3E91">
        <w:rPr>
          <w:rFonts w:asciiTheme="minorHAnsi" w:hAnsiTheme="minorHAnsi" w:cstheme="minorHAnsi"/>
          <w:b/>
          <w:bCs/>
          <w:szCs w:val="24"/>
        </w:rPr>
        <w:t>Chairman</w:t>
      </w:r>
      <w:r w:rsidRPr="00AD3E91">
        <w:rPr>
          <w:rFonts w:asciiTheme="minorHAnsi" w:hAnsiTheme="minorHAnsi" w:cstheme="minorHAnsi"/>
          <w:szCs w:val="24"/>
        </w:rPr>
        <w:t xml:space="preserve"> said that both delegates’ comments would be noted and that discussions on the subject could continue outside the framework of the conference.</w:t>
      </w:r>
    </w:p>
    <w:p w14:paraId="42638A43" w14:textId="77777777" w:rsidR="009A6623" w:rsidRPr="00AD3E91" w:rsidRDefault="009A6623" w:rsidP="00EC0AE6">
      <w:pPr>
        <w:tabs>
          <w:tab w:val="clear" w:pos="567"/>
          <w:tab w:val="clear" w:pos="1134"/>
          <w:tab w:val="clear" w:pos="1701"/>
          <w:tab w:val="clear" w:pos="2268"/>
          <w:tab w:val="clear" w:pos="2835"/>
        </w:tabs>
        <w:spacing w:before="480" w:after="120"/>
        <w:rPr>
          <w:rFonts w:asciiTheme="minorHAnsi" w:hAnsiTheme="minorHAnsi" w:cstheme="minorHAnsi"/>
          <w:b/>
          <w:bCs/>
          <w:szCs w:val="24"/>
          <w:lang w:val="en-CA"/>
        </w:rPr>
      </w:pPr>
      <w:bookmarkStart w:id="11" w:name="_Hlk117083144"/>
      <w:r w:rsidRPr="00AD3E91">
        <w:rPr>
          <w:rFonts w:asciiTheme="minorHAnsi" w:hAnsiTheme="minorHAnsi" w:cstheme="minorHAnsi"/>
          <w:b/>
          <w:bCs/>
          <w:szCs w:val="24"/>
          <w:lang w:val="en-CA"/>
        </w:rPr>
        <w:t>12</w:t>
      </w:r>
      <w:r w:rsidRPr="00AD3E91">
        <w:rPr>
          <w:rFonts w:asciiTheme="minorHAnsi" w:hAnsiTheme="minorHAnsi" w:cstheme="minorHAnsi"/>
          <w:b/>
          <w:bCs/>
          <w:szCs w:val="24"/>
          <w:lang w:val="en-CA"/>
        </w:rPr>
        <w:tab/>
        <w:t xml:space="preserve">Use of appropriate language in meetings of the conference </w:t>
      </w:r>
    </w:p>
    <w:p w14:paraId="7FBC0E7E" w14:textId="77777777" w:rsidR="009A6623" w:rsidRPr="00AD3E91" w:rsidRDefault="009A6623" w:rsidP="00097C8E">
      <w:pPr>
        <w:tabs>
          <w:tab w:val="clear" w:pos="567"/>
          <w:tab w:val="clear" w:pos="1134"/>
          <w:tab w:val="clear" w:pos="1701"/>
          <w:tab w:val="clear" w:pos="2268"/>
          <w:tab w:val="clear" w:pos="2835"/>
        </w:tabs>
        <w:spacing w:before="160" w:after="140"/>
        <w:rPr>
          <w:rFonts w:asciiTheme="minorHAnsi" w:hAnsiTheme="minorHAnsi" w:cstheme="minorHAnsi"/>
          <w:szCs w:val="24"/>
        </w:rPr>
      </w:pPr>
      <w:r w:rsidRPr="00AD3E91">
        <w:rPr>
          <w:rFonts w:asciiTheme="minorHAnsi" w:hAnsiTheme="minorHAnsi" w:cstheme="minorHAnsi"/>
          <w:szCs w:val="24"/>
        </w:rPr>
        <w:t>12.1</w:t>
      </w:r>
      <w:r w:rsidRPr="00AD3E91">
        <w:rPr>
          <w:rFonts w:asciiTheme="minorHAnsi" w:hAnsiTheme="minorHAnsi" w:cstheme="minorHAnsi"/>
          <w:szCs w:val="24"/>
        </w:rPr>
        <w:tab/>
        <w:t>The delegate of the</w:t>
      </w:r>
      <w:r w:rsidRPr="00AD3E91">
        <w:rPr>
          <w:rFonts w:asciiTheme="minorHAnsi" w:hAnsiTheme="minorHAnsi" w:cstheme="minorHAnsi"/>
          <w:b/>
          <w:bCs/>
          <w:szCs w:val="24"/>
        </w:rPr>
        <w:t xml:space="preserve"> United States </w:t>
      </w:r>
      <w:r w:rsidRPr="00AD3E91">
        <w:rPr>
          <w:rFonts w:asciiTheme="minorHAnsi" w:hAnsiTheme="minorHAnsi" w:cstheme="minorHAnsi"/>
          <w:szCs w:val="24"/>
        </w:rPr>
        <w:t xml:space="preserve">emphasized that speakers should take care in formulating their interventions to ensure that all delegates, regardless of gender or age, were treated as equals in the conference deliberations. The delegates of </w:t>
      </w:r>
      <w:r w:rsidRPr="00AD3E91">
        <w:rPr>
          <w:rFonts w:asciiTheme="minorHAnsi" w:hAnsiTheme="minorHAnsi" w:cstheme="minorHAnsi"/>
          <w:b/>
          <w:szCs w:val="24"/>
        </w:rPr>
        <w:t>New Zealand</w:t>
      </w:r>
      <w:r w:rsidRPr="00AD3E91">
        <w:rPr>
          <w:rFonts w:asciiTheme="minorHAnsi" w:hAnsiTheme="minorHAnsi" w:cstheme="minorHAnsi"/>
          <w:szCs w:val="24"/>
        </w:rPr>
        <w:t xml:space="preserve">, </w:t>
      </w:r>
      <w:r w:rsidRPr="00AD3E91">
        <w:rPr>
          <w:rFonts w:asciiTheme="minorHAnsi" w:hAnsiTheme="minorHAnsi" w:cstheme="minorHAnsi"/>
          <w:b/>
          <w:szCs w:val="24"/>
        </w:rPr>
        <w:t>Canada</w:t>
      </w:r>
      <w:r w:rsidRPr="00AD3E91">
        <w:rPr>
          <w:rFonts w:asciiTheme="minorHAnsi" w:hAnsiTheme="minorHAnsi" w:cstheme="minorHAnsi"/>
          <w:szCs w:val="24"/>
        </w:rPr>
        <w:t xml:space="preserve">, the </w:t>
      </w:r>
      <w:r w:rsidRPr="00AD3E91">
        <w:rPr>
          <w:rFonts w:asciiTheme="minorHAnsi" w:hAnsiTheme="minorHAnsi" w:cstheme="minorHAnsi"/>
          <w:b/>
          <w:szCs w:val="24"/>
        </w:rPr>
        <w:t>United Kingdom</w:t>
      </w:r>
      <w:r w:rsidRPr="00AD3E91">
        <w:rPr>
          <w:rFonts w:asciiTheme="minorHAnsi" w:hAnsiTheme="minorHAnsi" w:cstheme="minorHAnsi"/>
          <w:szCs w:val="24"/>
        </w:rPr>
        <w:t xml:space="preserve">, the </w:t>
      </w:r>
      <w:r w:rsidRPr="00AD3E91">
        <w:rPr>
          <w:rFonts w:asciiTheme="minorHAnsi" w:hAnsiTheme="minorHAnsi" w:cstheme="minorHAnsi"/>
          <w:b/>
          <w:szCs w:val="24"/>
        </w:rPr>
        <w:t>Philippines</w:t>
      </w:r>
      <w:r w:rsidRPr="00AD3E91">
        <w:rPr>
          <w:rFonts w:asciiTheme="minorHAnsi" w:hAnsiTheme="minorHAnsi" w:cstheme="minorHAnsi"/>
          <w:szCs w:val="24"/>
        </w:rPr>
        <w:t xml:space="preserve">, the </w:t>
      </w:r>
      <w:r w:rsidRPr="00AD3E91">
        <w:rPr>
          <w:rFonts w:asciiTheme="minorHAnsi" w:hAnsiTheme="minorHAnsi" w:cstheme="minorHAnsi"/>
          <w:b/>
          <w:szCs w:val="24"/>
        </w:rPr>
        <w:t>Czech Republic</w:t>
      </w:r>
      <w:r w:rsidRPr="00AD3E91">
        <w:rPr>
          <w:rFonts w:asciiTheme="minorHAnsi" w:hAnsiTheme="minorHAnsi" w:cstheme="minorHAnsi"/>
          <w:szCs w:val="24"/>
        </w:rPr>
        <w:t>, speaking on behalf of the Member States of the European Union,</w:t>
      </w:r>
      <w:r w:rsidRPr="00AD3E91">
        <w:rPr>
          <w:rFonts w:asciiTheme="minorHAnsi" w:hAnsiTheme="minorHAnsi" w:cstheme="minorHAnsi"/>
          <w:b/>
          <w:szCs w:val="24"/>
        </w:rPr>
        <w:t xml:space="preserve"> Romania</w:t>
      </w:r>
      <w:r w:rsidRPr="00AD3E91">
        <w:rPr>
          <w:rFonts w:asciiTheme="minorHAnsi" w:hAnsiTheme="minorHAnsi" w:cstheme="minorHAnsi"/>
          <w:szCs w:val="24"/>
        </w:rPr>
        <w:t xml:space="preserve">, speaking on behalf of CEPT, </w:t>
      </w:r>
      <w:r w:rsidRPr="00AD3E91">
        <w:rPr>
          <w:rFonts w:asciiTheme="minorHAnsi" w:hAnsiTheme="minorHAnsi" w:cstheme="minorHAnsi"/>
          <w:b/>
          <w:szCs w:val="24"/>
        </w:rPr>
        <w:t>Jordan, Argentina, Tunisia, Israel, Thailand, Samoa, Papua New Guinea</w:t>
      </w:r>
      <w:r w:rsidRPr="00AD3E91">
        <w:rPr>
          <w:rFonts w:asciiTheme="minorHAnsi" w:hAnsiTheme="minorHAnsi" w:cstheme="minorHAnsi"/>
          <w:szCs w:val="24"/>
        </w:rPr>
        <w:t xml:space="preserve">, the </w:t>
      </w:r>
      <w:r w:rsidRPr="00AD3E91">
        <w:rPr>
          <w:rFonts w:asciiTheme="minorHAnsi" w:hAnsiTheme="minorHAnsi" w:cstheme="minorHAnsi"/>
          <w:b/>
          <w:szCs w:val="24"/>
        </w:rPr>
        <w:t xml:space="preserve">Republic of Korea, Sweden, Japan, Saudi </w:t>
      </w:r>
      <w:proofErr w:type="gramStart"/>
      <w:r w:rsidRPr="00AD3E91">
        <w:rPr>
          <w:rFonts w:asciiTheme="minorHAnsi" w:hAnsiTheme="minorHAnsi" w:cstheme="minorHAnsi"/>
          <w:b/>
          <w:szCs w:val="24"/>
        </w:rPr>
        <w:t>Arabia</w:t>
      </w:r>
      <w:proofErr w:type="gramEnd"/>
      <w:r w:rsidRPr="00AD3E91">
        <w:rPr>
          <w:rFonts w:asciiTheme="minorHAnsi" w:hAnsiTheme="minorHAnsi" w:cstheme="minorHAnsi"/>
          <w:szCs w:val="24"/>
        </w:rPr>
        <w:t xml:space="preserve"> and </w:t>
      </w:r>
      <w:r w:rsidRPr="00AD3E91">
        <w:rPr>
          <w:rFonts w:asciiTheme="minorHAnsi" w:hAnsiTheme="minorHAnsi" w:cstheme="minorHAnsi"/>
          <w:b/>
          <w:szCs w:val="24"/>
        </w:rPr>
        <w:t>Brazil</w:t>
      </w:r>
      <w:r w:rsidRPr="00AD3E91">
        <w:rPr>
          <w:rFonts w:asciiTheme="minorHAnsi" w:hAnsiTheme="minorHAnsi" w:cstheme="minorHAnsi"/>
          <w:szCs w:val="24"/>
        </w:rPr>
        <w:t xml:space="preserve"> echoed that sentiment. The work of the Union should be founded on equality and inclusivity, and speakers should always use appropriate language in that regard.</w:t>
      </w:r>
    </w:p>
    <w:p w14:paraId="6C84F606" w14:textId="77777777" w:rsidR="009A6623" w:rsidRPr="005F2064" w:rsidRDefault="009A6623" w:rsidP="00097C8E">
      <w:pPr>
        <w:tabs>
          <w:tab w:val="clear" w:pos="567"/>
          <w:tab w:val="clear" w:pos="1134"/>
          <w:tab w:val="clear" w:pos="1701"/>
          <w:tab w:val="clear" w:pos="2268"/>
          <w:tab w:val="clear" w:pos="2835"/>
        </w:tabs>
        <w:spacing w:before="160" w:after="140"/>
        <w:rPr>
          <w:rFonts w:asciiTheme="minorHAnsi" w:hAnsiTheme="minorHAnsi" w:cstheme="minorHAnsi"/>
          <w:szCs w:val="24"/>
        </w:rPr>
      </w:pPr>
      <w:r w:rsidRPr="00AD3E91">
        <w:rPr>
          <w:rFonts w:asciiTheme="minorHAnsi" w:hAnsiTheme="minorHAnsi" w:cstheme="minorHAnsi"/>
          <w:szCs w:val="24"/>
        </w:rPr>
        <w:t>12.2</w:t>
      </w:r>
      <w:r w:rsidRPr="00AD3E91">
        <w:rPr>
          <w:rFonts w:asciiTheme="minorHAnsi" w:hAnsiTheme="minorHAnsi" w:cstheme="minorHAnsi"/>
          <w:szCs w:val="24"/>
        </w:rPr>
        <w:tab/>
        <w:t xml:space="preserve">The </w:t>
      </w:r>
      <w:r w:rsidRPr="00AD3E91">
        <w:rPr>
          <w:rFonts w:asciiTheme="minorHAnsi" w:hAnsiTheme="minorHAnsi" w:cstheme="minorHAnsi"/>
          <w:b/>
          <w:bCs/>
          <w:szCs w:val="24"/>
        </w:rPr>
        <w:t>Chairman,</w:t>
      </w:r>
      <w:r w:rsidRPr="00AD3E91">
        <w:rPr>
          <w:rFonts w:asciiTheme="minorHAnsi" w:hAnsiTheme="minorHAnsi" w:cstheme="minorHAnsi"/>
          <w:szCs w:val="24"/>
        </w:rPr>
        <w:t xml:space="preserve"> thanking delegates for their comments, said that in his own role he sought to lead by example and to promote diversity and inclusion.</w:t>
      </w:r>
    </w:p>
    <w:bookmarkEnd w:id="11"/>
    <w:p w14:paraId="43DF46EE" w14:textId="77777777" w:rsidR="009A6623" w:rsidRPr="005F2064" w:rsidRDefault="009A6623" w:rsidP="007D333A">
      <w:pPr>
        <w:keepNext/>
        <w:keepLines/>
        <w:spacing w:before="360" w:after="120"/>
        <w:rPr>
          <w:rFonts w:asciiTheme="minorHAnsi" w:hAnsiTheme="minorHAnsi" w:cstheme="minorHAnsi"/>
          <w:b/>
          <w:bCs/>
          <w:szCs w:val="24"/>
        </w:rPr>
      </w:pPr>
      <w:r w:rsidRPr="005F2064">
        <w:rPr>
          <w:rFonts w:asciiTheme="minorHAnsi" w:hAnsiTheme="minorHAnsi" w:cstheme="minorHAnsi"/>
          <w:b/>
          <w:bCs/>
          <w:szCs w:val="24"/>
        </w:rPr>
        <w:lastRenderedPageBreak/>
        <w:t>The meeting rose at 1100 hours.</w:t>
      </w:r>
    </w:p>
    <w:p w14:paraId="7F4021A6" w14:textId="77777777" w:rsidR="009C3A39" w:rsidRPr="005F2064" w:rsidRDefault="009C3A39" w:rsidP="007D333A">
      <w:pPr>
        <w:keepNext/>
        <w:keepLines/>
        <w:tabs>
          <w:tab w:val="clear" w:pos="567"/>
          <w:tab w:val="clear" w:pos="1134"/>
          <w:tab w:val="clear" w:pos="1701"/>
          <w:tab w:val="clear" w:pos="2268"/>
          <w:tab w:val="clear" w:pos="2835"/>
          <w:tab w:val="left" w:pos="6379"/>
        </w:tabs>
        <w:snapToGrid w:val="0"/>
        <w:spacing w:before="360" w:after="120"/>
        <w:rPr>
          <w:rFonts w:asciiTheme="minorHAnsi" w:hAnsiTheme="minorHAnsi" w:cstheme="minorHAnsi"/>
          <w:szCs w:val="24"/>
          <w:lang w:val="en-CA"/>
        </w:rPr>
      </w:pPr>
      <w:r w:rsidRPr="005F2064">
        <w:rPr>
          <w:rFonts w:asciiTheme="minorHAnsi" w:hAnsiTheme="minorHAnsi" w:cstheme="minorHAnsi"/>
          <w:szCs w:val="24"/>
          <w:lang w:val="en-CA"/>
        </w:rPr>
        <w:t>The Secretary-General:</w:t>
      </w:r>
      <w:r w:rsidRPr="005F2064">
        <w:rPr>
          <w:rFonts w:asciiTheme="minorHAnsi" w:hAnsiTheme="minorHAnsi" w:cstheme="minorHAnsi"/>
          <w:szCs w:val="24"/>
          <w:lang w:val="en-CA"/>
        </w:rPr>
        <w:tab/>
        <w:t>The Chairman:</w:t>
      </w:r>
    </w:p>
    <w:p w14:paraId="423BBB76" w14:textId="6E946606" w:rsidR="008C7513" w:rsidRPr="005F2064" w:rsidRDefault="009C3A39" w:rsidP="005F2064">
      <w:pPr>
        <w:keepNext/>
        <w:keepLines/>
        <w:tabs>
          <w:tab w:val="clear" w:pos="567"/>
          <w:tab w:val="clear" w:pos="1134"/>
          <w:tab w:val="clear" w:pos="1701"/>
          <w:tab w:val="clear" w:pos="2268"/>
          <w:tab w:val="clear" w:pos="2835"/>
          <w:tab w:val="left" w:pos="6379"/>
        </w:tabs>
        <w:snapToGrid w:val="0"/>
        <w:spacing w:after="120"/>
        <w:rPr>
          <w:rFonts w:asciiTheme="minorHAnsi" w:hAnsiTheme="minorHAnsi" w:cstheme="minorHAnsi"/>
          <w:iCs/>
          <w:szCs w:val="24"/>
          <w:lang w:val="en-CA"/>
        </w:rPr>
      </w:pPr>
      <w:r w:rsidRPr="005F2064">
        <w:rPr>
          <w:rFonts w:asciiTheme="minorHAnsi" w:hAnsiTheme="minorHAnsi" w:cstheme="minorHAnsi"/>
          <w:szCs w:val="24"/>
          <w:lang w:val="en-CA"/>
        </w:rPr>
        <w:t>H. ZHAO</w:t>
      </w:r>
      <w:r w:rsidRPr="005F2064">
        <w:rPr>
          <w:rFonts w:asciiTheme="minorHAnsi" w:hAnsiTheme="minorHAnsi" w:cstheme="minorHAnsi"/>
          <w:szCs w:val="24"/>
          <w:lang w:val="en-CA"/>
        </w:rPr>
        <w:tab/>
        <w:t>S. SĂRMAȘ</w:t>
      </w:r>
    </w:p>
    <w:p w14:paraId="7AB8DB8C" w14:textId="1AED76EE" w:rsidR="00E60992" w:rsidRPr="00E60992" w:rsidRDefault="00E60992" w:rsidP="000E10AB">
      <w:pPr>
        <w:spacing w:before="600" w:after="120"/>
        <w:jc w:val="center"/>
      </w:pPr>
      <w:r w:rsidRPr="005F2064">
        <w:rPr>
          <w:rFonts w:asciiTheme="minorHAnsi" w:hAnsiTheme="minorHAnsi" w:cstheme="minorHAnsi"/>
          <w:szCs w:val="24"/>
        </w:rPr>
        <w:t>________________</w:t>
      </w:r>
    </w:p>
    <w:sectPr w:rsidR="00E60992" w:rsidRPr="00E60992">
      <w:headerReference w:type="default" r:id="rId32"/>
      <w:footerReference w:type="first" r:id="rId33"/>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6A99" w14:textId="77777777" w:rsidR="00AD00C9" w:rsidRDefault="00AD00C9">
      <w:r>
        <w:separator/>
      </w:r>
    </w:p>
  </w:endnote>
  <w:endnote w:type="continuationSeparator" w:id="0">
    <w:p w14:paraId="25915ECD" w14:textId="77777777" w:rsidR="00AD00C9" w:rsidRDefault="00AD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E2E8" w14:textId="77777777" w:rsidR="00AD00C9" w:rsidRDefault="00AD00C9">
      <w:r>
        <w:t>____________________</w:t>
      </w:r>
    </w:p>
  </w:footnote>
  <w:footnote w:type="continuationSeparator" w:id="0">
    <w:p w14:paraId="36BE7884" w14:textId="77777777" w:rsidR="00AD00C9" w:rsidRDefault="00AD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7FBF91C6" w:rsidR="00CE1B90" w:rsidRDefault="00CE1B90" w:rsidP="004F7925">
    <w:pPr>
      <w:pStyle w:val="Header"/>
    </w:pPr>
    <w:r>
      <w:t>PP</w:t>
    </w:r>
    <w:r w:rsidR="000235EC">
      <w:t>22</w:t>
    </w:r>
    <w:r>
      <w:t>/</w:t>
    </w:r>
    <w:r w:rsidR="003464FF">
      <w:t>20</w:t>
    </w:r>
    <w:r w:rsidR="00021298">
      <w:t>5</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56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3B0A"/>
    <w:rsid w:val="000048E4"/>
    <w:rsid w:val="00004A7F"/>
    <w:rsid w:val="00010B2A"/>
    <w:rsid w:val="00011208"/>
    <w:rsid w:val="00012421"/>
    <w:rsid w:val="000143FA"/>
    <w:rsid w:val="00014808"/>
    <w:rsid w:val="00015E97"/>
    <w:rsid w:val="00021298"/>
    <w:rsid w:val="000235EC"/>
    <w:rsid w:val="00027EF2"/>
    <w:rsid w:val="00040307"/>
    <w:rsid w:val="00041924"/>
    <w:rsid w:val="00044168"/>
    <w:rsid w:val="00044856"/>
    <w:rsid w:val="00047E53"/>
    <w:rsid w:val="000507C1"/>
    <w:rsid w:val="00053B97"/>
    <w:rsid w:val="00076F57"/>
    <w:rsid w:val="00082EB9"/>
    <w:rsid w:val="000842DF"/>
    <w:rsid w:val="0008540E"/>
    <w:rsid w:val="00094B4F"/>
    <w:rsid w:val="00097C8E"/>
    <w:rsid w:val="000A1015"/>
    <w:rsid w:val="000B03F9"/>
    <w:rsid w:val="000B0A77"/>
    <w:rsid w:val="000B0D6C"/>
    <w:rsid w:val="000B3F6E"/>
    <w:rsid w:val="000B5BB9"/>
    <w:rsid w:val="000B7152"/>
    <w:rsid w:val="000C4701"/>
    <w:rsid w:val="000E10AB"/>
    <w:rsid w:val="000E46A3"/>
    <w:rsid w:val="000E4C7A"/>
    <w:rsid w:val="000E5E15"/>
    <w:rsid w:val="000F5A9A"/>
    <w:rsid w:val="000F73D1"/>
    <w:rsid w:val="001001C5"/>
    <w:rsid w:val="00105EFE"/>
    <w:rsid w:val="00106777"/>
    <w:rsid w:val="0011489E"/>
    <w:rsid w:val="00114BA3"/>
    <w:rsid w:val="00115DEC"/>
    <w:rsid w:val="00123F09"/>
    <w:rsid w:val="00124B79"/>
    <w:rsid w:val="00136175"/>
    <w:rsid w:val="00140FF0"/>
    <w:rsid w:val="00142F28"/>
    <w:rsid w:val="00146057"/>
    <w:rsid w:val="0016633C"/>
    <w:rsid w:val="00171990"/>
    <w:rsid w:val="00181096"/>
    <w:rsid w:val="0019219D"/>
    <w:rsid w:val="00195B70"/>
    <w:rsid w:val="00197E44"/>
    <w:rsid w:val="001A0EEB"/>
    <w:rsid w:val="001A16ED"/>
    <w:rsid w:val="001A222D"/>
    <w:rsid w:val="001B18AB"/>
    <w:rsid w:val="001B70D1"/>
    <w:rsid w:val="001C1356"/>
    <w:rsid w:val="001C3804"/>
    <w:rsid w:val="001D3322"/>
    <w:rsid w:val="001D56DA"/>
    <w:rsid w:val="001E01A5"/>
    <w:rsid w:val="001E18AB"/>
    <w:rsid w:val="001E1C8F"/>
    <w:rsid w:val="00203F3F"/>
    <w:rsid w:val="002115E0"/>
    <w:rsid w:val="00215F12"/>
    <w:rsid w:val="00232B31"/>
    <w:rsid w:val="00235A3B"/>
    <w:rsid w:val="00243BE4"/>
    <w:rsid w:val="00257188"/>
    <w:rsid w:val="00257641"/>
    <w:rsid w:val="002578B4"/>
    <w:rsid w:val="00267D12"/>
    <w:rsid w:val="00280ACF"/>
    <w:rsid w:val="00281792"/>
    <w:rsid w:val="0028799E"/>
    <w:rsid w:val="002962A8"/>
    <w:rsid w:val="002A1A20"/>
    <w:rsid w:val="002A534D"/>
    <w:rsid w:val="002A56C0"/>
    <w:rsid w:val="002D26B5"/>
    <w:rsid w:val="002D5A09"/>
    <w:rsid w:val="002E1463"/>
    <w:rsid w:val="002E217C"/>
    <w:rsid w:val="002E77F4"/>
    <w:rsid w:val="002F36B9"/>
    <w:rsid w:val="002F5FA2"/>
    <w:rsid w:val="0030682B"/>
    <w:rsid w:val="00306F03"/>
    <w:rsid w:val="003108A4"/>
    <w:rsid w:val="003126B0"/>
    <w:rsid w:val="00314127"/>
    <w:rsid w:val="00314C12"/>
    <w:rsid w:val="003261C3"/>
    <w:rsid w:val="0032648D"/>
    <w:rsid w:val="003453DA"/>
    <w:rsid w:val="00345840"/>
    <w:rsid w:val="003464FF"/>
    <w:rsid w:val="0035329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D4983"/>
    <w:rsid w:val="003E1100"/>
    <w:rsid w:val="003F0763"/>
    <w:rsid w:val="003F2121"/>
    <w:rsid w:val="003F53E4"/>
    <w:rsid w:val="003F5771"/>
    <w:rsid w:val="003F5E29"/>
    <w:rsid w:val="004014B0"/>
    <w:rsid w:val="004059B0"/>
    <w:rsid w:val="00405D25"/>
    <w:rsid w:val="00426AC1"/>
    <w:rsid w:val="004303E1"/>
    <w:rsid w:val="004321DC"/>
    <w:rsid w:val="00435AA4"/>
    <w:rsid w:val="00435EA8"/>
    <w:rsid w:val="004360BB"/>
    <w:rsid w:val="00437AB3"/>
    <w:rsid w:val="00445495"/>
    <w:rsid w:val="00445645"/>
    <w:rsid w:val="00446D2A"/>
    <w:rsid w:val="0045157C"/>
    <w:rsid w:val="0045169D"/>
    <w:rsid w:val="00453F94"/>
    <w:rsid w:val="0045533C"/>
    <w:rsid w:val="00457B49"/>
    <w:rsid w:val="004606DA"/>
    <w:rsid w:val="00463092"/>
    <w:rsid w:val="0046671F"/>
    <w:rsid w:val="004676C0"/>
    <w:rsid w:val="00474E00"/>
    <w:rsid w:val="004835DB"/>
    <w:rsid w:val="00484AD4"/>
    <w:rsid w:val="00491D2D"/>
    <w:rsid w:val="00494797"/>
    <w:rsid w:val="004B0C10"/>
    <w:rsid w:val="004B167B"/>
    <w:rsid w:val="004B4069"/>
    <w:rsid w:val="004C19D7"/>
    <w:rsid w:val="004C297B"/>
    <w:rsid w:val="004C73C9"/>
    <w:rsid w:val="004E01FA"/>
    <w:rsid w:val="004E6764"/>
    <w:rsid w:val="004E7F4A"/>
    <w:rsid w:val="004F041D"/>
    <w:rsid w:val="004F17D5"/>
    <w:rsid w:val="004F1C55"/>
    <w:rsid w:val="004F7925"/>
    <w:rsid w:val="005044AA"/>
    <w:rsid w:val="00504FE5"/>
    <w:rsid w:val="00507348"/>
    <w:rsid w:val="005223A7"/>
    <w:rsid w:val="00522C97"/>
    <w:rsid w:val="00524084"/>
    <w:rsid w:val="005356FD"/>
    <w:rsid w:val="00547D75"/>
    <w:rsid w:val="00551C8B"/>
    <w:rsid w:val="00551D3E"/>
    <w:rsid w:val="005536FB"/>
    <w:rsid w:val="00554E24"/>
    <w:rsid w:val="00555A0F"/>
    <w:rsid w:val="00556A6E"/>
    <w:rsid w:val="00567130"/>
    <w:rsid w:val="0057034B"/>
    <w:rsid w:val="00581E8F"/>
    <w:rsid w:val="00586A98"/>
    <w:rsid w:val="00590A88"/>
    <w:rsid w:val="00591C15"/>
    <w:rsid w:val="005927A4"/>
    <w:rsid w:val="00596B48"/>
    <w:rsid w:val="005A4A44"/>
    <w:rsid w:val="005A7FFE"/>
    <w:rsid w:val="005B10E8"/>
    <w:rsid w:val="005B5026"/>
    <w:rsid w:val="005B661F"/>
    <w:rsid w:val="005C2135"/>
    <w:rsid w:val="005C3315"/>
    <w:rsid w:val="005C37D1"/>
    <w:rsid w:val="005E1CC3"/>
    <w:rsid w:val="005F05C8"/>
    <w:rsid w:val="005F2064"/>
    <w:rsid w:val="0060133B"/>
    <w:rsid w:val="00602E4F"/>
    <w:rsid w:val="00603C33"/>
    <w:rsid w:val="00604079"/>
    <w:rsid w:val="00606E69"/>
    <w:rsid w:val="00617BE4"/>
    <w:rsid w:val="00620233"/>
    <w:rsid w:val="00627DF4"/>
    <w:rsid w:val="00631A82"/>
    <w:rsid w:val="006404B0"/>
    <w:rsid w:val="00652E78"/>
    <w:rsid w:val="006543DF"/>
    <w:rsid w:val="0066499C"/>
    <w:rsid w:val="006752EA"/>
    <w:rsid w:val="006755AF"/>
    <w:rsid w:val="00676E68"/>
    <w:rsid w:val="006A7108"/>
    <w:rsid w:val="006B2035"/>
    <w:rsid w:val="006B40DA"/>
    <w:rsid w:val="006C5D5D"/>
    <w:rsid w:val="006E215D"/>
    <w:rsid w:val="006E57C8"/>
    <w:rsid w:val="006E70E1"/>
    <w:rsid w:val="006F303B"/>
    <w:rsid w:val="006F565E"/>
    <w:rsid w:val="006F794B"/>
    <w:rsid w:val="00701ABB"/>
    <w:rsid w:val="007032DE"/>
    <w:rsid w:val="00704BB1"/>
    <w:rsid w:val="00706200"/>
    <w:rsid w:val="00707B54"/>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08F3"/>
    <w:rsid w:val="007648ED"/>
    <w:rsid w:val="007649DA"/>
    <w:rsid w:val="00765553"/>
    <w:rsid w:val="00777B8B"/>
    <w:rsid w:val="00794795"/>
    <w:rsid w:val="007949EA"/>
    <w:rsid w:val="00796849"/>
    <w:rsid w:val="00796DAE"/>
    <w:rsid w:val="007A1C61"/>
    <w:rsid w:val="007A59AF"/>
    <w:rsid w:val="007A59C3"/>
    <w:rsid w:val="007B0E06"/>
    <w:rsid w:val="007B30FC"/>
    <w:rsid w:val="007C3643"/>
    <w:rsid w:val="007D333A"/>
    <w:rsid w:val="007D6262"/>
    <w:rsid w:val="007E00D2"/>
    <w:rsid w:val="007E2AD4"/>
    <w:rsid w:val="007E3469"/>
    <w:rsid w:val="007E43F9"/>
    <w:rsid w:val="007E7B63"/>
    <w:rsid w:val="00810AD6"/>
    <w:rsid w:val="00817F28"/>
    <w:rsid w:val="008264AC"/>
    <w:rsid w:val="0082780C"/>
    <w:rsid w:val="00831A2A"/>
    <w:rsid w:val="008333C7"/>
    <w:rsid w:val="00833E0F"/>
    <w:rsid w:val="008404FD"/>
    <w:rsid w:val="00840A10"/>
    <w:rsid w:val="00841AB4"/>
    <w:rsid w:val="00846DBA"/>
    <w:rsid w:val="00850AEF"/>
    <w:rsid w:val="00855DAB"/>
    <w:rsid w:val="00860C6A"/>
    <w:rsid w:val="00862891"/>
    <w:rsid w:val="00875048"/>
    <w:rsid w:val="00875BE1"/>
    <w:rsid w:val="00877715"/>
    <w:rsid w:val="00895CE3"/>
    <w:rsid w:val="0089603F"/>
    <w:rsid w:val="00897970"/>
    <w:rsid w:val="008B5A71"/>
    <w:rsid w:val="008C7513"/>
    <w:rsid w:val="008D3BE2"/>
    <w:rsid w:val="008D4D98"/>
    <w:rsid w:val="008E0085"/>
    <w:rsid w:val="008E1A79"/>
    <w:rsid w:val="008E2292"/>
    <w:rsid w:val="008E2A7B"/>
    <w:rsid w:val="008E6E9B"/>
    <w:rsid w:val="008F2C56"/>
    <w:rsid w:val="008F3C99"/>
    <w:rsid w:val="00900D5B"/>
    <w:rsid w:val="0090101E"/>
    <w:rsid w:val="00912EB8"/>
    <w:rsid w:val="00920A67"/>
    <w:rsid w:val="009236FE"/>
    <w:rsid w:val="00940E00"/>
    <w:rsid w:val="0094329A"/>
    <w:rsid w:val="00945D4B"/>
    <w:rsid w:val="0094741F"/>
    <w:rsid w:val="00950E0F"/>
    <w:rsid w:val="00956E58"/>
    <w:rsid w:val="0096150D"/>
    <w:rsid w:val="00962B8A"/>
    <w:rsid w:val="009630FA"/>
    <w:rsid w:val="00967103"/>
    <w:rsid w:val="00967670"/>
    <w:rsid w:val="00970996"/>
    <w:rsid w:val="009800CC"/>
    <w:rsid w:val="009A078E"/>
    <w:rsid w:val="009A2B30"/>
    <w:rsid w:val="009A3F2C"/>
    <w:rsid w:val="009A4211"/>
    <w:rsid w:val="009A47A2"/>
    <w:rsid w:val="009A51CF"/>
    <w:rsid w:val="009A5A7C"/>
    <w:rsid w:val="009A6623"/>
    <w:rsid w:val="009B2F4D"/>
    <w:rsid w:val="009C3A39"/>
    <w:rsid w:val="009D54E2"/>
    <w:rsid w:val="009E425E"/>
    <w:rsid w:val="009E4322"/>
    <w:rsid w:val="009F21EF"/>
    <w:rsid w:val="009F30E9"/>
    <w:rsid w:val="009F4384"/>
    <w:rsid w:val="009F442D"/>
    <w:rsid w:val="009F50DA"/>
    <w:rsid w:val="00A02F01"/>
    <w:rsid w:val="00A06D56"/>
    <w:rsid w:val="00A21DC3"/>
    <w:rsid w:val="00A26742"/>
    <w:rsid w:val="00A26B4D"/>
    <w:rsid w:val="00A314A2"/>
    <w:rsid w:val="00A516BB"/>
    <w:rsid w:val="00A52FCA"/>
    <w:rsid w:val="00A619C5"/>
    <w:rsid w:val="00A65741"/>
    <w:rsid w:val="00A66593"/>
    <w:rsid w:val="00A75D0F"/>
    <w:rsid w:val="00A808E1"/>
    <w:rsid w:val="00A8262F"/>
    <w:rsid w:val="00A84B32"/>
    <w:rsid w:val="00A84B3A"/>
    <w:rsid w:val="00A87124"/>
    <w:rsid w:val="00A93B71"/>
    <w:rsid w:val="00AA64D8"/>
    <w:rsid w:val="00AB0B32"/>
    <w:rsid w:val="00AB2D04"/>
    <w:rsid w:val="00AB5C39"/>
    <w:rsid w:val="00AB75A9"/>
    <w:rsid w:val="00AD00C9"/>
    <w:rsid w:val="00AD1C5C"/>
    <w:rsid w:val="00AD3E91"/>
    <w:rsid w:val="00AD4204"/>
    <w:rsid w:val="00AD566F"/>
    <w:rsid w:val="00AD70C5"/>
    <w:rsid w:val="00AF4023"/>
    <w:rsid w:val="00B06F8F"/>
    <w:rsid w:val="00B1395F"/>
    <w:rsid w:val="00B156F9"/>
    <w:rsid w:val="00B1733E"/>
    <w:rsid w:val="00B25A86"/>
    <w:rsid w:val="00B304B9"/>
    <w:rsid w:val="00B35B23"/>
    <w:rsid w:val="00B47EF2"/>
    <w:rsid w:val="00B55E1A"/>
    <w:rsid w:val="00B57988"/>
    <w:rsid w:val="00B62032"/>
    <w:rsid w:val="00B65F8C"/>
    <w:rsid w:val="00B7263B"/>
    <w:rsid w:val="00B73F47"/>
    <w:rsid w:val="00B7638A"/>
    <w:rsid w:val="00B80DF9"/>
    <w:rsid w:val="00B840D8"/>
    <w:rsid w:val="00B96467"/>
    <w:rsid w:val="00BA154E"/>
    <w:rsid w:val="00BA281C"/>
    <w:rsid w:val="00BA37CE"/>
    <w:rsid w:val="00BA4692"/>
    <w:rsid w:val="00BA5061"/>
    <w:rsid w:val="00BC6FDB"/>
    <w:rsid w:val="00BC7DE8"/>
    <w:rsid w:val="00BD1222"/>
    <w:rsid w:val="00BE0966"/>
    <w:rsid w:val="00BE14C4"/>
    <w:rsid w:val="00BF3A58"/>
    <w:rsid w:val="00BF43BA"/>
    <w:rsid w:val="00BF5722"/>
    <w:rsid w:val="00BF6268"/>
    <w:rsid w:val="00BF6CFA"/>
    <w:rsid w:val="00BF720B"/>
    <w:rsid w:val="00C04511"/>
    <w:rsid w:val="00C112A3"/>
    <w:rsid w:val="00C16846"/>
    <w:rsid w:val="00C224C3"/>
    <w:rsid w:val="00C34851"/>
    <w:rsid w:val="00C42A5B"/>
    <w:rsid w:val="00C46572"/>
    <w:rsid w:val="00C5419D"/>
    <w:rsid w:val="00C56038"/>
    <w:rsid w:val="00C6729F"/>
    <w:rsid w:val="00C72664"/>
    <w:rsid w:val="00C82E0E"/>
    <w:rsid w:val="00C86F24"/>
    <w:rsid w:val="00C97005"/>
    <w:rsid w:val="00CA38C9"/>
    <w:rsid w:val="00CB0BCA"/>
    <w:rsid w:val="00CB4984"/>
    <w:rsid w:val="00CB5DD7"/>
    <w:rsid w:val="00CB7795"/>
    <w:rsid w:val="00CB77D5"/>
    <w:rsid w:val="00CC14F0"/>
    <w:rsid w:val="00CE1B90"/>
    <w:rsid w:val="00CE3B0F"/>
    <w:rsid w:val="00CE40BB"/>
    <w:rsid w:val="00CE6ABB"/>
    <w:rsid w:val="00CF1C71"/>
    <w:rsid w:val="00CF510F"/>
    <w:rsid w:val="00D07696"/>
    <w:rsid w:val="00D11956"/>
    <w:rsid w:val="00D15A98"/>
    <w:rsid w:val="00D3237F"/>
    <w:rsid w:val="00D32543"/>
    <w:rsid w:val="00D37137"/>
    <w:rsid w:val="00D37F3E"/>
    <w:rsid w:val="00D500DC"/>
    <w:rsid w:val="00D54B39"/>
    <w:rsid w:val="00D57A42"/>
    <w:rsid w:val="00D64BE5"/>
    <w:rsid w:val="00D64FF3"/>
    <w:rsid w:val="00D657A2"/>
    <w:rsid w:val="00D760C8"/>
    <w:rsid w:val="00D80672"/>
    <w:rsid w:val="00D80C61"/>
    <w:rsid w:val="00D83FFD"/>
    <w:rsid w:val="00D8451F"/>
    <w:rsid w:val="00D8617D"/>
    <w:rsid w:val="00D86C63"/>
    <w:rsid w:val="00D92563"/>
    <w:rsid w:val="00D95D85"/>
    <w:rsid w:val="00DB0265"/>
    <w:rsid w:val="00DC7C10"/>
    <w:rsid w:val="00DD26B1"/>
    <w:rsid w:val="00DD5177"/>
    <w:rsid w:val="00DE16B8"/>
    <w:rsid w:val="00DE20DF"/>
    <w:rsid w:val="00DE312F"/>
    <w:rsid w:val="00DE4CC2"/>
    <w:rsid w:val="00DE797F"/>
    <w:rsid w:val="00DF23FC"/>
    <w:rsid w:val="00DF39CD"/>
    <w:rsid w:val="00DF3BBE"/>
    <w:rsid w:val="00E0094D"/>
    <w:rsid w:val="00E10A17"/>
    <w:rsid w:val="00E13427"/>
    <w:rsid w:val="00E1374D"/>
    <w:rsid w:val="00E14590"/>
    <w:rsid w:val="00E20134"/>
    <w:rsid w:val="00E220C2"/>
    <w:rsid w:val="00E24CB2"/>
    <w:rsid w:val="00E26D1F"/>
    <w:rsid w:val="00E31D1C"/>
    <w:rsid w:val="00E32981"/>
    <w:rsid w:val="00E34312"/>
    <w:rsid w:val="00E3536D"/>
    <w:rsid w:val="00E44456"/>
    <w:rsid w:val="00E553B9"/>
    <w:rsid w:val="00E56E57"/>
    <w:rsid w:val="00E60992"/>
    <w:rsid w:val="00E6599B"/>
    <w:rsid w:val="00E726DE"/>
    <w:rsid w:val="00E769C4"/>
    <w:rsid w:val="00E77C0E"/>
    <w:rsid w:val="00E844D5"/>
    <w:rsid w:val="00E86536"/>
    <w:rsid w:val="00E871C2"/>
    <w:rsid w:val="00E91412"/>
    <w:rsid w:val="00E96054"/>
    <w:rsid w:val="00EA1BAA"/>
    <w:rsid w:val="00EC0AE6"/>
    <w:rsid w:val="00EC72A4"/>
    <w:rsid w:val="00ED401C"/>
    <w:rsid w:val="00ED7C13"/>
    <w:rsid w:val="00EE333B"/>
    <w:rsid w:val="00EF04C3"/>
    <w:rsid w:val="00EF2642"/>
    <w:rsid w:val="00EF3681"/>
    <w:rsid w:val="00F10790"/>
    <w:rsid w:val="00F10E7C"/>
    <w:rsid w:val="00F13C1E"/>
    <w:rsid w:val="00F16F17"/>
    <w:rsid w:val="00F20BC2"/>
    <w:rsid w:val="00F22105"/>
    <w:rsid w:val="00F32E39"/>
    <w:rsid w:val="00F342E4"/>
    <w:rsid w:val="00F35330"/>
    <w:rsid w:val="00F3746B"/>
    <w:rsid w:val="00F41C91"/>
    <w:rsid w:val="00F433A4"/>
    <w:rsid w:val="00F4421A"/>
    <w:rsid w:val="00F44B1A"/>
    <w:rsid w:val="00F47316"/>
    <w:rsid w:val="00F53E3C"/>
    <w:rsid w:val="00F55DA5"/>
    <w:rsid w:val="00F70648"/>
    <w:rsid w:val="00F81725"/>
    <w:rsid w:val="00F94BC2"/>
    <w:rsid w:val="00F95442"/>
    <w:rsid w:val="00F95ABE"/>
    <w:rsid w:val="00F9756D"/>
    <w:rsid w:val="00F97C72"/>
    <w:rsid w:val="00FA4504"/>
    <w:rsid w:val="00FB23E8"/>
    <w:rsid w:val="00FB5F12"/>
    <w:rsid w:val="00FC5117"/>
    <w:rsid w:val="00FC6C00"/>
    <w:rsid w:val="00FD417F"/>
    <w:rsid w:val="00FD65DB"/>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qFormat/>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table" w:customStyle="1" w:styleId="TableGrid1">
    <w:name w:val="Table Grid1"/>
    <w:basedOn w:val="TableNormal"/>
    <w:next w:val="TableGrid"/>
    <w:rsid w:val="00F97C7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F97C72"/>
    <w:rPr>
      <w:rFonts w:ascii="Calibri" w:hAnsi="Calibri"/>
      <w:sz w:val="24"/>
      <w:lang w:val="en-GB" w:eastAsia="en-US"/>
    </w:rPr>
  </w:style>
  <w:style w:type="table" w:styleId="TableGrid">
    <w:name w:val="Table Grid"/>
    <w:basedOn w:val="TableNormal"/>
    <w:rsid w:val="00F9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6D2A"/>
    <w:rPr>
      <w:color w:val="605E5C"/>
      <w:shd w:val="clear" w:color="auto" w:fill="E1DFDD"/>
    </w:rPr>
  </w:style>
  <w:style w:type="paragraph" w:styleId="Revision">
    <w:name w:val="Revision"/>
    <w:hidden/>
    <w:uiPriority w:val="99"/>
    <w:semiHidden/>
    <w:rsid w:val="00EC72A4"/>
    <w:rPr>
      <w:rFonts w:ascii="Calibri" w:hAnsi="Calibri"/>
      <w:sz w:val="24"/>
      <w:lang w:val="en-GB" w:eastAsia="en-US"/>
    </w:rPr>
  </w:style>
  <w:style w:type="character" w:customStyle="1" w:styleId="msohyperlinkmrcssattr">
    <w:name w:val="msohyperlink_mr_css_attr"/>
    <w:basedOn w:val="DefaultParagraphFont"/>
    <w:rsid w:val="00A66593"/>
  </w:style>
  <w:style w:type="character" w:styleId="CommentReference">
    <w:name w:val="annotation reference"/>
    <w:basedOn w:val="DefaultParagraphFont"/>
    <w:uiPriority w:val="99"/>
    <w:semiHidden/>
    <w:unhideWhenUsed/>
    <w:rsid w:val="00A66593"/>
    <w:rPr>
      <w:sz w:val="16"/>
      <w:szCs w:val="16"/>
    </w:rPr>
  </w:style>
  <w:style w:type="paragraph" w:styleId="CommentText">
    <w:name w:val="annotation text"/>
    <w:basedOn w:val="Normal"/>
    <w:link w:val="CommentTextChar"/>
    <w:uiPriority w:val="99"/>
    <w:unhideWhenUsed/>
    <w:rsid w:val="00A66593"/>
    <w:rPr>
      <w:rFonts w:eastAsia="Times New Roman"/>
      <w:sz w:val="20"/>
    </w:rPr>
  </w:style>
  <w:style w:type="character" w:customStyle="1" w:styleId="CommentTextChar">
    <w:name w:val="Comment Text Char"/>
    <w:basedOn w:val="DefaultParagraphFont"/>
    <w:link w:val="CommentText"/>
    <w:uiPriority w:val="99"/>
    <w:rsid w:val="00A66593"/>
    <w:rPr>
      <w:rFonts w:ascii="Calibri" w:eastAsia="Times New Roman" w:hAnsi="Calibri"/>
      <w:lang w:val="en-GB" w:eastAsia="en-US"/>
    </w:rPr>
  </w:style>
  <w:style w:type="paragraph" w:styleId="Title">
    <w:name w:val="Title"/>
    <w:basedOn w:val="Normal"/>
    <w:link w:val="TitleChar"/>
    <w:qFormat/>
    <w:rsid w:val="00D80C61"/>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Times New Roman" w:hAnsi="Arial"/>
      <w:b/>
      <w:bCs/>
      <w:sz w:val="22"/>
      <w:szCs w:val="24"/>
      <w:lang w:val="en-US"/>
    </w:rPr>
  </w:style>
  <w:style w:type="character" w:customStyle="1" w:styleId="TitleChar">
    <w:name w:val="Title Char"/>
    <w:basedOn w:val="DefaultParagraphFont"/>
    <w:link w:val="Title"/>
    <w:rsid w:val="00D80C61"/>
    <w:rPr>
      <w:rFonts w:ascii="Arial" w:eastAsia="Times New Roman" w:hAnsi="Arial"/>
      <w:b/>
      <w:bCs/>
      <w:sz w:val="22"/>
      <w:szCs w:val="24"/>
      <w:lang w:eastAsia="en-US"/>
    </w:rPr>
  </w:style>
  <w:style w:type="paragraph" w:customStyle="1" w:styleId="pf0">
    <w:name w:val="pf0"/>
    <w:basedOn w:val="Normal"/>
    <w:rsid w:val="00D80C6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cf01">
    <w:name w:val="cf01"/>
    <w:basedOn w:val="DefaultParagraphFont"/>
    <w:rsid w:val="00D80C61"/>
    <w:rPr>
      <w:rFonts w:ascii="Segoe UI" w:hAnsi="Segoe UI" w:cs="Segoe UI" w:hint="default"/>
      <w:b/>
      <w:bCs/>
      <w:sz w:val="18"/>
      <w:szCs w:val="18"/>
    </w:rPr>
  </w:style>
  <w:style w:type="paragraph" w:styleId="NormalWeb">
    <w:name w:val="Normal (Web)"/>
    <w:basedOn w:val="Normal"/>
    <w:uiPriority w:val="99"/>
    <w:unhideWhenUsed/>
    <w:rsid w:val="00D80C6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cf31">
    <w:name w:val="cf31"/>
    <w:basedOn w:val="DefaultParagraphFont"/>
    <w:rsid w:val="00D80C61"/>
    <w:rPr>
      <w:rFonts w:ascii="Segoe UI" w:hAnsi="Segoe UI" w:cs="Segoe UI" w:hint="default"/>
      <w:sz w:val="18"/>
      <w:szCs w:val="18"/>
    </w:rPr>
  </w:style>
  <w:style w:type="character" w:customStyle="1" w:styleId="cf41">
    <w:name w:val="cf41"/>
    <w:basedOn w:val="DefaultParagraphFont"/>
    <w:rsid w:val="00D80C61"/>
    <w:rPr>
      <w:rFonts w:ascii="Segoe UI" w:hAnsi="Segoe UI" w:cs="Segoe UI" w:hint="default"/>
      <w:sz w:val="18"/>
      <w:szCs w:val="18"/>
    </w:rPr>
  </w:style>
  <w:style w:type="paragraph" w:styleId="NoSpacing">
    <w:name w:val="No Spacing"/>
    <w:uiPriority w:val="1"/>
    <w:qFormat/>
    <w:rsid w:val="009A6623"/>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75/en" TargetMode="External"/><Relationship Id="rId18" Type="http://schemas.openxmlformats.org/officeDocument/2006/relationships/hyperlink" Target="https://www.itu.int/md/S22-PP-C-0152/en" TargetMode="External"/><Relationship Id="rId26" Type="http://schemas.openxmlformats.org/officeDocument/2006/relationships/hyperlink" Target="https://www.itu.int/md/S22-PP-C-0183/en" TargetMode="External"/><Relationship Id="rId3" Type="http://schemas.openxmlformats.org/officeDocument/2006/relationships/customXml" Target="../customXml/item2.xml"/><Relationship Id="rId21" Type="http://schemas.openxmlformats.org/officeDocument/2006/relationships/hyperlink" Target="https://www.itu.int/md/S22-PP-C-0175/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2-PP-C-0178/en" TargetMode="External"/><Relationship Id="rId17" Type="http://schemas.openxmlformats.org/officeDocument/2006/relationships/hyperlink" Target="https://www.itu.int/md/S22-PP-C-0151/en" TargetMode="External"/><Relationship Id="rId25" Type="http://schemas.openxmlformats.org/officeDocument/2006/relationships/hyperlink" Target="https://www.itu.int/md/S22-PP-C-0183/en" TargetMode="External"/><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itu.int/md/S22-PP-C-0184/en" TargetMode="External"/><Relationship Id="rId20" Type="http://schemas.openxmlformats.org/officeDocument/2006/relationships/hyperlink" Target="https://www.itu.int/md/S22-PP-C-0178/en" TargetMode="External"/><Relationship Id="rId29" Type="http://schemas.openxmlformats.org/officeDocument/2006/relationships/hyperlink" Target="https://www.itu.int/md/S22-PP-C-0151/en"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2-PP-C-0179/e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2-PP-C-0183/en" TargetMode="External"/><Relationship Id="rId23" Type="http://schemas.openxmlformats.org/officeDocument/2006/relationships/hyperlink" Target="https://www.itu.int/md/S22-PP-C-0179/en" TargetMode="External"/><Relationship Id="rId28" Type="http://schemas.openxmlformats.org/officeDocument/2006/relationships/hyperlink" Target="https://www.itu.int/md/S22-PP-C-0184/en" TargetMode="External"/><Relationship Id="rId10" Type="http://schemas.openxmlformats.org/officeDocument/2006/relationships/endnotes" Target="endnotes.xml"/><Relationship Id="rId19" Type="http://schemas.openxmlformats.org/officeDocument/2006/relationships/hyperlink" Target="https://www.itu.int/md/S22-PP-C-0168/en" TargetMode="External"/><Relationship Id="rId31" Type="http://schemas.openxmlformats.org/officeDocument/2006/relationships/hyperlink" Target="https://www.itu.int/md/S22-PP-C-0168/en"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2-PP-C-0179/en" TargetMode="External"/><Relationship Id="rId22" Type="http://schemas.openxmlformats.org/officeDocument/2006/relationships/hyperlink" Target="https://www.itu.int/md/S22-PP-C-0175/en" TargetMode="External"/><Relationship Id="rId27" Type="http://schemas.openxmlformats.org/officeDocument/2006/relationships/hyperlink" Target="https://www.itu.int/md/S22-PP-C-0184/en" TargetMode="External"/><Relationship Id="rId30" Type="http://schemas.openxmlformats.org/officeDocument/2006/relationships/hyperlink" Target="https://www.itu.int/md/S22-PP-C-0152/en"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schemas.microsoft.com/office/2006/documentManagement/types"/>
    <ds:schemaRef ds:uri="d523d8b4-15d9-487b-a77a-d7a7f82925c6"/>
    <ds:schemaRef ds:uri="http://schemas.microsoft.com/office/infopath/2007/PartnerControls"/>
    <ds:schemaRef ds:uri="http://purl.org/dc/elements/1.1/"/>
    <ds:schemaRef ds:uri="http://www.w3.org/XML/1998/namespace"/>
    <ds:schemaRef ds:uri="http://schemas.openxmlformats.org/package/2006/metadata/core-properties"/>
    <ds:schemaRef ds:uri="341ef080-d7f6-42a0-8428-894c998dd238"/>
    <ds:schemaRef ds:uri="http://purl.org/dc/terms/"/>
  </ds:schemaRefs>
</ds:datastoreItem>
</file>

<file path=customXml/itemProps2.xml><?xml version="1.0" encoding="utf-8"?>
<ds:datastoreItem xmlns:ds="http://schemas.openxmlformats.org/officeDocument/2006/customXml" ds:itemID="{793075C9-FFD4-4E1F-A0EB-93AB1BB60F1B}">
  <ds:schemaRefs>
    <ds:schemaRef ds:uri="http://schemas.microsoft.com/sharepoint/v3/contenttype/forms"/>
  </ds:schemaRefs>
</ds:datastoreItem>
</file>

<file path=customXml/itemProps3.xml><?xml version="1.0" encoding="utf-8"?>
<ds:datastoreItem xmlns:ds="http://schemas.openxmlformats.org/officeDocument/2006/customXml" ds:itemID="{39549D33-9BA1-45E5-BA67-743CDAF45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1890</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Minutes of the fourteenth Plenary meeting</vt:lpstr>
    </vt:vector>
  </TitlesOfParts>
  <Manager/>
  <Company>International Telecommunication Union (ITU)</Company>
  <LinksUpToDate>false</LinksUpToDate>
  <CharactersWithSpaces>13617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fifteenth Plenary meeting</dc:title>
  <dc:subject>Plenipotentiary Conference (PP-22)</dc:subject>
  <dc:creator>Brouard, Ricarda</dc:creator>
  <cp:keywords>PP22, PP-22</cp:keywords>
  <cp:lastModifiedBy>Brouard, Ricarda</cp:lastModifiedBy>
  <cp:revision>28</cp:revision>
  <dcterms:created xsi:type="dcterms:W3CDTF">2022-10-27T09:48:00Z</dcterms:created>
  <dcterms:modified xsi:type="dcterms:W3CDTF">2022-10-27T10:25:00Z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