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256CB4" w14:paraId="53E2F3C9" w14:textId="77777777" w:rsidTr="00B64373">
        <w:trPr>
          <w:cantSplit/>
          <w:jc w:val="center"/>
        </w:trPr>
        <w:tc>
          <w:tcPr>
            <w:tcW w:w="6911" w:type="dxa"/>
          </w:tcPr>
          <w:p w14:paraId="1A0FEE8F" w14:textId="50780691" w:rsidR="00255FA1" w:rsidRPr="00256CB4" w:rsidRDefault="00255FA1" w:rsidP="00FF1FC0">
            <w:pPr>
              <w:rPr>
                <w:b/>
                <w:bCs/>
                <w:szCs w:val="22"/>
              </w:rPr>
            </w:pPr>
            <w:bookmarkStart w:id="0" w:name="dbreak"/>
            <w:bookmarkStart w:id="1" w:name="dpp"/>
            <w:bookmarkEnd w:id="0"/>
            <w:bookmarkEnd w:id="1"/>
            <w:r w:rsidRPr="00386B0B">
              <w:rPr>
                <w:b/>
                <w:bCs/>
                <w:sz w:val="30"/>
                <w:szCs w:val="30"/>
                <w:lang w:val="es-ES"/>
              </w:rPr>
              <w:t>Conferencia de Plenipotenciarios (PP-22)</w:t>
            </w:r>
            <w:r w:rsidR="00FF1FC0">
              <w:rPr>
                <w:b/>
                <w:bCs/>
                <w:sz w:val="30"/>
                <w:szCs w:val="30"/>
                <w:lang w:val="es-ES"/>
              </w:rPr>
              <w:br/>
            </w:r>
            <w:r>
              <w:rPr>
                <w:b/>
                <w:bCs/>
                <w:lang w:val="es-ES"/>
              </w:rPr>
              <w:t>Bucarest, 26 de septiembre – 14 de octubre de 2022</w:t>
            </w:r>
          </w:p>
        </w:tc>
        <w:tc>
          <w:tcPr>
            <w:tcW w:w="3120" w:type="dxa"/>
          </w:tcPr>
          <w:p w14:paraId="703F9FD0" w14:textId="73E06C23" w:rsidR="00255FA1" w:rsidRPr="00256CB4" w:rsidRDefault="009D1BE0" w:rsidP="00386B0B">
            <w:pPr>
              <w:tabs>
                <w:tab w:val="clear" w:pos="1701"/>
                <w:tab w:val="clear" w:pos="2268"/>
                <w:tab w:val="clear" w:pos="2835"/>
                <w:tab w:val="right" w:pos="2904"/>
              </w:tabs>
              <w:spacing w:before="0" w:line="240" w:lineRule="atLeast"/>
              <w:rPr>
                <w:rFonts w:cstheme="minorHAnsi"/>
              </w:rPr>
            </w:pPr>
            <w:bookmarkStart w:id="2" w:name="ditulogo"/>
            <w:bookmarkEnd w:id="2"/>
            <w:r w:rsidRPr="00256CB4">
              <w:rPr>
                <w:noProof/>
                <w:lang w:val="en-US"/>
              </w:rPr>
              <w:drawing>
                <wp:inline distT="0" distB="0" distL="0" distR="0" wp14:anchorId="4688C472" wp14:editId="07E51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r w:rsidR="00386B0B">
              <w:rPr>
                <w:rFonts w:cstheme="minorHAnsi"/>
              </w:rPr>
              <w:tab/>
            </w:r>
            <w:r w:rsidR="00386B0B">
              <w:rPr>
                <w:rFonts w:cstheme="minorHAnsi"/>
              </w:rPr>
              <w:tab/>
            </w:r>
          </w:p>
        </w:tc>
      </w:tr>
      <w:tr w:rsidR="00255FA1" w:rsidRPr="00256CB4" w14:paraId="7936D6CB" w14:textId="77777777" w:rsidTr="00B64373">
        <w:trPr>
          <w:cantSplit/>
          <w:jc w:val="center"/>
        </w:trPr>
        <w:tc>
          <w:tcPr>
            <w:tcW w:w="6911" w:type="dxa"/>
            <w:tcBorders>
              <w:bottom w:val="single" w:sz="12" w:space="0" w:color="auto"/>
            </w:tcBorders>
          </w:tcPr>
          <w:p w14:paraId="44AF3E5C" w14:textId="77777777" w:rsidR="00255FA1" w:rsidRPr="00256CB4" w:rsidRDefault="00255FA1" w:rsidP="00B64373">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11F82F2F" w14:textId="77777777" w:rsidR="00255FA1" w:rsidRPr="00256CB4" w:rsidRDefault="00255FA1" w:rsidP="00B64373">
            <w:pPr>
              <w:spacing w:before="0" w:after="48" w:line="240" w:lineRule="atLeast"/>
              <w:rPr>
                <w:rFonts w:cstheme="minorHAnsi"/>
                <w:b/>
                <w:smallCaps/>
                <w:szCs w:val="24"/>
              </w:rPr>
            </w:pPr>
          </w:p>
        </w:tc>
      </w:tr>
      <w:tr w:rsidR="00255FA1" w:rsidRPr="00256CB4" w14:paraId="420A698C" w14:textId="77777777" w:rsidTr="00B64373">
        <w:trPr>
          <w:cantSplit/>
          <w:jc w:val="center"/>
        </w:trPr>
        <w:tc>
          <w:tcPr>
            <w:tcW w:w="6911" w:type="dxa"/>
            <w:tcBorders>
              <w:top w:val="single" w:sz="12" w:space="0" w:color="auto"/>
            </w:tcBorders>
          </w:tcPr>
          <w:p w14:paraId="47DB16D7" w14:textId="77777777" w:rsidR="00255FA1" w:rsidRPr="00256CB4" w:rsidRDefault="00255FA1" w:rsidP="00B64373">
            <w:pPr>
              <w:spacing w:before="0"/>
              <w:ind w:firstLine="720"/>
              <w:rPr>
                <w:rFonts w:cstheme="minorHAnsi"/>
                <w:b/>
                <w:smallCaps/>
                <w:szCs w:val="24"/>
              </w:rPr>
            </w:pPr>
          </w:p>
        </w:tc>
        <w:tc>
          <w:tcPr>
            <w:tcW w:w="3120" w:type="dxa"/>
            <w:tcBorders>
              <w:top w:val="single" w:sz="12" w:space="0" w:color="auto"/>
            </w:tcBorders>
          </w:tcPr>
          <w:p w14:paraId="3B0821EE" w14:textId="77777777" w:rsidR="00255FA1" w:rsidRPr="00256CB4" w:rsidRDefault="00255FA1" w:rsidP="00B64373">
            <w:pPr>
              <w:spacing w:before="0"/>
              <w:rPr>
                <w:rFonts w:cstheme="minorHAnsi"/>
                <w:szCs w:val="24"/>
              </w:rPr>
            </w:pPr>
          </w:p>
        </w:tc>
      </w:tr>
      <w:tr w:rsidR="00255FA1" w:rsidRPr="00256CB4" w14:paraId="6E5D99D3" w14:textId="77777777" w:rsidTr="00B64373">
        <w:trPr>
          <w:cantSplit/>
          <w:jc w:val="center"/>
        </w:trPr>
        <w:tc>
          <w:tcPr>
            <w:tcW w:w="6911" w:type="dxa"/>
          </w:tcPr>
          <w:p w14:paraId="248001A5" w14:textId="6D21E375" w:rsidR="00255FA1" w:rsidRPr="00256CB4" w:rsidRDefault="009A443B" w:rsidP="00B64373">
            <w:pPr>
              <w:pStyle w:val="Committee"/>
              <w:framePr w:hSpace="0" w:wrap="auto" w:hAnchor="text" w:yAlign="inline"/>
              <w:spacing w:after="0" w:line="240" w:lineRule="auto"/>
            </w:pPr>
            <w:r>
              <w:rPr>
                <w:bCs/>
                <w:lang w:val="es-ES"/>
              </w:rPr>
              <w:t>SESIÓN PLENARIA</w:t>
            </w:r>
          </w:p>
        </w:tc>
        <w:tc>
          <w:tcPr>
            <w:tcW w:w="3120" w:type="dxa"/>
          </w:tcPr>
          <w:p w14:paraId="5DCBCBFD" w14:textId="0714AFE1" w:rsidR="00255FA1" w:rsidRPr="00256CB4" w:rsidRDefault="009A443B" w:rsidP="00B64373">
            <w:pPr>
              <w:spacing w:before="0"/>
              <w:rPr>
                <w:rFonts w:cstheme="minorHAnsi"/>
                <w:szCs w:val="24"/>
              </w:rPr>
            </w:pPr>
            <w:r>
              <w:rPr>
                <w:b/>
                <w:bCs/>
                <w:lang w:val="es-ES"/>
              </w:rPr>
              <w:t>Documento 204-S</w:t>
            </w:r>
          </w:p>
        </w:tc>
      </w:tr>
      <w:tr w:rsidR="00255FA1" w:rsidRPr="00256CB4" w14:paraId="483D078B" w14:textId="77777777" w:rsidTr="00B64373">
        <w:trPr>
          <w:cantSplit/>
          <w:jc w:val="center"/>
        </w:trPr>
        <w:tc>
          <w:tcPr>
            <w:tcW w:w="6911" w:type="dxa"/>
          </w:tcPr>
          <w:p w14:paraId="17E32998" w14:textId="03E0A90A" w:rsidR="00255FA1" w:rsidRPr="00256CB4" w:rsidRDefault="00255FA1" w:rsidP="00B64373">
            <w:pPr>
              <w:spacing w:before="0"/>
              <w:rPr>
                <w:rFonts w:cstheme="minorHAnsi"/>
                <w:b/>
                <w:szCs w:val="24"/>
              </w:rPr>
            </w:pPr>
          </w:p>
        </w:tc>
        <w:tc>
          <w:tcPr>
            <w:tcW w:w="3120" w:type="dxa"/>
          </w:tcPr>
          <w:p w14:paraId="00BF5C1A" w14:textId="38DF02F9" w:rsidR="00255FA1" w:rsidRPr="00256CB4" w:rsidRDefault="008E7F1E" w:rsidP="00B64373">
            <w:pPr>
              <w:spacing w:before="0"/>
              <w:rPr>
                <w:rFonts w:cstheme="minorHAnsi"/>
                <w:b/>
                <w:szCs w:val="24"/>
              </w:rPr>
            </w:pPr>
            <w:r>
              <w:rPr>
                <w:b/>
                <w:bCs/>
                <w:lang w:val="es-ES"/>
              </w:rPr>
              <w:t>26 de octubre de 2022</w:t>
            </w:r>
          </w:p>
        </w:tc>
      </w:tr>
      <w:tr w:rsidR="00255FA1" w:rsidRPr="00256CB4" w14:paraId="7EE17784" w14:textId="77777777" w:rsidTr="00B64373">
        <w:trPr>
          <w:cantSplit/>
          <w:jc w:val="center"/>
        </w:trPr>
        <w:tc>
          <w:tcPr>
            <w:tcW w:w="6911" w:type="dxa"/>
          </w:tcPr>
          <w:p w14:paraId="68573EE1" w14:textId="77777777" w:rsidR="00255FA1" w:rsidRPr="00256CB4" w:rsidRDefault="00255FA1" w:rsidP="00B64373">
            <w:pPr>
              <w:spacing w:before="0"/>
              <w:rPr>
                <w:rFonts w:cstheme="minorHAnsi"/>
                <w:b/>
                <w:smallCaps/>
                <w:szCs w:val="24"/>
              </w:rPr>
            </w:pPr>
          </w:p>
        </w:tc>
        <w:tc>
          <w:tcPr>
            <w:tcW w:w="3120" w:type="dxa"/>
          </w:tcPr>
          <w:p w14:paraId="76142BCE" w14:textId="3C72C0F4" w:rsidR="00255FA1" w:rsidRPr="00256CB4" w:rsidRDefault="009A443B" w:rsidP="00B64373">
            <w:pPr>
              <w:spacing w:before="0"/>
              <w:rPr>
                <w:rFonts w:cstheme="minorHAnsi"/>
                <w:b/>
                <w:szCs w:val="24"/>
              </w:rPr>
            </w:pPr>
            <w:r>
              <w:rPr>
                <w:b/>
                <w:bCs/>
                <w:lang w:val="es-ES"/>
              </w:rPr>
              <w:t>Original: inglés</w:t>
            </w:r>
          </w:p>
        </w:tc>
      </w:tr>
      <w:tr w:rsidR="00255FA1" w:rsidRPr="00256CB4" w14:paraId="3075E850" w14:textId="77777777" w:rsidTr="00B64373">
        <w:trPr>
          <w:cantSplit/>
          <w:jc w:val="center"/>
        </w:trPr>
        <w:tc>
          <w:tcPr>
            <w:tcW w:w="10031" w:type="dxa"/>
            <w:gridSpan w:val="2"/>
          </w:tcPr>
          <w:p w14:paraId="2AB3028F" w14:textId="77777777" w:rsidR="00255FA1" w:rsidRPr="00256CB4" w:rsidRDefault="00255FA1" w:rsidP="00B64373">
            <w:pPr>
              <w:spacing w:before="0" w:line="240" w:lineRule="atLeast"/>
              <w:rPr>
                <w:rFonts w:cstheme="minorHAnsi"/>
                <w:b/>
                <w:szCs w:val="24"/>
              </w:rPr>
            </w:pPr>
          </w:p>
        </w:tc>
      </w:tr>
      <w:tr w:rsidR="00255FA1" w:rsidRPr="00256CB4" w14:paraId="6C060127" w14:textId="77777777" w:rsidTr="00B64373">
        <w:trPr>
          <w:cantSplit/>
          <w:jc w:val="center"/>
        </w:trPr>
        <w:tc>
          <w:tcPr>
            <w:tcW w:w="10031" w:type="dxa"/>
            <w:gridSpan w:val="2"/>
          </w:tcPr>
          <w:p w14:paraId="2D379215" w14:textId="77777777" w:rsidR="008E7F1E" w:rsidRPr="00FF1FC0" w:rsidRDefault="008E7F1E" w:rsidP="00FF1FC0">
            <w:pPr>
              <w:pStyle w:val="Title1"/>
              <w:rPr>
                <w:szCs w:val="28"/>
                <w:lang w:val="es-ES"/>
              </w:rPr>
            </w:pPr>
            <w:bookmarkStart w:id="4" w:name="lt_pId011"/>
            <w:bookmarkStart w:id="5" w:name="dtitle1" w:colFirst="0" w:colLast="0"/>
            <w:bookmarkEnd w:id="3"/>
            <w:r w:rsidRPr="00386B0B">
              <w:rPr>
                <w:szCs w:val="28"/>
                <w:lang w:val="es-ES"/>
              </w:rPr>
              <w:t>ACTAS</w:t>
            </w:r>
            <w:bookmarkEnd w:id="4"/>
          </w:p>
          <w:p w14:paraId="47EBEF3E" w14:textId="77777777" w:rsidR="008E7F1E" w:rsidRPr="00FF1FC0" w:rsidRDefault="008E7F1E" w:rsidP="00FF1FC0">
            <w:pPr>
              <w:pStyle w:val="Title1"/>
              <w:rPr>
                <w:szCs w:val="28"/>
                <w:lang w:val="es-ES"/>
              </w:rPr>
            </w:pPr>
            <w:bookmarkStart w:id="6" w:name="lt_pId012"/>
            <w:r w:rsidRPr="00FF1FC0">
              <w:rPr>
                <w:szCs w:val="28"/>
                <w:lang w:val="es-ES"/>
              </w:rPr>
              <w:t>DE LA</w:t>
            </w:r>
            <w:bookmarkEnd w:id="6"/>
          </w:p>
          <w:p w14:paraId="0A048F9C" w14:textId="4145FF88" w:rsidR="00255FA1" w:rsidRPr="00FF1FC0" w:rsidRDefault="008E7F1E" w:rsidP="008E7F1E">
            <w:pPr>
              <w:pStyle w:val="Title1"/>
              <w:rPr>
                <w:szCs w:val="28"/>
                <w:lang w:val="es-ES"/>
              </w:rPr>
            </w:pPr>
            <w:bookmarkStart w:id="7" w:name="lt_pId013"/>
            <w:r w:rsidRPr="00F05FA5">
              <w:rPr>
                <w:szCs w:val="28"/>
                <w:lang w:val="es-ES"/>
              </w:rPr>
              <w:t>DECIMOCUARTA SESIÓN PLENARIA</w:t>
            </w:r>
            <w:bookmarkEnd w:id="7"/>
          </w:p>
        </w:tc>
      </w:tr>
      <w:tr w:rsidR="00255FA1" w:rsidRPr="00256CB4" w14:paraId="3730209C" w14:textId="77777777" w:rsidTr="00B64373">
        <w:trPr>
          <w:cantSplit/>
          <w:jc w:val="center"/>
        </w:trPr>
        <w:tc>
          <w:tcPr>
            <w:tcW w:w="10031" w:type="dxa"/>
            <w:gridSpan w:val="2"/>
          </w:tcPr>
          <w:p w14:paraId="3D6718D3" w14:textId="079C68F4" w:rsidR="00255FA1" w:rsidRPr="00F05FA5" w:rsidRDefault="008E7F1E" w:rsidP="00F05FA5">
            <w:pPr>
              <w:pStyle w:val="Title2"/>
            </w:pPr>
            <w:bookmarkStart w:id="8" w:name="dtitle2" w:colFirst="0" w:colLast="0"/>
            <w:bookmarkEnd w:id="5"/>
            <w:r w:rsidRPr="00F05FA5">
              <w:t>M</w:t>
            </w:r>
            <w:r w:rsidR="00F05FA5" w:rsidRPr="00F05FA5">
              <w:rPr>
                <w:caps w:val="0"/>
              </w:rPr>
              <w:t>artes</w:t>
            </w:r>
            <w:r w:rsidRPr="00F05FA5">
              <w:t xml:space="preserve">, 11 </w:t>
            </w:r>
            <w:r w:rsidR="00F05FA5" w:rsidRPr="00F05FA5">
              <w:rPr>
                <w:caps w:val="0"/>
              </w:rPr>
              <w:t xml:space="preserve">de octubre de </w:t>
            </w:r>
            <w:r w:rsidRPr="00F05FA5">
              <w:t>2022, 09</w:t>
            </w:r>
            <w:r w:rsidR="00F05FA5">
              <w:t>.</w:t>
            </w:r>
            <w:r w:rsidRPr="00F05FA5">
              <w:t>40</w:t>
            </w:r>
            <w:r w:rsidR="00F05FA5">
              <w:t xml:space="preserve"> </w:t>
            </w:r>
            <w:r w:rsidR="00F05FA5">
              <w:rPr>
                <w:caps w:val="0"/>
              </w:rPr>
              <w:t>horas</w:t>
            </w:r>
          </w:p>
        </w:tc>
      </w:tr>
      <w:tr w:rsidR="00255FA1" w:rsidRPr="00256CB4" w14:paraId="1029F4FC" w14:textId="77777777" w:rsidTr="00B64373">
        <w:trPr>
          <w:cantSplit/>
          <w:jc w:val="center"/>
        </w:trPr>
        <w:tc>
          <w:tcPr>
            <w:tcW w:w="10031" w:type="dxa"/>
            <w:gridSpan w:val="2"/>
          </w:tcPr>
          <w:p w14:paraId="4C5FBEDD" w14:textId="015BBFC3" w:rsidR="00255FA1" w:rsidRPr="00256CB4" w:rsidRDefault="008E7F1E" w:rsidP="00B64373">
            <w:pPr>
              <w:pStyle w:val="Agendaitem"/>
            </w:pPr>
            <w:bookmarkStart w:id="9" w:name="lt_pId015"/>
            <w:bookmarkStart w:id="10" w:name="dtitle3" w:colFirst="0" w:colLast="0"/>
            <w:bookmarkEnd w:id="8"/>
            <w:r>
              <w:rPr>
                <w:b/>
                <w:bCs/>
                <w:lang w:val="es-ES"/>
              </w:rPr>
              <w:t>Presidente</w:t>
            </w:r>
            <w:r>
              <w:rPr>
                <w:lang w:val="es-ES"/>
              </w:rPr>
              <w:t xml:space="preserve">: Sr. Sabin </w:t>
            </w:r>
            <w:proofErr w:type="spellStart"/>
            <w:r>
              <w:rPr>
                <w:lang w:val="es-ES"/>
              </w:rPr>
              <w:t>Sărmaș</w:t>
            </w:r>
            <w:proofErr w:type="spellEnd"/>
            <w:r>
              <w:rPr>
                <w:lang w:val="es-ES"/>
              </w:rPr>
              <w:t xml:space="preserve"> (Rumania)</w:t>
            </w:r>
            <w:bookmarkStart w:id="11" w:name="lt_pId016"/>
            <w:bookmarkEnd w:id="9"/>
            <w:bookmarkEnd w:id="11"/>
          </w:p>
        </w:tc>
      </w:tr>
      <w:bookmarkEnd w:id="10"/>
    </w:tbl>
    <w:tbl>
      <w:tblPr>
        <w:tblW w:w="10031" w:type="dxa"/>
        <w:tblLayout w:type="fixed"/>
        <w:tblLook w:val="0000" w:firstRow="0" w:lastRow="0" w:firstColumn="0" w:lastColumn="0" w:noHBand="0" w:noVBand="0"/>
      </w:tblPr>
      <w:tblGrid>
        <w:gridCol w:w="534"/>
        <w:gridCol w:w="7404"/>
        <w:gridCol w:w="2093"/>
      </w:tblGrid>
      <w:tr w:rsidR="004B3A92" w:rsidRPr="004B3A92" w14:paraId="5B490D07" w14:textId="77777777" w:rsidTr="00C61197">
        <w:tc>
          <w:tcPr>
            <w:tcW w:w="534" w:type="dxa"/>
          </w:tcPr>
          <w:p w14:paraId="70CBAC9D" w14:textId="77777777" w:rsidR="004B3A92" w:rsidRPr="00A34020" w:rsidRDefault="004B3A92" w:rsidP="00A34020">
            <w:pPr>
              <w:tabs>
                <w:tab w:val="right" w:pos="9781"/>
              </w:tabs>
              <w:spacing w:before="600" w:after="120"/>
              <w:rPr>
                <w:b/>
                <w:bCs/>
                <w:lang w:val="es-ES"/>
              </w:rPr>
            </w:pPr>
          </w:p>
        </w:tc>
        <w:tc>
          <w:tcPr>
            <w:tcW w:w="7404" w:type="dxa"/>
          </w:tcPr>
          <w:p w14:paraId="50A9F6B9" w14:textId="10F81CE4" w:rsidR="004B3A92" w:rsidRPr="004B3A92" w:rsidRDefault="00583305" w:rsidP="00A34020">
            <w:pPr>
              <w:tabs>
                <w:tab w:val="right" w:pos="9781"/>
              </w:tabs>
              <w:spacing w:before="600" w:after="120"/>
              <w:rPr>
                <w:b/>
                <w:szCs w:val="24"/>
              </w:rPr>
            </w:pPr>
            <w:bookmarkStart w:id="12" w:name="lt_pId017"/>
            <w:r>
              <w:rPr>
                <w:b/>
                <w:bCs/>
                <w:lang w:val="es-ES"/>
              </w:rPr>
              <w:t>Asuntos tratados</w:t>
            </w:r>
            <w:bookmarkEnd w:id="12"/>
          </w:p>
        </w:tc>
        <w:tc>
          <w:tcPr>
            <w:tcW w:w="2093" w:type="dxa"/>
          </w:tcPr>
          <w:p w14:paraId="236B026E" w14:textId="658DE8BA" w:rsidR="004B3A92" w:rsidRPr="004B3A92" w:rsidRDefault="00583305" w:rsidP="00A34020">
            <w:pPr>
              <w:tabs>
                <w:tab w:val="right" w:pos="9781"/>
              </w:tabs>
              <w:spacing w:before="600" w:after="120"/>
              <w:rPr>
                <w:b/>
                <w:szCs w:val="24"/>
              </w:rPr>
            </w:pPr>
            <w:r>
              <w:rPr>
                <w:b/>
                <w:bCs/>
                <w:lang w:val="es-ES"/>
              </w:rPr>
              <w:t>Documentos</w:t>
            </w:r>
          </w:p>
        </w:tc>
      </w:tr>
      <w:tr w:rsidR="004B3A92" w:rsidRPr="004B3A92" w14:paraId="2F368F69" w14:textId="77777777" w:rsidTr="00C61197">
        <w:tc>
          <w:tcPr>
            <w:tcW w:w="534" w:type="dxa"/>
          </w:tcPr>
          <w:p w14:paraId="1C85A1EF" w14:textId="77777777" w:rsidR="004B3A92" w:rsidRPr="004B3A92" w:rsidRDefault="004B3A92" w:rsidP="00AE5991">
            <w:pPr>
              <w:spacing w:before="60" w:after="60"/>
              <w:ind w:left="567" w:hanging="567"/>
              <w:rPr>
                <w:szCs w:val="24"/>
              </w:rPr>
            </w:pPr>
            <w:r>
              <w:rPr>
                <w:lang w:val="es-ES"/>
              </w:rPr>
              <w:t>1</w:t>
            </w:r>
          </w:p>
        </w:tc>
        <w:tc>
          <w:tcPr>
            <w:tcW w:w="7404" w:type="dxa"/>
          </w:tcPr>
          <w:p w14:paraId="4DA1FFE0" w14:textId="0E639243" w:rsidR="004B3A92" w:rsidRPr="004B3A92" w:rsidRDefault="00583305" w:rsidP="00AE5991">
            <w:pPr>
              <w:tabs>
                <w:tab w:val="left" w:pos="6"/>
              </w:tabs>
              <w:spacing w:before="60" w:after="60" w:line="276" w:lineRule="auto"/>
              <w:ind w:left="6"/>
              <w:rPr>
                <w:rFonts w:asciiTheme="minorHAnsi" w:eastAsia="SimSun" w:hAnsiTheme="minorHAnsi"/>
                <w:szCs w:val="24"/>
              </w:rPr>
            </w:pPr>
            <w:bookmarkStart w:id="13" w:name="lt_pId020"/>
            <w:r>
              <w:rPr>
                <w:lang w:val="es-ES"/>
              </w:rPr>
              <w:t>Informe de la Comisión 3 (Control del Presupuesto)</w:t>
            </w:r>
            <w:bookmarkEnd w:id="13"/>
          </w:p>
        </w:tc>
        <w:tc>
          <w:tcPr>
            <w:tcW w:w="2093" w:type="dxa"/>
          </w:tcPr>
          <w:p w14:paraId="5AE21B1A" w14:textId="77777777" w:rsidR="004B3A92" w:rsidRPr="00ED2CE3" w:rsidRDefault="00AA38F4" w:rsidP="00AE5991">
            <w:pPr>
              <w:spacing w:before="60" w:after="60"/>
              <w:jc w:val="center"/>
              <w:rPr>
                <w:rStyle w:val="Hyperlink"/>
              </w:rPr>
            </w:pPr>
            <w:hyperlink r:id="rId8" w:history="1">
              <w:r w:rsidR="004B3A92" w:rsidRPr="00ED2CE3">
                <w:rPr>
                  <w:rStyle w:val="Hyperlink"/>
                </w:rPr>
                <w:t>165</w:t>
              </w:r>
            </w:hyperlink>
          </w:p>
        </w:tc>
      </w:tr>
      <w:tr w:rsidR="004B3A92" w:rsidRPr="004B3A92" w14:paraId="482A75D5" w14:textId="77777777" w:rsidTr="00C61197">
        <w:tc>
          <w:tcPr>
            <w:tcW w:w="534" w:type="dxa"/>
          </w:tcPr>
          <w:p w14:paraId="5B287640" w14:textId="77777777" w:rsidR="004B3A92" w:rsidRPr="004B3A92" w:rsidRDefault="004B3A92" w:rsidP="00AE5991">
            <w:pPr>
              <w:spacing w:before="60" w:after="60"/>
              <w:ind w:left="567" w:hanging="567"/>
              <w:rPr>
                <w:szCs w:val="24"/>
              </w:rPr>
            </w:pPr>
            <w:r>
              <w:rPr>
                <w:lang w:val="es-ES"/>
              </w:rPr>
              <w:t>2</w:t>
            </w:r>
          </w:p>
        </w:tc>
        <w:tc>
          <w:tcPr>
            <w:tcW w:w="7404" w:type="dxa"/>
          </w:tcPr>
          <w:p w14:paraId="3A4D5D8D" w14:textId="1CD0BE88" w:rsidR="004B3A92" w:rsidRPr="004B3A92" w:rsidRDefault="004B3A92" w:rsidP="00AE5991">
            <w:pPr>
              <w:spacing w:before="60" w:after="60"/>
              <w:rPr>
                <w:rFonts w:asciiTheme="minorHAnsi" w:eastAsia="SimSun" w:hAnsiTheme="minorHAnsi" w:cstheme="minorHAnsi"/>
                <w:szCs w:val="24"/>
              </w:rPr>
            </w:pPr>
            <w:bookmarkStart w:id="14" w:name="lt_pId023"/>
            <w:r>
              <w:rPr>
                <w:lang w:val="es-ES"/>
              </w:rPr>
              <w:t xml:space="preserve">Decimosexta serie de textos que la Comisión de Redacción somete en primera lectura (B16) </w:t>
            </w:r>
            <w:bookmarkEnd w:id="14"/>
          </w:p>
        </w:tc>
        <w:tc>
          <w:tcPr>
            <w:tcW w:w="2093" w:type="dxa"/>
          </w:tcPr>
          <w:p w14:paraId="450ABE11" w14:textId="77777777" w:rsidR="004B3A92" w:rsidRPr="00ED2CE3" w:rsidRDefault="00AA38F4" w:rsidP="00AE5991">
            <w:pPr>
              <w:spacing w:before="60" w:after="60"/>
              <w:jc w:val="center"/>
              <w:rPr>
                <w:rStyle w:val="Hyperlink"/>
              </w:rPr>
            </w:pPr>
            <w:hyperlink r:id="rId9" w:history="1">
              <w:r w:rsidR="004B3A92" w:rsidRPr="00ED2CE3">
                <w:rPr>
                  <w:rStyle w:val="Hyperlink"/>
                </w:rPr>
                <w:t>167</w:t>
              </w:r>
            </w:hyperlink>
          </w:p>
        </w:tc>
      </w:tr>
      <w:tr w:rsidR="004B3A92" w:rsidRPr="004B3A92" w14:paraId="633A4F4D" w14:textId="77777777" w:rsidTr="00C61197">
        <w:tc>
          <w:tcPr>
            <w:tcW w:w="534" w:type="dxa"/>
          </w:tcPr>
          <w:p w14:paraId="1FF73630" w14:textId="77777777" w:rsidR="004B3A92" w:rsidRPr="004B3A92" w:rsidRDefault="004B3A92" w:rsidP="00AE5991">
            <w:pPr>
              <w:spacing w:before="60" w:after="60"/>
              <w:ind w:left="567" w:hanging="567"/>
              <w:rPr>
                <w:szCs w:val="24"/>
              </w:rPr>
            </w:pPr>
            <w:r>
              <w:rPr>
                <w:lang w:val="es-ES"/>
              </w:rPr>
              <w:t>3</w:t>
            </w:r>
          </w:p>
        </w:tc>
        <w:tc>
          <w:tcPr>
            <w:tcW w:w="7404" w:type="dxa"/>
          </w:tcPr>
          <w:p w14:paraId="69E67FB0" w14:textId="5CBDC8A0" w:rsidR="004B3A92" w:rsidRPr="004B3A92" w:rsidRDefault="004B3A92" w:rsidP="00AE5991">
            <w:pPr>
              <w:spacing w:before="60" w:after="60"/>
              <w:rPr>
                <w:rFonts w:asciiTheme="minorHAnsi" w:eastAsia="SimSun" w:hAnsiTheme="minorHAnsi" w:cstheme="minorHAnsi"/>
                <w:szCs w:val="24"/>
              </w:rPr>
            </w:pPr>
            <w:bookmarkStart w:id="15" w:name="lt_pId026"/>
            <w:r>
              <w:rPr>
                <w:lang w:val="es-ES"/>
              </w:rPr>
              <w:t>Decimosexta serie de textos que la Comisión de Redacción somete en segunda lectura</w:t>
            </w:r>
            <w:bookmarkEnd w:id="15"/>
          </w:p>
        </w:tc>
        <w:tc>
          <w:tcPr>
            <w:tcW w:w="2093" w:type="dxa"/>
          </w:tcPr>
          <w:p w14:paraId="4ABD823E" w14:textId="77777777" w:rsidR="004B3A92" w:rsidRPr="004B3A92" w:rsidRDefault="004B3A92" w:rsidP="00AE5991">
            <w:pPr>
              <w:spacing w:before="60" w:after="60"/>
              <w:jc w:val="center"/>
              <w:rPr>
                <w:szCs w:val="24"/>
              </w:rPr>
            </w:pPr>
            <w:r>
              <w:rPr>
                <w:lang w:val="es-ES"/>
              </w:rPr>
              <w:t>167</w:t>
            </w:r>
          </w:p>
        </w:tc>
      </w:tr>
      <w:tr w:rsidR="004B3A92" w:rsidRPr="004B3A92" w14:paraId="1CC9AA88" w14:textId="77777777" w:rsidTr="00C61197">
        <w:tc>
          <w:tcPr>
            <w:tcW w:w="534" w:type="dxa"/>
          </w:tcPr>
          <w:p w14:paraId="4F012173" w14:textId="77777777" w:rsidR="004B3A92" w:rsidRPr="004B3A92" w:rsidRDefault="004B3A92" w:rsidP="00AE5991">
            <w:pPr>
              <w:spacing w:before="60" w:after="60"/>
              <w:ind w:left="567" w:hanging="567"/>
              <w:rPr>
                <w:szCs w:val="24"/>
              </w:rPr>
            </w:pPr>
            <w:r>
              <w:rPr>
                <w:lang w:val="es-ES"/>
              </w:rPr>
              <w:t>4</w:t>
            </w:r>
          </w:p>
        </w:tc>
        <w:tc>
          <w:tcPr>
            <w:tcW w:w="7404" w:type="dxa"/>
          </w:tcPr>
          <w:p w14:paraId="796D28DE" w14:textId="1879B745" w:rsidR="004B3A92" w:rsidRPr="004B3A92" w:rsidRDefault="004B3A92" w:rsidP="00AE5991">
            <w:pPr>
              <w:tabs>
                <w:tab w:val="left" w:pos="6"/>
                <w:tab w:val="left" w:pos="668"/>
                <w:tab w:val="left" w:pos="855"/>
              </w:tabs>
              <w:spacing w:before="60" w:after="60" w:line="276" w:lineRule="auto"/>
              <w:rPr>
                <w:rFonts w:asciiTheme="minorHAnsi" w:eastAsia="SimSun" w:hAnsiTheme="minorHAnsi" w:cstheme="minorHAnsi"/>
                <w:szCs w:val="24"/>
              </w:rPr>
            </w:pPr>
            <w:bookmarkStart w:id="16" w:name="lt_pId029"/>
            <w:r>
              <w:rPr>
                <w:lang w:val="es-ES"/>
              </w:rPr>
              <w:t>Decimoséptima serie de textos que la Comisión de Redacción somete en primera lectura (B17)</w:t>
            </w:r>
            <w:bookmarkEnd w:id="16"/>
          </w:p>
        </w:tc>
        <w:tc>
          <w:tcPr>
            <w:tcW w:w="2093" w:type="dxa"/>
          </w:tcPr>
          <w:p w14:paraId="6BC5C2A8" w14:textId="77777777" w:rsidR="004B3A92" w:rsidRPr="00ED2CE3" w:rsidRDefault="00AA38F4" w:rsidP="00AE5991">
            <w:pPr>
              <w:spacing w:before="60" w:after="60"/>
              <w:jc w:val="center"/>
              <w:rPr>
                <w:rStyle w:val="Hyperlink"/>
              </w:rPr>
            </w:pPr>
            <w:hyperlink r:id="rId10" w:history="1">
              <w:r w:rsidR="004B3A92" w:rsidRPr="00ED2CE3">
                <w:rPr>
                  <w:rStyle w:val="Hyperlink"/>
                </w:rPr>
                <w:t>173</w:t>
              </w:r>
            </w:hyperlink>
          </w:p>
        </w:tc>
      </w:tr>
      <w:tr w:rsidR="004B3A92" w:rsidRPr="004B3A92" w14:paraId="0FB60EDE" w14:textId="77777777" w:rsidTr="00C61197">
        <w:tc>
          <w:tcPr>
            <w:tcW w:w="534" w:type="dxa"/>
          </w:tcPr>
          <w:p w14:paraId="7F9FF4DA" w14:textId="77777777" w:rsidR="004B3A92" w:rsidRPr="004B3A92" w:rsidRDefault="004B3A92" w:rsidP="00AE5991">
            <w:pPr>
              <w:spacing w:before="60" w:after="60"/>
              <w:ind w:left="567" w:hanging="567"/>
              <w:rPr>
                <w:szCs w:val="24"/>
              </w:rPr>
            </w:pPr>
            <w:r>
              <w:rPr>
                <w:lang w:val="es-ES"/>
              </w:rPr>
              <w:t>5</w:t>
            </w:r>
          </w:p>
        </w:tc>
        <w:tc>
          <w:tcPr>
            <w:tcW w:w="7404" w:type="dxa"/>
          </w:tcPr>
          <w:p w14:paraId="36813A0B" w14:textId="7D87D60F" w:rsidR="004B3A92" w:rsidRPr="004B3A92" w:rsidRDefault="004B3A92" w:rsidP="00AE5991">
            <w:pPr>
              <w:spacing w:before="60" w:after="60"/>
              <w:rPr>
                <w:rFonts w:asciiTheme="minorHAnsi" w:eastAsia="SimSun" w:hAnsiTheme="minorHAnsi" w:cstheme="minorHAnsi"/>
                <w:szCs w:val="24"/>
              </w:rPr>
            </w:pPr>
            <w:bookmarkStart w:id="17" w:name="lt_pId032"/>
            <w:r>
              <w:rPr>
                <w:lang w:val="es-ES"/>
              </w:rPr>
              <w:t>Decimoséptima serie de textos que la Comisión de Redacción somete en segunda lectura</w:t>
            </w:r>
            <w:bookmarkEnd w:id="17"/>
          </w:p>
        </w:tc>
        <w:tc>
          <w:tcPr>
            <w:tcW w:w="2093" w:type="dxa"/>
          </w:tcPr>
          <w:p w14:paraId="169C92BD" w14:textId="77777777" w:rsidR="004B3A92" w:rsidRPr="004B3A92" w:rsidRDefault="004B3A92" w:rsidP="00AE5991">
            <w:pPr>
              <w:spacing w:before="60" w:after="60"/>
              <w:jc w:val="center"/>
              <w:rPr>
                <w:szCs w:val="24"/>
              </w:rPr>
            </w:pPr>
            <w:r>
              <w:rPr>
                <w:lang w:val="es-ES"/>
              </w:rPr>
              <w:t>173</w:t>
            </w:r>
          </w:p>
        </w:tc>
      </w:tr>
      <w:tr w:rsidR="004B3A92" w:rsidRPr="004B3A92" w14:paraId="21A74314" w14:textId="77777777" w:rsidTr="00C61197">
        <w:tc>
          <w:tcPr>
            <w:tcW w:w="534" w:type="dxa"/>
          </w:tcPr>
          <w:p w14:paraId="56650296" w14:textId="77777777" w:rsidR="004B3A92" w:rsidRPr="004B3A92" w:rsidRDefault="004B3A92" w:rsidP="00AE5991">
            <w:pPr>
              <w:spacing w:before="60" w:after="60"/>
              <w:ind w:left="567" w:hanging="567"/>
              <w:rPr>
                <w:szCs w:val="24"/>
              </w:rPr>
            </w:pPr>
            <w:r>
              <w:rPr>
                <w:lang w:val="es-ES"/>
              </w:rPr>
              <w:t>6</w:t>
            </w:r>
          </w:p>
        </w:tc>
        <w:tc>
          <w:tcPr>
            <w:tcW w:w="7404" w:type="dxa"/>
          </w:tcPr>
          <w:p w14:paraId="7C210736" w14:textId="32BDA34D" w:rsidR="004B3A92" w:rsidRPr="004B3A92" w:rsidRDefault="004B3A92" w:rsidP="00AE5991">
            <w:pPr>
              <w:tabs>
                <w:tab w:val="left" w:pos="4660"/>
              </w:tabs>
              <w:spacing w:before="60" w:after="60"/>
              <w:rPr>
                <w:rFonts w:asciiTheme="minorHAnsi" w:eastAsia="SimSun" w:hAnsiTheme="minorHAnsi" w:cstheme="minorHAnsi"/>
                <w:szCs w:val="24"/>
              </w:rPr>
            </w:pPr>
            <w:bookmarkStart w:id="18" w:name="lt_pId035"/>
            <w:r>
              <w:rPr>
                <w:lang w:val="es-ES"/>
              </w:rPr>
              <w:t>Decimoctava serie de textos que la Comisión de Redacción somete en primera lectura (B18)</w:t>
            </w:r>
            <w:bookmarkEnd w:id="18"/>
          </w:p>
        </w:tc>
        <w:tc>
          <w:tcPr>
            <w:tcW w:w="2093" w:type="dxa"/>
          </w:tcPr>
          <w:p w14:paraId="1A1E90D7" w14:textId="77777777" w:rsidR="004B3A92" w:rsidRPr="00ED2CE3" w:rsidRDefault="00AA38F4" w:rsidP="00AE5991">
            <w:pPr>
              <w:spacing w:before="60" w:after="60"/>
              <w:jc w:val="center"/>
              <w:rPr>
                <w:rStyle w:val="Hyperlink"/>
              </w:rPr>
            </w:pPr>
            <w:hyperlink r:id="rId11" w:history="1">
              <w:r w:rsidR="004B3A92" w:rsidRPr="00ED2CE3">
                <w:rPr>
                  <w:rStyle w:val="Hyperlink"/>
                </w:rPr>
                <w:t>174</w:t>
              </w:r>
            </w:hyperlink>
          </w:p>
        </w:tc>
      </w:tr>
      <w:tr w:rsidR="004B3A92" w:rsidRPr="004B3A92" w14:paraId="2EC9073E" w14:textId="77777777" w:rsidTr="00C61197">
        <w:tc>
          <w:tcPr>
            <w:tcW w:w="534" w:type="dxa"/>
          </w:tcPr>
          <w:p w14:paraId="28C507DF" w14:textId="77777777" w:rsidR="004B3A92" w:rsidRPr="004B3A92" w:rsidRDefault="004B3A92" w:rsidP="00AE5991">
            <w:pPr>
              <w:spacing w:before="60" w:after="60"/>
              <w:ind w:left="567" w:hanging="567"/>
              <w:rPr>
                <w:szCs w:val="24"/>
              </w:rPr>
            </w:pPr>
            <w:r>
              <w:rPr>
                <w:lang w:val="es-ES"/>
              </w:rPr>
              <w:t>7</w:t>
            </w:r>
          </w:p>
        </w:tc>
        <w:tc>
          <w:tcPr>
            <w:tcW w:w="7404" w:type="dxa"/>
          </w:tcPr>
          <w:p w14:paraId="29CBB2EE" w14:textId="0304FCA2" w:rsidR="004B3A92" w:rsidRPr="004B3A92" w:rsidRDefault="004B3A92" w:rsidP="00AE5991">
            <w:pPr>
              <w:tabs>
                <w:tab w:val="left" w:pos="4660"/>
              </w:tabs>
              <w:spacing w:before="60" w:after="60"/>
              <w:rPr>
                <w:rFonts w:asciiTheme="minorHAnsi" w:eastAsia="SimSun" w:hAnsiTheme="minorHAnsi" w:cstheme="minorHAnsi"/>
                <w:szCs w:val="24"/>
              </w:rPr>
            </w:pPr>
            <w:bookmarkStart w:id="19" w:name="lt_pId038"/>
            <w:r>
              <w:rPr>
                <w:lang w:val="es-ES"/>
              </w:rPr>
              <w:t>Decimoctava serie de textos que la Comisión de Redacción somete en segunda lectura</w:t>
            </w:r>
            <w:bookmarkEnd w:id="19"/>
          </w:p>
        </w:tc>
        <w:tc>
          <w:tcPr>
            <w:tcW w:w="2093" w:type="dxa"/>
          </w:tcPr>
          <w:p w14:paraId="069C21CA" w14:textId="77777777" w:rsidR="004B3A92" w:rsidRPr="004B3A92" w:rsidRDefault="004B3A92" w:rsidP="00AE5991">
            <w:pPr>
              <w:spacing w:before="60" w:after="60"/>
              <w:jc w:val="center"/>
              <w:rPr>
                <w:szCs w:val="24"/>
              </w:rPr>
            </w:pPr>
            <w:r>
              <w:rPr>
                <w:lang w:val="es-ES"/>
              </w:rPr>
              <w:t>174</w:t>
            </w:r>
          </w:p>
        </w:tc>
      </w:tr>
      <w:tr w:rsidR="004B3A92" w:rsidRPr="004B3A92" w14:paraId="789698C8" w14:textId="77777777" w:rsidTr="00C61197">
        <w:tc>
          <w:tcPr>
            <w:tcW w:w="534" w:type="dxa"/>
          </w:tcPr>
          <w:p w14:paraId="7127AC96" w14:textId="77777777" w:rsidR="004B3A92" w:rsidRPr="004B3A92" w:rsidRDefault="004B3A92" w:rsidP="00AE5991">
            <w:pPr>
              <w:spacing w:before="60" w:after="60"/>
              <w:ind w:left="567" w:hanging="567"/>
              <w:rPr>
                <w:szCs w:val="24"/>
              </w:rPr>
            </w:pPr>
            <w:r>
              <w:rPr>
                <w:lang w:val="es-ES"/>
              </w:rPr>
              <w:t>8</w:t>
            </w:r>
          </w:p>
        </w:tc>
        <w:tc>
          <w:tcPr>
            <w:tcW w:w="7404" w:type="dxa"/>
          </w:tcPr>
          <w:p w14:paraId="1A14F93F" w14:textId="715C7A90" w:rsidR="004B3A92" w:rsidRPr="004B3A92" w:rsidRDefault="00583305" w:rsidP="00AE5991">
            <w:pPr>
              <w:tabs>
                <w:tab w:val="left" w:pos="4660"/>
              </w:tabs>
              <w:spacing w:before="60" w:after="60"/>
              <w:rPr>
                <w:szCs w:val="24"/>
              </w:rPr>
            </w:pPr>
            <w:r>
              <w:rPr>
                <w:lang w:val="es-ES"/>
              </w:rPr>
              <w:t>Aprobación de las actas</w:t>
            </w:r>
          </w:p>
        </w:tc>
        <w:tc>
          <w:tcPr>
            <w:tcW w:w="2093" w:type="dxa"/>
          </w:tcPr>
          <w:p w14:paraId="31AA9804" w14:textId="77777777" w:rsidR="004B3A92" w:rsidRPr="004B3A92" w:rsidRDefault="00AA38F4" w:rsidP="00AE5991">
            <w:pPr>
              <w:spacing w:before="60" w:after="60"/>
              <w:jc w:val="center"/>
              <w:rPr>
                <w:szCs w:val="24"/>
              </w:rPr>
            </w:pPr>
            <w:hyperlink r:id="rId12" w:history="1">
              <w:r w:rsidR="004B3A92" w:rsidRPr="00ED2CE3">
                <w:rPr>
                  <w:rStyle w:val="Hyperlink"/>
                </w:rPr>
                <w:t>107</w:t>
              </w:r>
              <w:r w:rsidR="004B3A92">
                <w:t xml:space="preserve">, </w:t>
              </w:r>
              <w:r w:rsidR="004B3A92" w:rsidRPr="00ED2CE3">
                <w:rPr>
                  <w:rStyle w:val="Hyperlink"/>
                </w:rPr>
                <w:t>108</w:t>
              </w:r>
              <w:r w:rsidR="004B3A92">
                <w:t xml:space="preserve">, </w:t>
              </w:r>
              <w:r w:rsidR="004B3A92" w:rsidRPr="00ED2CE3">
                <w:rPr>
                  <w:rStyle w:val="Hyperlink"/>
                </w:rPr>
                <w:t>115</w:t>
              </w:r>
              <w:r w:rsidR="004B3A92">
                <w:t xml:space="preserve">, </w:t>
              </w:r>
              <w:r w:rsidR="004B3A92" w:rsidRPr="00ED2CE3">
                <w:rPr>
                  <w:rStyle w:val="Hyperlink"/>
                </w:rPr>
                <w:t>116</w:t>
              </w:r>
              <w:r w:rsidR="004B3A92">
                <w:t xml:space="preserve">, </w:t>
              </w:r>
              <w:r w:rsidR="004B3A92" w:rsidRPr="00ED2CE3">
                <w:rPr>
                  <w:rStyle w:val="Hyperlink"/>
                </w:rPr>
                <w:t>117</w:t>
              </w:r>
              <w:r w:rsidR="004B3A92">
                <w:t xml:space="preserve">, </w:t>
              </w:r>
              <w:r w:rsidR="004B3A92" w:rsidRPr="00ED2CE3">
                <w:rPr>
                  <w:rStyle w:val="Hyperlink"/>
                </w:rPr>
                <w:t>118</w:t>
              </w:r>
              <w:r w:rsidR="004B3A92">
                <w:t xml:space="preserve">, </w:t>
              </w:r>
              <w:r w:rsidR="004B3A92" w:rsidRPr="00ED2CE3">
                <w:rPr>
                  <w:rStyle w:val="Hyperlink"/>
                </w:rPr>
                <w:t>139</w:t>
              </w:r>
              <w:r w:rsidR="004B3A92">
                <w:t xml:space="preserve">, </w:t>
              </w:r>
              <w:r w:rsidR="004B3A92" w:rsidRPr="00ED2CE3">
                <w:rPr>
                  <w:rStyle w:val="Hyperlink"/>
                </w:rPr>
                <w:t>140</w:t>
              </w:r>
              <w:r w:rsidR="004B3A92">
                <w:t xml:space="preserve">, </w:t>
              </w:r>
              <w:r w:rsidR="004B3A92" w:rsidRPr="00ED2CE3">
                <w:rPr>
                  <w:rStyle w:val="Hyperlink"/>
                </w:rPr>
                <w:t>141</w:t>
              </w:r>
              <w:r w:rsidR="004B3A92">
                <w:t xml:space="preserve">, </w:t>
              </w:r>
              <w:r w:rsidR="004B3A92" w:rsidRPr="00ED2CE3">
                <w:rPr>
                  <w:rStyle w:val="Hyperlink"/>
                </w:rPr>
                <w:t>142</w:t>
              </w:r>
            </w:hyperlink>
          </w:p>
        </w:tc>
      </w:tr>
    </w:tbl>
    <w:p w14:paraId="44702DDD" w14:textId="311828A2" w:rsidR="004B3A92" w:rsidRPr="004B3A92" w:rsidRDefault="004B3A92" w:rsidP="004B3A92">
      <w:pPr>
        <w:rPr>
          <w:rFonts w:eastAsia="SimSun"/>
        </w:rPr>
      </w:pPr>
      <w:r w:rsidRPr="004B3A92">
        <w:rPr>
          <w:rFonts w:eastAsia="SimSun"/>
        </w:rPr>
        <w:br w:type="page"/>
      </w:r>
    </w:p>
    <w:p w14:paraId="73AF117E" w14:textId="2CC3604C" w:rsidR="008E7F1E" w:rsidRPr="008E7F1E" w:rsidRDefault="008E7F1E" w:rsidP="00EA730B">
      <w:pPr>
        <w:pStyle w:val="Heading1"/>
        <w:rPr>
          <w:rFonts w:asciiTheme="minorHAnsi" w:hAnsiTheme="minorHAnsi" w:cstheme="minorHAnsi"/>
          <w:szCs w:val="24"/>
        </w:rPr>
      </w:pPr>
      <w:r>
        <w:rPr>
          <w:lang w:val="es-ES"/>
        </w:rPr>
        <w:lastRenderedPageBreak/>
        <w:t>1</w:t>
      </w:r>
      <w:r>
        <w:rPr>
          <w:lang w:val="es-ES"/>
        </w:rPr>
        <w:tab/>
        <w:t>Informe de la Comisión 3 (Control del Presupuesto) (</w:t>
      </w:r>
      <w:r w:rsidRPr="00AA700F">
        <w:rPr>
          <w:lang w:val="es-ES"/>
        </w:rPr>
        <w:t xml:space="preserve">Documento </w:t>
      </w:r>
      <w:hyperlink r:id="rId13" w:history="1">
        <w:r w:rsidR="00A34020" w:rsidRPr="00AA700F">
          <w:rPr>
            <w:rStyle w:val="Hyperlink"/>
            <w:rFonts w:asciiTheme="minorHAnsi" w:hAnsiTheme="minorHAnsi" w:cstheme="minorHAnsi"/>
            <w:bCs/>
            <w:lang w:val="en-CA"/>
          </w:rPr>
          <w:t>165</w:t>
        </w:r>
      </w:hyperlink>
      <w:r w:rsidRPr="00AA700F">
        <w:rPr>
          <w:lang w:val="es-ES"/>
        </w:rPr>
        <w:t>)</w:t>
      </w:r>
      <w:bookmarkStart w:id="20" w:name="lt_pId044"/>
      <w:bookmarkEnd w:id="20"/>
    </w:p>
    <w:p w14:paraId="1E3F120D" w14:textId="4CE1B38B" w:rsidR="008E7F1E" w:rsidRPr="008E7F1E" w:rsidRDefault="008E7F1E" w:rsidP="00E325EE">
      <w:pPr>
        <w:rPr>
          <w:rFonts w:asciiTheme="minorHAnsi" w:hAnsiTheme="minorHAnsi" w:cstheme="minorHAnsi"/>
          <w:szCs w:val="24"/>
        </w:rPr>
      </w:pPr>
      <w:r>
        <w:rPr>
          <w:lang w:val="es-ES"/>
        </w:rPr>
        <w:t>1.1</w:t>
      </w:r>
      <w:r>
        <w:rPr>
          <w:lang w:val="es-ES"/>
        </w:rPr>
        <w:tab/>
        <w:t xml:space="preserve">El </w:t>
      </w:r>
      <w:r>
        <w:rPr>
          <w:b/>
          <w:bCs/>
          <w:lang w:val="es-ES"/>
        </w:rPr>
        <w:t>Presidente de la Comisión 3</w:t>
      </w:r>
      <w:r>
        <w:rPr>
          <w:lang w:val="es-ES"/>
        </w:rPr>
        <w:t>, al presentar el informe de la Comisión contenido en el Documento 165, dice que el Informe se presentará posteriormente a la Reunión del Consejo de</w:t>
      </w:r>
      <w:r w:rsidR="00A34020">
        <w:rPr>
          <w:lang w:val="es-ES"/>
        </w:rPr>
        <w:t> </w:t>
      </w:r>
      <w:r>
        <w:rPr>
          <w:lang w:val="es-ES"/>
        </w:rPr>
        <w:t>2023. Recordando que el presupuesto de la Conferencia aprobado por el Consejo en su reunión de 2021 asciende a 2 610 000 CHF, señala que se prevé que los gastos reales asciendan a</w:t>
      </w:r>
      <w:r w:rsidR="00A34020">
        <w:rPr>
          <w:lang w:val="es-ES"/>
        </w:rPr>
        <w:t> </w:t>
      </w:r>
      <w:r>
        <w:rPr>
          <w:lang w:val="es-ES"/>
        </w:rPr>
        <w:t>2</w:t>
      </w:r>
      <w:r w:rsidR="00A34020">
        <w:rPr>
          <w:lang w:val="es-ES"/>
        </w:rPr>
        <w:t> </w:t>
      </w:r>
      <w:r>
        <w:rPr>
          <w:lang w:val="es-ES"/>
        </w:rPr>
        <w:t>369</w:t>
      </w:r>
      <w:r w:rsidR="00A34020">
        <w:rPr>
          <w:lang w:val="es-ES"/>
        </w:rPr>
        <w:t> </w:t>
      </w:r>
      <w:r>
        <w:rPr>
          <w:lang w:val="es-ES"/>
        </w:rPr>
        <w:t>000 CHF, dejando un saldo de 241 000 CHF. En el Anexo A al informe figura el estado financiero detallado de la Conferencia al 7 de octubre de 2022, incluidos todos los gastos para el bienio 2022-2023 y un análisis detallado de los gastos de la Conferencia. La Comisión expresa su agradecimiento al Gobierno de Rumania por su excelente organización de la Conferencia.</w:t>
      </w:r>
      <w:bookmarkStart w:id="21" w:name="lt_pId046"/>
      <w:bookmarkStart w:id="22" w:name="lt_pId047"/>
      <w:bookmarkStart w:id="23" w:name="lt_pId048"/>
      <w:bookmarkStart w:id="24" w:name="lt_pId049"/>
      <w:bookmarkEnd w:id="21"/>
      <w:bookmarkEnd w:id="22"/>
      <w:bookmarkEnd w:id="23"/>
      <w:bookmarkEnd w:id="24"/>
    </w:p>
    <w:p w14:paraId="74A43930" w14:textId="77777777" w:rsidR="008E7F1E" w:rsidRPr="008E7F1E" w:rsidRDefault="008E7F1E" w:rsidP="00E325EE">
      <w:pPr>
        <w:rPr>
          <w:rFonts w:asciiTheme="minorHAnsi" w:hAnsiTheme="minorHAnsi" w:cstheme="minorHAnsi"/>
          <w:szCs w:val="24"/>
        </w:rPr>
      </w:pPr>
      <w:r>
        <w:rPr>
          <w:lang w:val="es-ES"/>
        </w:rPr>
        <w:t>1.2</w:t>
      </w:r>
      <w:r>
        <w:rPr>
          <w:lang w:val="es-ES"/>
        </w:rPr>
        <w:tab/>
        <w:t xml:space="preserve">El </w:t>
      </w:r>
      <w:r>
        <w:rPr>
          <w:b/>
          <w:bCs/>
          <w:lang w:val="es-ES"/>
        </w:rPr>
        <w:t>delegado de Suiza</w:t>
      </w:r>
      <w:r>
        <w:rPr>
          <w:lang w:val="es-ES"/>
        </w:rPr>
        <w:t xml:space="preserve"> pide información sobre las repercusiones financieras de las decisiones de la Conferencia, según lo estipulado en el mandato que figura en el Documento 103. Esta información se facilita normalmente y será de utilidad para el Plan Financiero de la Unión.</w:t>
      </w:r>
      <w:bookmarkStart w:id="25" w:name="lt_pId051"/>
      <w:bookmarkStart w:id="26" w:name="lt_pId052"/>
      <w:bookmarkEnd w:id="25"/>
      <w:bookmarkEnd w:id="26"/>
    </w:p>
    <w:p w14:paraId="5B32D6AE" w14:textId="77777777" w:rsidR="008E7F1E" w:rsidRPr="008E7F1E" w:rsidRDefault="008E7F1E" w:rsidP="00E325EE">
      <w:pPr>
        <w:rPr>
          <w:rFonts w:asciiTheme="minorHAnsi" w:hAnsiTheme="minorHAnsi" w:cstheme="minorHAnsi"/>
          <w:szCs w:val="24"/>
        </w:rPr>
      </w:pPr>
      <w:r>
        <w:rPr>
          <w:lang w:val="es-ES"/>
        </w:rPr>
        <w:t>1.3</w:t>
      </w:r>
      <w:r>
        <w:rPr>
          <w:lang w:val="es-ES"/>
        </w:rPr>
        <w:tab/>
        <w:t xml:space="preserve">El </w:t>
      </w:r>
      <w:r>
        <w:rPr>
          <w:b/>
          <w:bCs/>
          <w:lang w:val="es-ES"/>
        </w:rPr>
        <w:t>Secretario de la Comisión 6</w:t>
      </w:r>
      <w:r>
        <w:rPr>
          <w:lang w:val="es-ES"/>
        </w:rPr>
        <w:t xml:space="preserve"> responde que la Comisión 6 (Administración y Gestión) es responsable de analizar las repercusiones financieras de las Resoluciones y Decisiones de la Conferencia. Los costos estimados no quedan reflejados en el Informe de la Comisión 3 porque esta y el Grupo de Trabajo de la Plenaria aún no han presentado solicitudes de estimación a la Comisión 6.</w:t>
      </w:r>
      <w:bookmarkStart w:id="27" w:name="lt_pId054"/>
      <w:bookmarkStart w:id="28" w:name="lt_pId055"/>
      <w:bookmarkEnd w:id="27"/>
      <w:bookmarkEnd w:id="28"/>
    </w:p>
    <w:p w14:paraId="4862AEF2" w14:textId="6CC3979E" w:rsidR="008E7F1E" w:rsidRPr="008E7F1E" w:rsidRDefault="008E7F1E" w:rsidP="00E325EE">
      <w:pPr>
        <w:rPr>
          <w:rFonts w:asciiTheme="minorHAnsi" w:hAnsiTheme="minorHAnsi" w:cstheme="minorHAnsi"/>
          <w:szCs w:val="24"/>
        </w:rPr>
      </w:pPr>
      <w:r>
        <w:rPr>
          <w:lang w:val="es-ES"/>
        </w:rPr>
        <w:t>1.4</w:t>
      </w:r>
      <w:r>
        <w:rPr>
          <w:lang w:val="es-ES"/>
        </w:rPr>
        <w:tab/>
        <w:t xml:space="preserve">El </w:t>
      </w:r>
      <w:r>
        <w:rPr>
          <w:b/>
          <w:bCs/>
          <w:lang w:val="es-ES"/>
        </w:rPr>
        <w:t>delegado de la República Islámica del Irán</w:t>
      </w:r>
      <w:r>
        <w:rPr>
          <w:lang w:val="es-ES"/>
        </w:rPr>
        <w:t xml:space="preserve"> manifiesta su satisfacción por el Informe y desea hacer constar en acta su agradecimiento, en particular, por la inestimable contribución del</w:t>
      </w:r>
      <w:r w:rsidR="000226AD">
        <w:rPr>
          <w:lang w:val="es-ES"/>
        </w:rPr>
        <w:t> </w:t>
      </w:r>
      <w:r>
        <w:rPr>
          <w:lang w:val="es-ES"/>
        </w:rPr>
        <w:t>Sr. Alassane Ba, Jefe del Departamento de Gestión de Recursos Financieros y Secretario de la Comisión 6, a los trabajos de la Comisión 3.</w:t>
      </w:r>
      <w:bookmarkStart w:id="29" w:name="lt_pId057"/>
      <w:bookmarkEnd w:id="29"/>
    </w:p>
    <w:p w14:paraId="0CDE5CAC" w14:textId="7BEA17B6" w:rsidR="008E7F1E" w:rsidRPr="008E7F1E" w:rsidRDefault="008E7F1E" w:rsidP="00E325EE">
      <w:pPr>
        <w:rPr>
          <w:rFonts w:asciiTheme="minorHAnsi" w:hAnsiTheme="minorHAnsi" w:cstheme="minorHAnsi"/>
          <w:szCs w:val="24"/>
        </w:rPr>
      </w:pPr>
      <w:r>
        <w:rPr>
          <w:lang w:val="es-ES"/>
        </w:rPr>
        <w:t>1.5</w:t>
      </w:r>
      <w:r>
        <w:rPr>
          <w:lang w:val="es-ES"/>
        </w:rPr>
        <w:tab/>
        <w:t xml:space="preserve">El </w:t>
      </w:r>
      <w:r>
        <w:rPr>
          <w:b/>
          <w:bCs/>
          <w:lang w:val="es-ES"/>
        </w:rPr>
        <w:t>delegado del Canadá</w:t>
      </w:r>
      <w:r>
        <w:rPr>
          <w:lang w:val="es-ES"/>
        </w:rPr>
        <w:t>, refiriéndose al Artículo 34 del Convenio sobre las responsabilidades financieras de las Conferencias, dice que se necesitan mecanismos para velar por que los números</w:t>
      </w:r>
      <w:r w:rsidR="00E325EE">
        <w:rPr>
          <w:lang w:val="es-ES"/>
        </w:rPr>
        <w:t> </w:t>
      </w:r>
      <w:r>
        <w:rPr>
          <w:lang w:val="es-ES"/>
        </w:rPr>
        <w:t>488 y 489 del Convenio se apliquen en la práctica, en particular un mecanismo para evaluar las repercusiones financieras de cualquier Resolución, Decisión o Recomendación adoptada. Este asunto reviste particular importancia, habida cuenta de los trabajos futuros para finalizar el Plan Estratégico y establecer vínculos claros con el Plan Financiero de la Unión que figura en la Decisión</w:t>
      </w:r>
      <w:r w:rsidR="00E325EE">
        <w:rPr>
          <w:lang w:val="es-ES"/>
        </w:rPr>
        <w:t> </w:t>
      </w:r>
      <w:r>
        <w:rPr>
          <w:lang w:val="es-ES"/>
        </w:rPr>
        <w:t>5. La cuestión de cómo articular y aplicar dicho mecanismo podría someterse al Grupo de Trabajo del Consejo sobre Recursos Humanos y Financieros.</w:t>
      </w:r>
      <w:bookmarkStart w:id="30" w:name="lt_pId059"/>
      <w:bookmarkStart w:id="31" w:name="lt_pId060"/>
      <w:bookmarkStart w:id="32" w:name="lt_pId061"/>
      <w:bookmarkEnd w:id="30"/>
      <w:bookmarkEnd w:id="31"/>
      <w:bookmarkEnd w:id="32"/>
    </w:p>
    <w:p w14:paraId="4995F565" w14:textId="08BCB315" w:rsidR="008E7F1E" w:rsidRPr="008E7F1E" w:rsidRDefault="008E7F1E" w:rsidP="00E325EE">
      <w:pPr>
        <w:rPr>
          <w:rFonts w:asciiTheme="minorHAnsi" w:hAnsiTheme="minorHAnsi" w:cstheme="minorHAnsi"/>
          <w:szCs w:val="24"/>
        </w:rPr>
      </w:pPr>
      <w:r>
        <w:rPr>
          <w:lang w:val="es-ES"/>
        </w:rPr>
        <w:t>1.6</w:t>
      </w:r>
      <w:r>
        <w:rPr>
          <w:lang w:val="es-ES"/>
        </w:rPr>
        <w:tab/>
        <w:t xml:space="preserve">Se </w:t>
      </w:r>
      <w:r>
        <w:rPr>
          <w:b/>
          <w:bCs/>
          <w:lang w:val="es-ES"/>
        </w:rPr>
        <w:t>aprueba</w:t>
      </w:r>
      <w:r>
        <w:rPr>
          <w:lang w:val="es-ES"/>
        </w:rPr>
        <w:t xml:space="preserve"> el informe de la Comisión 3 (Control del Presupuesto) (Documento 165)</w:t>
      </w:r>
      <w:r>
        <w:rPr>
          <w:b/>
          <w:bCs/>
          <w:lang w:val="es-ES"/>
        </w:rPr>
        <w:t>.</w:t>
      </w:r>
      <w:bookmarkStart w:id="33" w:name="lt_pId063"/>
      <w:bookmarkEnd w:id="33"/>
    </w:p>
    <w:p w14:paraId="18F40567" w14:textId="49B1E99C" w:rsidR="008E7F1E" w:rsidRPr="008E7F1E" w:rsidRDefault="008E7F1E" w:rsidP="00E325EE">
      <w:pPr>
        <w:pStyle w:val="Heading1"/>
        <w:rPr>
          <w:rFonts w:asciiTheme="minorHAnsi" w:eastAsia="SimSun" w:hAnsiTheme="minorHAnsi" w:cstheme="minorHAnsi"/>
          <w:szCs w:val="24"/>
        </w:rPr>
      </w:pPr>
      <w:r>
        <w:rPr>
          <w:lang w:val="es-ES"/>
        </w:rPr>
        <w:t>2</w:t>
      </w:r>
      <w:r>
        <w:rPr>
          <w:lang w:val="es-ES"/>
        </w:rPr>
        <w:tab/>
        <w:t xml:space="preserve">Decimosexta serie de textos que la Comisión de Redacción somete en primera lectura (B16) (Documento </w:t>
      </w:r>
      <w:hyperlink r:id="rId14" w:history="1">
        <w:r w:rsidR="00D92A66" w:rsidRPr="00D92A66">
          <w:rPr>
            <w:rStyle w:val="Hyperlink"/>
            <w:bCs/>
            <w:lang w:val="en-CA"/>
          </w:rPr>
          <w:t>167</w:t>
        </w:r>
      </w:hyperlink>
      <w:bookmarkStart w:id="34" w:name="lt_pId065"/>
      <w:bookmarkEnd w:id="34"/>
      <w:r>
        <w:rPr>
          <w:lang w:val="es-ES"/>
        </w:rPr>
        <w:t>)</w:t>
      </w:r>
    </w:p>
    <w:p w14:paraId="15EC3365" w14:textId="3E61056D" w:rsidR="003A7FC3" w:rsidRPr="00E325EE" w:rsidRDefault="008E7F1E" w:rsidP="00E325EE">
      <w:pPr>
        <w:rPr>
          <w:rFonts w:asciiTheme="minorHAnsi" w:eastAsia="SimSun" w:hAnsiTheme="minorHAnsi" w:cstheme="minorHAnsi"/>
          <w:b/>
          <w:bCs/>
          <w:szCs w:val="24"/>
        </w:rPr>
      </w:pPr>
      <w:bookmarkStart w:id="35" w:name="lt_pId066"/>
      <w:r w:rsidRPr="00E325EE">
        <w:rPr>
          <w:b/>
          <w:bCs/>
          <w:lang w:val="es-ES"/>
        </w:rPr>
        <w:t>Proyecto de Resolución 25 (Rev. Bucarest, 2022) – Fortalecimiento de la presencia regional de la</w:t>
      </w:r>
      <w:r w:rsidR="00EA730B" w:rsidRPr="00E325EE">
        <w:rPr>
          <w:b/>
          <w:bCs/>
          <w:lang w:val="es-ES"/>
        </w:rPr>
        <w:t> </w:t>
      </w:r>
      <w:r w:rsidRPr="00E325EE">
        <w:rPr>
          <w:b/>
          <w:bCs/>
          <w:lang w:val="es-ES"/>
        </w:rPr>
        <w:t>UIT</w:t>
      </w:r>
    </w:p>
    <w:p w14:paraId="1182FDE2" w14:textId="0B0AD493" w:rsidR="003A7FC3" w:rsidRPr="00E325EE" w:rsidRDefault="003A7FC3" w:rsidP="00E325EE">
      <w:pPr>
        <w:rPr>
          <w:b/>
          <w:bCs/>
          <w:lang w:val="es-ES"/>
        </w:rPr>
      </w:pPr>
      <w:bookmarkStart w:id="36" w:name="lt_pId067"/>
      <w:bookmarkEnd w:id="35"/>
      <w:r>
        <w:rPr>
          <w:b/>
          <w:bCs/>
          <w:lang w:val="es-ES"/>
        </w:rPr>
        <w:t>Proyecto de Resolución 148 (Rev. Bucarest, 2022) – Tareas y funciones del Vicesecretario General</w:t>
      </w:r>
    </w:p>
    <w:p w14:paraId="1D718337" w14:textId="6764B761" w:rsidR="003A7FC3" w:rsidRPr="00E325EE" w:rsidRDefault="003A7FC3" w:rsidP="00E325EE">
      <w:pPr>
        <w:rPr>
          <w:b/>
          <w:bCs/>
          <w:lang w:val="es-ES"/>
        </w:rPr>
      </w:pPr>
      <w:r>
        <w:rPr>
          <w:b/>
          <w:bCs/>
          <w:lang w:val="es-ES"/>
        </w:rPr>
        <w:t>Proyecto de Resolución 212 (Rev. Bucarest, 2022) – Futuro edificio de la Sede de la Unión</w:t>
      </w:r>
    </w:p>
    <w:bookmarkEnd w:id="36"/>
    <w:p w14:paraId="1780587A" w14:textId="77777777" w:rsidR="008E7F1E" w:rsidRPr="008E7F1E" w:rsidRDefault="008E7F1E" w:rsidP="00E325EE">
      <w:pPr>
        <w:rPr>
          <w:rFonts w:asciiTheme="minorHAnsi" w:eastAsia="SimSun" w:hAnsiTheme="minorHAnsi" w:cstheme="minorHAnsi"/>
          <w:szCs w:val="24"/>
        </w:rPr>
      </w:pPr>
      <w:r>
        <w:rPr>
          <w:lang w:val="es-ES"/>
        </w:rPr>
        <w:t>2.1</w:t>
      </w:r>
      <w:r>
        <w:rPr>
          <w:lang w:val="es-ES"/>
        </w:rPr>
        <w:tab/>
      </w:r>
      <w:r w:rsidRPr="00E325EE">
        <w:rPr>
          <w:b/>
          <w:bCs/>
          <w:lang w:val="es-ES"/>
        </w:rPr>
        <w:t>Se adopta</w:t>
      </w:r>
      <w:r>
        <w:rPr>
          <w:lang w:val="es-ES"/>
        </w:rPr>
        <w:t>.</w:t>
      </w:r>
      <w:bookmarkStart w:id="37" w:name="lt_pId070"/>
      <w:bookmarkEnd w:id="37"/>
    </w:p>
    <w:p w14:paraId="31CEFD17" w14:textId="250BF9D5" w:rsidR="008E7F1E" w:rsidRPr="008E7F1E" w:rsidRDefault="008E7F1E" w:rsidP="00E325EE">
      <w:pPr>
        <w:rPr>
          <w:rFonts w:asciiTheme="minorHAnsi" w:eastAsia="SimSun" w:hAnsiTheme="minorHAnsi" w:cstheme="minorHAnsi"/>
          <w:szCs w:val="24"/>
        </w:rPr>
      </w:pPr>
      <w:r>
        <w:rPr>
          <w:lang w:val="es-ES"/>
        </w:rPr>
        <w:t>2.2</w:t>
      </w:r>
      <w:r>
        <w:rPr>
          <w:lang w:val="es-ES"/>
        </w:rPr>
        <w:tab/>
        <w:t xml:space="preserve">Se </w:t>
      </w:r>
      <w:r>
        <w:rPr>
          <w:b/>
          <w:bCs/>
          <w:lang w:val="es-ES"/>
        </w:rPr>
        <w:t>aprueba</w:t>
      </w:r>
      <w:r>
        <w:rPr>
          <w:lang w:val="es-ES"/>
        </w:rPr>
        <w:t xml:space="preserve"> </w:t>
      </w:r>
      <w:r w:rsidR="00B76AE6">
        <w:rPr>
          <w:lang w:val="es-ES"/>
        </w:rPr>
        <w:t xml:space="preserve">en primera lectura </w:t>
      </w:r>
      <w:r>
        <w:rPr>
          <w:lang w:val="es-ES"/>
        </w:rPr>
        <w:t>la decimosexta serie de textos sometida por la Comisión de Redacción (B16) (Documento 167).</w:t>
      </w:r>
      <w:bookmarkStart w:id="38" w:name="lt_pId072"/>
      <w:bookmarkStart w:id="39" w:name="_Hlk118168870"/>
      <w:bookmarkEnd w:id="38"/>
      <w:bookmarkEnd w:id="39"/>
    </w:p>
    <w:p w14:paraId="6CD01ABE" w14:textId="0603F36B" w:rsidR="008E7F1E" w:rsidRPr="008E7F1E" w:rsidRDefault="008E7F1E" w:rsidP="00E325EE">
      <w:pPr>
        <w:pStyle w:val="Heading1"/>
        <w:rPr>
          <w:rFonts w:asciiTheme="minorHAnsi" w:eastAsia="SimSun" w:hAnsiTheme="minorHAnsi" w:cstheme="minorHAnsi"/>
          <w:szCs w:val="24"/>
        </w:rPr>
      </w:pPr>
      <w:r>
        <w:rPr>
          <w:lang w:val="es-ES"/>
        </w:rPr>
        <w:lastRenderedPageBreak/>
        <w:t>3</w:t>
      </w:r>
      <w:r>
        <w:rPr>
          <w:lang w:val="es-ES"/>
        </w:rPr>
        <w:tab/>
        <w:t xml:space="preserve">Decimosexta serie de textos que la Comisión de Redacción somete en segunda lectura (Documento </w:t>
      </w:r>
      <w:hyperlink r:id="rId15" w:history="1">
        <w:r w:rsidR="00EA6E0D" w:rsidRPr="008E7F1E">
          <w:rPr>
            <w:rFonts w:asciiTheme="minorHAnsi" w:eastAsia="SimSun" w:hAnsiTheme="minorHAnsi" w:cstheme="minorHAnsi"/>
            <w:color w:val="0000FF"/>
            <w:szCs w:val="24"/>
            <w:u w:val="single"/>
          </w:rPr>
          <w:t>167</w:t>
        </w:r>
      </w:hyperlink>
      <w:r>
        <w:rPr>
          <w:lang w:val="es-ES"/>
        </w:rPr>
        <w:t>)</w:t>
      </w:r>
      <w:bookmarkStart w:id="40" w:name="lt_pId074"/>
      <w:bookmarkEnd w:id="40"/>
    </w:p>
    <w:p w14:paraId="069EDE7E" w14:textId="27DB810D" w:rsidR="008E7F1E" w:rsidRPr="008E7F1E" w:rsidRDefault="008E7F1E" w:rsidP="00E325EE">
      <w:pPr>
        <w:rPr>
          <w:rFonts w:asciiTheme="minorHAnsi" w:eastAsia="SimSun" w:hAnsiTheme="minorHAnsi" w:cstheme="minorHAnsi"/>
          <w:szCs w:val="24"/>
        </w:rPr>
      </w:pPr>
      <w:r>
        <w:rPr>
          <w:lang w:val="es-ES"/>
        </w:rPr>
        <w:t>3.1</w:t>
      </w:r>
      <w:r>
        <w:rPr>
          <w:lang w:val="es-ES"/>
        </w:rPr>
        <w:tab/>
        <w:t xml:space="preserve">Se </w:t>
      </w:r>
      <w:r>
        <w:rPr>
          <w:b/>
          <w:bCs/>
          <w:lang w:val="es-ES"/>
        </w:rPr>
        <w:t>aprueba</w:t>
      </w:r>
      <w:r>
        <w:rPr>
          <w:lang w:val="es-ES"/>
        </w:rPr>
        <w:t xml:space="preserve"> en segunda lectura la decimosexta serie de textos sometidos por la Comisión de Redacción (Documento 167).</w:t>
      </w:r>
      <w:bookmarkStart w:id="41" w:name="lt_pId076"/>
      <w:bookmarkStart w:id="42" w:name="_Hlk118169355"/>
      <w:bookmarkEnd w:id="41"/>
      <w:bookmarkEnd w:id="42"/>
    </w:p>
    <w:p w14:paraId="17CA37CE" w14:textId="09B4CC6F" w:rsidR="008E7F1E" w:rsidRPr="008E7F1E" w:rsidRDefault="008E7F1E" w:rsidP="00E325EE">
      <w:pPr>
        <w:pStyle w:val="Heading1"/>
        <w:rPr>
          <w:rFonts w:asciiTheme="minorHAnsi" w:eastAsia="SimSun" w:hAnsiTheme="minorHAnsi" w:cstheme="minorHAnsi"/>
          <w:szCs w:val="24"/>
        </w:rPr>
      </w:pPr>
      <w:r>
        <w:rPr>
          <w:lang w:val="es-ES"/>
        </w:rPr>
        <w:t>4</w:t>
      </w:r>
      <w:r>
        <w:rPr>
          <w:lang w:val="es-ES"/>
        </w:rPr>
        <w:tab/>
        <w:t xml:space="preserve">Decimoséptima serie de textos que la Comisión de Redacción somete en primera lectura (B17) (Documento </w:t>
      </w:r>
      <w:hyperlink r:id="rId16" w:history="1">
        <w:r w:rsidR="00EA6E0D" w:rsidRPr="00EA6E0D">
          <w:rPr>
            <w:rStyle w:val="Hyperlink"/>
            <w:bCs/>
            <w:lang w:val="en-CA"/>
          </w:rPr>
          <w:t>173</w:t>
        </w:r>
      </w:hyperlink>
      <w:r>
        <w:rPr>
          <w:lang w:val="es-ES"/>
        </w:rPr>
        <w:t>)</w:t>
      </w:r>
      <w:bookmarkStart w:id="43" w:name="lt_pId078"/>
      <w:bookmarkEnd w:id="43"/>
    </w:p>
    <w:p w14:paraId="4F43D2EB" w14:textId="69B11F4F" w:rsidR="00030F9E" w:rsidRPr="00E325EE" w:rsidRDefault="00030F9E" w:rsidP="00E325EE">
      <w:pPr>
        <w:rPr>
          <w:b/>
          <w:bCs/>
          <w:lang w:val="es-ES"/>
        </w:rPr>
      </w:pPr>
      <w:bookmarkStart w:id="44" w:name="lt_pId079"/>
      <w:r w:rsidRPr="00E325EE">
        <w:rPr>
          <w:b/>
          <w:bCs/>
          <w:lang w:val="es-ES"/>
        </w:rPr>
        <w:t>Proyecto de Resolución 182 (Rev. Bucarest, 2022) – El papel de las telecomunicaciones/tecnologías de la información y la comunicación en el cambio climático y la protección del medio ambiente</w:t>
      </w:r>
    </w:p>
    <w:p w14:paraId="797DB954" w14:textId="2AF2A25F" w:rsidR="00030F9E" w:rsidRPr="009F69D9" w:rsidRDefault="009F69D9" w:rsidP="00E325EE">
      <w:pPr>
        <w:rPr>
          <w:rFonts w:asciiTheme="minorHAnsi" w:eastAsia="SimSun" w:hAnsiTheme="minorHAnsi" w:cstheme="minorHAnsi"/>
        </w:rPr>
      </w:pPr>
      <w:bookmarkStart w:id="45" w:name="lt_pId080"/>
      <w:bookmarkEnd w:id="44"/>
      <w:r>
        <w:rPr>
          <w:lang w:val="es-ES"/>
        </w:rPr>
        <w:t>Proyecto de Resolución COM5/1 (Bucarest, 2022) – Utilización de las asignaciones de frecuencias en las instalaciones radioeléctricas militares de los servicios de defensa nacional</w:t>
      </w:r>
    </w:p>
    <w:bookmarkEnd w:id="45"/>
    <w:p w14:paraId="415EBB20" w14:textId="77777777" w:rsidR="008E7F1E" w:rsidRPr="008E7F1E" w:rsidRDefault="008E7F1E" w:rsidP="00E325EE">
      <w:pPr>
        <w:rPr>
          <w:rFonts w:asciiTheme="minorHAnsi" w:hAnsiTheme="minorHAnsi" w:cstheme="minorHAnsi"/>
          <w:szCs w:val="24"/>
        </w:rPr>
      </w:pPr>
      <w:r>
        <w:rPr>
          <w:lang w:val="es-ES"/>
        </w:rPr>
        <w:t>4.1</w:t>
      </w:r>
      <w:r>
        <w:rPr>
          <w:lang w:val="es-ES"/>
        </w:rPr>
        <w:tab/>
      </w:r>
      <w:r w:rsidRPr="00E325EE">
        <w:rPr>
          <w:b/>
          <w:bCs/>
          <w:lang w:val="es-ES"/>
        </w:rPr>
        <w:t>Se adopta</w:t>
      </w:r>
      <w:r>
        <w:rPr>
          <w:lang w:val="es-ES"/>
        </w:rPr>
        <w:t>.</w:t>
      </w:r>
      <w:bookmarkStart w:id="46" w:name="lt_pId082"/>
      <w:bookmarkEnd w:id="46"/>
    </w:p>
    <w:p w14:paraId="6A3D894C" w14:textId="6B57DEFF" w:rsidR="008E7F1E" w:rsidRPr="008E7F1E" w:rsidRDefault="008E7F1E" w:rsidP="00E325EE">
      <w:pPr>
        <w:rPr>
          <w:rFonts w:asciiTheme="minorHAnsi" w:hAnsiTheme="minorHAnsi" w:cstheme="minorHAnsi"/>
          <w:szCs w:val="24"/>
        </w:rPr>
      </w:pPr>
      <w:r>
        <w:rPr>
          <w:lang w:val="es-ES"/>
        </w:rPr>
        <w:t>4.2</w:t>
      </w:r>
      <w:r>
        <w:rPr>
          <w:lang w:val="es-ES"/>
        </w:rPr>
        <w:tab/>
        <w:t xml:space="preserve">El </w:t>
      </w:r>
      <w:r>
        <w:rPr>
          <w:b/>
          <w:bCs/>
          <w:lang w:val="es-ES"/>
        </w:rPr>
        <w:t>delegado de la República Islámica del Irán</w:t>
      </w:r>
      <w:r>
        <w:rPr>
          <w:lang w:val="es-ES"/>
        </w:rPr>
        <w:t xml:space="preserve"> dice que, desde que se redactase por primera vez en 1903 el Artículo 48 de la Constitución sobre las instalaciones de defensa nacional, su carácter y objetivo se han mantenido sin cambios. A pesar de ello, el Reglamento de Radiocomunicaciones ha cambiado considerablemente durante ese tiempo y felicita a la Conferencia por haber adoptado por consenso una Resolución sobre la utilización de asignaciones de frecuencias por instalaciones radioeléctricas militares para esos servicios.</w:t>
      </w:r>
      <w:bookmarkStart w:id="47" w:name="lt_pId084"/>
      <w:bookmarkStart w:id="48" w:name="lt_pId085"/>
      <w:bookmarkEnd w:id="47"/>
      <w:bookmarkEnd w:id="48"/>
    </w:p>
    <w:p w14:paraId="466D014F" w14:textId="1F177977" w:rsidR="009F69D9" w:rsidRPr="00E325EE" w:rsidRDefault="009F69D9" w:rsidP="00E325EE">
      <w:pPr>
        <w:rPr>
          <w:b/>
          <w:bCs/>
          <w:lang w:val="es-ES"/>
        </w:rPr>
      </w:pPr>
      <w:bookmarkStart w:id="49" w:name="lt_pId086"/>
      <w:r w:rsidRPr="00E325EE">
        <w:rPr>
          <w:b/>
          <w:bCs/>
          <w:lang w:val="es-ES"/>
        </w:rPr>
        <w:t>Proyecto de Resolución COM5/2 (Bucarest, 2022) – Gestión de la continuidad de las actividades de la UIT para 2023-2026</w:t>
      </w:r>
    </w:p>
    <w:bookmarkEnd w:id="49"/>
    <w:p w14:paraId="1F97579A" w14:textId="77777777" w:rsidR="008E7F1E" w:rsidRPr="008E7F1E" w:rsidRDefault="008E7F1E" w:rsidP="00E325EE">
      <w:pPr>
        <w:rPr>
          <w:rFonts w:asciiTheme="minorHAnsi" w:hAnsiTheme="minorHAnsi" w:cstheme="minorHAnsi"/>
          <w:szCs w:val="24"/>
        </w:rPr>
      </w:pPr>
      <w:r>
        <w:rPr>
          <w:lang w:val="es-ES"/>
        </w:rPr>
        <w:t>4.3</w:t>
      </w:r>
      <w:r>
        <w:rPr>
          <w:lang w:val="es-ES"/>
        </w:rPr>
        <w:tab/>
        <w:t>Se adopta.</w:t>
      </w:r>
      <w:bookmarkStart w:id="50" w:name="lt_pId088"/>
      <w:bookmarkEnd w:id="50"/>
    </w:p>
    <w:p w14:paraId="0C086BB7" w14:textId="3075A195" w:rsidR="008E7F1E" w:rsidRPr="008E7F1E" w:rsidRDefault="008E7F1E" w:rsidP="00E325EE">
      <w:pPr>
        <w:rPr>
          <w:rFonts w:asciiTheme="minorHAnsi" w:eastAsia="SimSun" w:hAnsiTheme="minorHAnsi" w:cstheme="minorHAnsi"/>
          <w:szCs w:val="24"/>
        </w:rPr>
      </w:pPr>
      <w:r>
        <w:rPr>
          <w:lang w:val="es-ES"/>
        </w:rPr>
        <w:t>4.4</w:t>
      </w:r>
      <w:r>
        <w:rPr>
          <w:lang w:val="es-ES"/>
        </w:rPr>
        <w:tab/>
        <w:t xml:space="preserve">Se </w:t>
      </w:r>
      <w:r>
        <w:rPr>
          <w:b/>
          <w:bCs/>
          <w:lang w:val="es-ES"/>
        </w:rPr>
        <w:t>aprueba</w:t>
      </w:r>
      <w:r>
        <w:rPr>
          <w:lang w:val="es-ES"/>
        </w:rPr>
        <w:t xml:space="preserve"> en primera lectura la decimoséptima serie de textos sometidos por la Comisión de Redacción (B17) (Documento 173).</w:t>
      </w:r>
      <w:bookmarkStart w:id="51" w:name="lt_pId090"/>
      <w:bookmarkEnd w:id="51"/>
    </w:p>
    <w:p w14:paraId="3A190ADF" w14:textId="6856A0ED" w:rsidR="008E7F1E" w:rsidRPr="008E7F1E" w:rsidRDefault="008E7F1E" w:rsidP="00A52E51">
      <w:pPr>
        <w:pStyle w:val="Heading1"/>
        <w:rPr>
          <w:rFonts w:asciiTheme="minorHAnsi" w:eastAsia="SimSun" w:hAnsiTheme="minorHAnsi" w:cstheme="minorHAnsi"/>
          <w:szCs w:val="24"/>
        </w:rPr>
      </w:pPr>
      <w:r>
        <w:rPr>
          <w:lang w:val="es-ES"/>
        </w:rPr>
        <w:t>5</w:t>
      </w:r>
      <w:r>
        <w:rPr>
          <w:lang w:val="es-ES"/>
        </w:rPr>
        <w:tab/>
        <w:t xml:space="preserve">Decimoséptima serie de textos que la Comisión de Redacción somete en segunda lectura (Documento </w:t>
      </w:r>
      <w:hyperlink r:id="rId17" w:history="1">
        <w:r w:rsidR="00EA6E0D" w:rsidRPr="00EA6E0D">
          <w:rPr>
            <w:rStyle w:val="Hyperlink"/>
            <w:bCs/>
          </w:rPr>
          <w:t>173</w:t>
        </w:r>
      </w:hyperlink>
      <w:r>
        <w:rPr>
          <w:lang w:val="es-ES"/>
        </w:rPr>
        <w:t>)</w:t>
      </w:r>
      <w:bookmarkStart w:id="52" w:name="lt_pId092"/>
      <w:bookmarkEnd w:id="52"/>
    </w:p>
    <w:p w14:paraId="6DC2DA1C" w14:textId="37E4A726" w:rsidR="008E7F1E" w:rsidRPr="008E7F1E" w:rsidRDefault="008E7F1E" w:rsidP="00E325EE">
      <w:pPr>
        <w:rPr>
          <w:rFonts w:asciiTheme="minorHAnsi" w:eastAsia="SimSun" w:hAnsiTheme="minorHAnsi" w:cstheme="minorHAnsi"/>
          <w:szCs w:val="24"/>
        </w:rPr>
      </w:pPr>
      <w:r>
        <w:rPr>
          <w:lang w:val="es-ES"/>
        </w:rPr>
        <w:t>5.1</w:t>
      </w:r>
      <w:r>
        <w:rPr>
          <w:lang w:val="es-ES"/>
        </w:rPr>
        <w:tab/>
        <w:t xml:space="preserve">Se </w:t>
      </w:r>
      <w:r>
        <w:rPr>
          <w:b/>
          <w:bCs/>
          <w:lang w:val="es-ES"/>
        </w:rPr>
        <w:t>aprueba</w:t>
      </w:r>
      <w:r>
        <w:rPr>
          <w:lang w:val="es-ES"/>
        </w:rPr>
        <w:t xml:space="preserve"> en segunda lectura la decimoséptima serie de textos sometidos por la Comisión de Redacción (Documento </w:t>
      </w:r>
      <w:r w:rsidR="00596A45" w:rsidRPr="008E7F1E">
        <w:rPr>
          <w:rFonts w:asciiTheme="minorHAnsi" w:eastAsia="SimSun" w:hAnsiTheme="minorHAnsi" w:cstheme="minorHAnsi"/>
          <w:szCs w:val="24"/>
        </w:rPr>
        <w:t>173</w:t>
      </w:r>
      <w:r>
        <w:rPr>
          <w:lang w:val="es-ES"/>
        </w:rPr>
        <w:t>).</w:t>
      </w:r>
      <w:bookmarkStart w:id="53" w:name="lt_pId094"/>
      <w:bookmarkEnd w:id="53"/>
    </w:p>
    <w:p w14:paraId="673660DA" w14:textId="1E4FD11A" w:rsidR="008E7F1E" w:rsidRPr="008E7F1E" w:rsidRDefault="008E7F1E" w:rsidP="00A52E51">
      <w:pPr>
        <w:pStyle w:val="Heading1"/>
        <w:rPr>
          <w:rFonts w:asciiTheme="minorHAnsi" w:eastAsia="SimSun" w:hAnsiTheme="minorHAnsi" w:cstheme="minorHAnsi"/>
          <w:szCs w:val="24"/>
        </w:rPr>
      </w:pPr>
      <w:r>
        <w:rPr>
          <w:lang w:val="es-ES"/>
        </w:rPr>
        <w:t>6</w:t>
      </w:r>
      <w:r>
        <w:rPr>
          <w:lang w:val="es-ES"/>
        </w:rPr>
        <w:tab/>
        <w:t xml:space="preserve">Decimoctava serie de textos que la Comisión de Redacción somete en primera lectura (B18) (Documento </w:t>
      </w:r>
      <w:hyperlink r:id="rId18" w:history="1">
        <w:r w:rsidR="00596A45" w:rsidRPr="00596A45">
          <w:rPr>
            <w:rStyle w:val="Hyperlink"/>
            <w:bCs/>
          </w:rPr>
          <w:t>174</w:t>
        </w:r>
      </w:hyperlink>
      <w:r>
        <w:rPr>
          <w:lang w:val="es-ES"/>
        </w:rPr>
        <w:t>)</w:t>
      </w:r>
      <w:bookmarkStart w:id="54" w:name="lt_pId096"/>
      <w:bookmarkEnd w:id="54"/>
    </w:p>
    <w:p w14:paraId="19725766" w14:textId="55137EA9" w:rsidR="009F69D9" w:rsidRPr="00E325EE" w:rsidRDefault="009F69D9" w:rsidP="00E325EE">
      <w:pPr>
        <w:rPr>
          <w:b/>
          <w:bCs/>
          <w:lang w:val="es-ES"/>
        </w:rPr>
      </w:pPr>
      <w:bookmarkStart w:id="55" w:name="_Toc406754146"/>
      <w:bookmarkStart w:id="56" w:name="lt_pId097"/>
      <w:r>
        <w:rPr>
          <w:b/>
          <w:bCs/>
          <w:lang w:val="es-ES"/>
        </w:rPr>
        <w:t>Proyecto de Resolución 64 (Rev. Bucarest, 2022) – Acceso no discriminatorio a los medios, servicios y aplicaciones de telecomunicaciones/tecnologías de la información y la comunicación, incluidas la investigación aplicada, la transferencia de tecnología y las reuniones por medios electrónicos, en condiciones mutuamente acordadas</w:t>
      </w:r>
      <w:bookmarkStart w:id="57" w:name="_Toc406754147"/>
      <w:bookmarkEnd w:id="55"/>
      <w:bookmarkEnd w:id="57"/>
    </w:p>
    <w:bookmarkEnd w:id="56"/>
    <w:p w14:paraId="0C56CB64" w14:textId="77777777" w:rsidR="008E7F1E" w:rsidRPr="008E7F1E" w:rsidRDefault="008E7F1E" w:rsidP="006C2B20">
      <w:pPr>
        <w:keepNext/>
        <w:rPr>
          <w:rFonts w:asciiTheme="minorHAnsi" w:eastAsia="SimSun" w:hAnsiTheme="minorHAnsi" w:cstheme="minorHAnsi"/>
          <w:szCs w:val="24"/>
        </w:rPr>
      </w:pPr>
      <w:r>
        <w:rPr>
          <w:lang w:val="es-ES"/>
        </w:rPr>
        <w:lastRenderedPageBreak/>
        <w:t>6.1</w:t>
      </w:r>
      <w:r>
        <w:rPr>
          <w:lang w:val="es-ES"/>
        </w:rPr>
        <w:tab/>
      </w:r>
      <w:r w:rsidRPr="00E325EE">
        <w:rPr>
          <w:b/>
          <w:bCs/>
          <w:lang w:val="es-ES"/>
        </w:rPr>
        <w:t>Se adopta</w:t>
      </w:r>
      <w:r>
        <w:rPr>
          <w:lang w:val="es-ES"/>
        </w:rPr>
        <w:t>.</w:t>
      </w:r>
      <w:bookmarkStart w:id="58" w:name="lt_pId099"/>
      <w:bookmarkEnd w:id="58"/>
    </w:p>
    <w:p w14:paraId="01F3C997" w14:textId="269C7BB7" w:rsidR="009F69D9" w:rsidRPr="00E325EE" w:rsidRDefault="009F69D9" w:rsidP="00E325EE">
      <w:pPr>
        <w:rPr>
          <w:b/>
          <w:bCs/>
          <w:lang w:val="es-ES"/>
        </w:rPr>
      </w:pPr>
      <w:bookmarkStart w:id="59" w:name="lt_pId100"/>
      <w:r>
        <w:rPr>
          <w:b/>
          <w:bCs/>
          <w:lang w:val="es-ES"/>
        </w:rPr>
        <w:t>Proyecto de Resolución 131 (Rev.</w:t>
      </w:r>
      <w:r w:rsidRPr="00E325EE">
        <w:rPr>
          <w:b/>
          <w:bCs/>
          <w:lang w:val="es-ES"/>
        </w:rPr>
        <w:t xml:space="preserve"> </w:t>
      </w:r>
      <w:r>
        <w:rPr>
          <w:b/>
          <w:bCs/>
          <w:lang w:val="es-ES"/>
        </w:rPr>
        <w:t>Bucarest, 2022) – Medición de las tecnologías de la información y la comunicación para la construcción de una sociedad de la información integradora e inclusiva</w:t>
      </w:r>
    </w:p>
    <w:bookmarkEnd w:id="59"/>
    <w:p w14:paraId="4A9756BB" w14:textId="77777777" w:rsidR="008E7F1E" w:rsidRPr="008E7F1E" w:rsidRDefault="008E7F1E" w:rsidP="00E325EE">
      <w:pPr>
        <w:rPr>
          <w:rFonts w:asciiTheme="minorHAnsi" w:hAnsiTheme="minorHAnsi" w:cstheme="minorHAnsi"/>
          <w:szCs w:val="24"/>
        </w:rPr>
      </w:pPr>
      <w:r>
        <w:rPr>
          <w:lang w:val="es-ES"/>
        </w:rPr>
        <w:t>6.2</w:t>
      </w:r>
      <w:r>
        <w:rPr>
          <w:lang w:val="es-ES"/>
        </w:rPr>
        <w:tab/>
        <w:t xml:space="preserve">El </w:t>
      </w:r>
      <w:r>
        <w:rPr>
          <w:b/>
          <w:bCs/>
          <w:lang w:val="es-ES"/>
        </w:rPr>
        <w:t>Presidente de la Comisión de Redacción</w:t>
      </w:r>
      <w:r>
        <w:rPr>
          <w:lang w:val="es-ES"/>
        </w:rPr>
        <w:t xml:space="preserve"> señala a la atención el </w:t>
      </w:r>
      <w:r>
        <w:rPr>
          <w:i/>
          <w:iCs/>
          <w:lang w:val="es-ES"/>
        </w:rPr>
        <w:t>recordando b)</w:t>
      </w:r>
      <w:r>
        <w:rPr>
          <w:lang w:val="es-ES"/>
        </w:rPr>
        <w:t xml:space="preserve"> y dice que el proyecto de Resolución 131 (Rev. Bucarest, 2022) contiene una referencia detallada a la redacción de la Resolución 71, cuya adopción está pendiente, y que el texto pertinente se ha puesto entre corchetes. Por consiguiente, es posible que la reunión desee o bien devolver el proyecto de Resolución 131 al Grupo de Trabajo de la Plenaria para que introduzca las modificaciones correspondientes en el texto entre corchetes una vez que se haya adoptado la Resolución 71 o bien suprimir el texto entre corchetes.</w:t>
      </w:r>
      <w:bookmarkStart w:id="60" w:name="lt_pId102"/>
      <w:bookmarkStart w:id="61" w:name="lt_pId103"/>
      <w:bookmarkEnd w:id="60"/>
      <w:bookmarkEnd w:id="61"/>
    </w:p>
    <w:p w14:paraId="2AE71947" w14:textId="77777777" w:rsidR="008E7F1E" w:rsidRPr="008E7F1E" w:rsidRDefault="008E7F1E" w:rsidP="00E325EE">
      <w:pPr>
        <w:rPr>
          <w:rFonts w:asciiTheme="minorHAnsi" w:hAnsiTheme="minorHAnsi" w:cstheme="minorHAnsi"/>
          <w:szCs w:val="24"/>
        </w:rPr>
      </w:pPr>
      <w:r>
        <w:rPr>
          <w:lang w:val="es-ES"/>
        </w:rPr>
        <w:t>6.3</w:t>
      </w:r>
      <w:r>
        <w:rPr>
          <w:lang w:val="es-ES"/>
        </w:rPr>
        <w:tab/>
        <w:t xml:space="preserve">Tras un debate en el que participaron los </w:t>
      </w:r>
      <w:r>
        <w:rPr>
          <w:b/>
          <w:bCs/>
          <w:lang w:val="es-ES"/>
        </w:rPr>
        <w:t>delegados de la República Islámica del Irán, Brasil, Jordania,</w:t>
      </w:r>
      <w:r>
        <w:rPr>
          <w:lang w:val="es-ES"/>
        </w:rPr>
        <w:t xml:space="preserve"> la </w:t>
      </w:r>
      <w:r>
        <w:rPr>
          <w:b/>
          <w:bCs/>
          <w:lang w:val="es-ES"/>
        </w:rPr>
        <w:t xml:space="preserve">Federación de Rusia </w:t>
      </w:r>
      <w:r>
        <w:rPr>
          <w:lang w:val="es-ES"/>
        </w:rPr>
        <w:t xml:space="preserve">y el </w:t>
      </w:r>
      <w:r>
        <w:rPr>
          <w:b/>
          <w:bCs/>
          <w:lang w:val="es-ES"/>
        </w:rPr>
        <w:t>Reino Unido</w:t>
      </w:r>
      <w:r>
        <w:rPr>
          <w:lang w:val="es-ES"/>
        </w:rPr>
        <w:t>, el Presidente propone que la adopción del proyecto de Resolución 131 (Rev. Bucarest, 2022) se aplace hasta que se adopte la Resolución 71. No hay motivo para devolver el texto al Grupo de Trabajo de la Plenaria; la Comisión de Redacción podrá introducir las modificaciones necesarias en el texto entre corchetes.</w:t>
      </w:r>
      <w:bookmarkStart w:id="62" w:name="lt_pId105"/>
      <w:bookmarkStart w:id="63" w:name="lt_pId106"/>
      <w:bookmarkStart w:id="64" w:name="lt_pId107"/>
      <w:bookmarkEnd w:id="62"/>
      <w:bookmarkEnd w:id="63"/>
      <w:bookmarkEnd w:id="64"/>
    </w:p>
    <w:p w14:paraId="7EC18E5C" w14:textId="70AF2571" w:rsidR="008E7F1E" w:rsidRPr="008E7F1E" w:rsidRDefault="008E7F1E" w:rsidP="00E325EE">
      <w:r>
        <w:rPr>
          <w:lang w:val="es-ES"/>
        </w:rPr>
        <w:t>6.4</w:t>
      </w:r>
      <w:r>
        <w:rPr>
          <w:lang w:val="es-ES"/>
        </w:rPr>
        <w:tab/>
        <w:t xml:space="preserve">Así se </w:t>
      </w:r>
      <w:r>
        <w:rPr>
          <w:b/>
          <w:bCs/>
          <w:lang w:val="es-ES"/>
        </w:rPr>
        <w:t>acuerda</w:t>
      </w:r>
      <w:r>
        <w:rPr>
          <w:lang w:val="es-ES"/>
        </w:rPr>
        <w:t>.</w:t>
      </w:r>
      <w:bookmarkStart w:id="65" w:name="lt_pId109"/>
      <w:bookmarkEnd w:id="65"/>
    </w:p>
    <w:p w14:paraId="1BDAA0DD" w14:textId="43E71A92" w:rsidR="00CA6983" w:rsidRPr="00E325EE" w:rsidRDefault="00CA6983" w:rsidP="00E325EE">
      <w:pPr>
        <w:rPr>
          <w:b/>
          <w:bCs/>
          <w:lang w:val="es-ES"/>
        </w:rPr>
      </w:pPr>
      <w:bookmarkStart w:id="66" w:name="_Toc406754294"/>
      <w:bookmarkStart w:id="67" w:name="lt_pId110"/>
      <w:r>
        <w:rPr>
          <w:b/>
          <w:bCs/>
          <w:lang w:val="es-ES"/>
        </w:rPr>
        <w:t>Proyecto de Resolución 180 (Rev. Bucarest, 2022) – Promoción del despliegue del protocolo Internet versión 6</w:t>
      </w:r>
      <w:bookmarkStart w:id="68" w:name="_Toc406754295"/>
      <w:bookmarkEnd w:id="66"/>
      <w:bookmarkEnd w:id="68"/>
    </w:p>
    <w:bookmarkEnd w:id="67"/>
    <w:p w14:paraId="4842B460" w14:textId="77777777" w:rsidR="008E7F1E" w:rsidRPr="008E7F1E" w:rsidRDefault="008E7F1E" w:rsidP="008E7F1E">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b/>
          <w:szCs w:val="24"/>
        </w:rPr>
      </w:pPr>
      <w:r>
        <w:rPr>
          <w:lang w:val="es-ES"/>
        </w:rPr>
        <w:t>6.5</w:t>
      </w:r>
      <w:r>
        <w:rPr>
          <w:lang w:val="es-ES"/>
        </w:rPr>
        <w:tab/>
      </w:r>
      <w:r>
        <w:rPr>
          <w:b/>
          <w:bCs/>
          <w:lang w:val="es-ES"/>
        </w:rPr>
        <w:t>Se adopta</w:t>
      </w:r>
      <w:r>
        <w:rPr>
          <w:lang w:val="es-ES"/>
        </w:rPr>
        <w:t>.</w:t>
      </w:r>
      <w:bookmarkStart w:id="69" w:name="lt_pId112"/>
      <w:bookmarkEnd w:id="69"/>
    </w:p>
    <w:p w14:paraId="420EAD14" w14:textId="4628C03A" w:rsidR="008E7F1E" w:rsidRPr="00E325EE" w:rsidRDefault="008E7F1E" w:rsidP="00E325EE">
      <w:pPr>
        <w:rPr>
          <w:b/>
          <w:bCs/>
          <w:lang w:val="es-ES"/>
        </w:rPr>
      </w:pPr>
      <w:bookmarkStart w:id="70" w:name="lt_pId113"/>
      <w:r>
        <w:rPr>
          <w:b/>
          <w:bCs/>
          <w:lang w:val="es-ES"/>
        </w:rPr>
        <w:t>NOC Resolución 206 (Dubái, 2018)</w:t>
      </w:r>
      <w:r w:rsidRPr="00E325EE">
        <w:rPr>
          <w:b/>
          <w:bCs/>
          <w:lang w:val="es-ES"/>
        </w:rPr>
        <w:t xml:space="preserve"> </w:t>
      </w:r>
      <w:r>
        <w:rPr>
          <w:b/>
          <w:bCs/>
          <w:lang w:val="es-ES"/>
        </w:rPr>
        <w:t xml:space="preserve">– </w:t>
      </w:r>
      <w:proofErr w:type="spellStart"/>
      <w:r>
        <w:rPr>
          <w:b/>
          <w:bCs/>
          <w:lang w:val="es-ES"/>
        </w:rPr>
        <w:t>OTTs</w:t>
      </w:r>
      <w:bookmarkEnd w:id="70"/>
      <w:proofErr w:type="spellEnd"/>
    </w:p>
    <w:p w14:paraId="4812A8D0" w14:textId="77777777" w:rsidR="008E7F1E" w:rsidRPr="008E7F1E" w:rsidRDefault="008E7F1E" w:rsidP="00E325EE">
      <w:pPr>
        <w:rPr>
          <w:rFonts w:asciiTheme="minorHAnsi" w:hAnsiTheme="minorHAnsi" w:cstheme="minorHAnsi"/>
          <w:szCs w:val="24"/>
        </w:rPr>
      </w:pPr>
      <w:r>
        <w:rPr>
          <w:lang w:val="es-ES"/>
        </w:rPr>
        <w:t>6.6</w:t>
      </w:r>
      <w:r>
        <w:rPr>
          <w:lang w:val="es-ES"/>
        </w:rPr>
        <w:tab/>
      </w:r>
      <w:r w:rsidRPr="00E325EE">
        <w:rPr>
          <w:b/>
          <w:bCs/>
          <w:lang w:val="es-ES"/>
        </w:rPr>
        <w:t>Se aprueba</w:t>
      </w:r>
      <w:r>
        <w:rPr>
          <w:lang w:val="es-ES"/>
        </w:rPr>
        <w:t>.</w:t>
      </w:r>
      <w:bookmarkStart w:id="71" w:name="lt_pId115"/>
      <w:bookmarkEnd w:id="71"/>
    </w:p>
    <w:p w14:paraId="0EE31785" w14:textId="35433F73" w:rsidR="008E7F1E" w:rsidRPr="008E7F1E" w:rsidRDefault="008E7F1E" w:rsidP="00E325EE">
      <w:pPr>
        <w:rPr>
          <w:rFonts w:asciiTheme="minorHAnsi" w:eastAsia="SimSun" w:hAnsiTheme="minorHAnsi" w:cstheme="minorHAnsi"/>
          <w:b/>
          <w:szCs w:val="24"/>
        </w:rPr>
      </w:pPr>
      <w:r>
        <w:rPr>
          <w:lang w:val="es-ES"/>
        </w:rPr>
        <w:t>6.7</w:t>
      </w:r>
      <w:r>
        <w:rPr>
          <w:lang w:val="es-ES"/>
        </w:rPr>
        <w:tab/>
        <w:t xml:space="preserve">Con excepción del proyecto de Resolución 131 (Rev. Bucarest, 2022), se </w:t>
      </w:r>
      <w:r>
        <w:rPr>
          <w:b/>
          <w:bCs/>
          <w:lang w:val="es-ES"/>
        </w:rPr>
        <w:t>aprueba</w:t>
      </w:r>
      <w:r>
        <w:rPr>
          <w:lang w:val="es-ES"/>
        </w:rPr>
        <w:t xml:space="preserve"> </w:t>
      </w:r>
      <w:r w:rsidR="00B76AE6">
        <w:rPr>
          <w:lang w:val="es-ES"/>
        </w:rPr>
        <w:t xml:space="preserve">en primera lectura </w:t>
      </w:r>
      <w:r>
        <w:rPr>
          <w:lang w:val="es-ES"/>
        </w:rPr>
        <w:t>la decimoctava serie de textos sometidos por la Comisión de Redacción (B18) (Documento</w:t>
      </w:r>
      <w:r w:rsidR="00A52E51">
        <w:rPr>
          <w:lang w:val="es-ES"/>
        </w:rPr>
        <w:t> </w:t>
      </w:r>
      <w:r>
        <w:rPr>
          <w:lang w:val="es-ES"/>
        </w:rPr>
        <w:t>174).</w:t>
      </w:r>
      <w:bookmarkStart w:id="72" w:name="lt_pId117"/>
      <w:bookmarkEnd w:id="72"/>
    </w:p>
    <w:p w14:paraId="390A08A2" w14:textId="75B51A9F" w:rsidR="008E7F1E" w:rsidRPr="008E7F1E" w:rsidRDefault="008E7F1E" w:rsidP="00A52E51">
      <w:pPr>
        <w:pStyle w:val="Heading1"/>
        <w:rPr>
          <w:rFonts w:asciiTheme="minorHAnsi" w:eastAsia="SimSun" w:hAnsiTheme="minorHAnsi" w:cstheme="minorHAnsi"/>
          <w:szCs w:val="24"/>
        </w:rPr>
      </w:pPr>
      <w:r>
        <w:rPr>
          <w:lang w:val="es-ES"/>
        </w:rPr>
        <w:t>7</w:t>
      </w:r>
      <w:r>
        <w:rPr>
          <w:lang w:val="es-ES"/>
        </w:rPr>
        <w:tab/>
        <w:t>D</w:t>
      </w:r>
      <w:bookmarkStart w:id="73" w:name="_Hlk118678654"/>
      <w:r>
        <w:rPr>
          <w:lang w:val="es-ES"/>
        </w:rPr>
        <w:t xml:space="preserve">ecimoctava serie de textos que la Comisión de Redacción somete en segunda lectura (Documento </w:t>
      </w:r>
      <w:hyperlink r:id="rId19" w:history="1">
        <w:r w:rsidR="00596A45" w:rsidRPr="007E43F9">
          <w:rPr>
            <w:rStyle w:val="Hyperlink"/>
            <w:rFonts w:asciiTheme="minorHAnsi" w:hAnsiTheme="minorHAnsi" w:cstheme="minorHAnsi"/>
            <w:szCs w:val="24"/>
            <w:lang w:val="en-CA"/>
          </w:rPr>
          <w:t>174</w:t>
        </w:r>
      </w:hyperlink>
      <w:r>
        <w:rPr>
          <w:lang w:val="es-ES"/>
        </w:rPr>
        <w:t>)</w:t>
      </w:r>
      <w:bookmarkStart w:id="74" w:name="lt_pId119"/>
      <w:bookmarkEnd w:id="74"/>
    </w:p>
    <w:bookmarkEnd w:id="73"/>
    <w:p w14:paraId="50F9F4FC" w14:textId="2466E710" w:rsidR="008E7F1E" w:rsidRPr="00EA730B" w:rsidRDefault="008E7F1E" w:rsidP="00A52E51">
      <w:pPr>
        <w:rPr>
          <w:rFonts w:eastAsia="SimSun"/>
        </w:rPr>
      </w:pPr>
      <w:r>
        <w:rPr>
          <w:lang w:val="es-ES"/>
        </w:rPr>
        <w:t>7.1</w:t>
      </w:r>
      <w:r>
        <w:rPr>
          <w:lang w:val="es-ES"/>
        </w:rPr>
        <w:tab/>
        <w:t xml:space="preserve">Con excepción del proyecto de Resolución 131 (Rev. Bucarest, 2022), se </w:t>
      </w:r>
      <w:r>
        <w:rPr>
          <w:b/>
          <w:bCs/>
          <w:lang w:val="es-ES"/>
        </w:rPr>
        <w:t>aprueba</w:t>
      </w:r>
      <w:r>
        <w:rPr>
          <w:lang w:val="es-ES"/>
        </w:rPr>
        <w:t xml:space="preserve"> </w:t>
      </w:r>
      <w:r w:rsidR="00B76AE6">
        <w:rPr>
          <w:lang w:val="es-ES"/>
        </w:rPr>
        <w:t xml:space="preserve">en segunda lectura </w:t>
      </w:r>
      <w:r>
        <w:rPr>
          <w:lang w:val="es-ES"/>
        </w:rPr>
        <w:t>la decimoctava serie de textos sometidos por la Comisión de Redacción (Documento 174).</w:t>
      </w:r>
      <w:bookmarkStart w:id="75" w:name="lt_pId121"/>
      <w:bookmarkEnd w:id="75"/>
    </w:p>
    <w:p w14:paraId="203841FD" w14:textId="53D84F19" w:rsidR="008E7F1E" w:rsidRPr="00AA700F" w:rsidRDefault="008E7F1E" w:rsidP="00A52E51">
      <w:pPr>
        <w:pStyle w:val="Heading1"/>
        <w:rPr>
          <w:bCs/>
          <w:lang w:val="es-ES"/>
        </w:rPr>
      </w:pPr>
      <w:r>
        <w:rPr>
          <w:bCs/>
          <w:lang w:val="es-ES"/>
        </w:rPr>
        <w:t>8</w:t>
      </w:r>
      <w:r>
        <w:rPr>
          <w:lang w:val="es-ES"/>
        </w:rPr>
        <w:tab/>
      </w:r>
      <w:r>
        <w:rPr>
          <w:bCs/>
          <w:lang w:val="es-ES"/>
        </w:rPr>
        <w:t xml:space="preserve">Aprobación de las actas (Documentos </w:t>
      </w:r>
      <w:hyperlink r:id="rId20" w:history="1">
        <w:r w:rsidR="00AA700F" w:rsidRPr="00912EB8">
          <w:rPr>
            <w:rStyle w:val="Hyperlink"/>
            <w:rFonts w:asciiTheme="minorHAnsi" w:hAnsiTheme="minorHAnsi" w:cstheme="minorHAnsi"/>
            <w:bCs/>
            <w:szCs w:val="24"/>
            <w:lang w:val="en-CA"/>
          </w:rPr>
          <w:t>107</w:t>
        </w:r>
      </w:hyperlink>
      <w:r w:rsidR="00AA700F" w:rsidRPr="004E7F4A">
        <w:rPr>
          <w:rFonts w:asciiTheme="minorHAnsi" w:hAnsiTheme="minorHAnsi" w:cstheme="minorHAnsi"/>
          <w:bCs/>
          <w:szCs w:val="24"/>
          <w:lang w:val="en-CA"/>
        </w:rPr>
        <w:t xml:space="preserve">, </w:t>
      </w:r>
      <w:hyperlink r:id="rId21" w:history="1">
        <w:r w:rsidR="00AA700F" w:rsidRPr="00912EB8">
          <w:rPr>
            <w:rStyle w:val="Hyperlink"/>
            <w:rFonts w:asciiTheme="minorHAnsi" w:hAnsiTheme="minorHAnsi" w:cstheme="minorHAnsi"/>
            <w:bCs/>
            <w:szCs w:val="24"/>
            <w:lang w:val="en-CA"/>
          </w:rPr>
          <w:t>108</w:t>
        </w:r>
      </w:hyperlink>
      <w:r w:rsidR="00AA700F" w:rsidRPr="004E7F4A">
        <w:rPr>
          <w:rFonts w:asciiTheme="minorHAnsi" w:hAnsiTheme="minorHAnsi" w:cstheme="minorHAnsi"/>
          <w:bCs/>
          <w:szCs w:val="24"/>
          <w:lang w:val="en-CA"/>
        </w:rPr>
        <w:t xml:space="preserve">, </w:t>
      </w:r>
      <w:hyperlink r:id="rId22" w:history="1">
        <w:r w:rsidR="00AA700F" w:rsidRPr="000B3F6E">
          <w:rPr>
            <w:rStyle w:val="Hyperlink"/>
            <w:rFonts w:asciiTheme="minorHAnsi" w:hAnsiTheme="minorHAnsi" w:cstheme="minorHAnsi"/>
            <w:bCs/>
            <w:szCs w:val="24"/>
            <w:lang w:val="en-CA"/>
          </w:rPr>
          <w:t>115</w:t>
        </w:r>
      </w:hyperlink>
      <w:r w:rsidR="00AA700F" w:rsidRPr="004E7F4A">
        <w:rPr>
          <w:rFonts w:asciiTheme="minorHAnsi" w:hAnsiTheme="minorHAnsi" w:cstheme="minorHAnsi"/>
          <w:bCs/>
          <w:szCs w:val="24"/>
          <w:lang w:val="en-CA"/>
        </w:rPr>
        <w:t xml:space="preserve">, </w:t>
      </w:r>
      <w:hyperlink r:id="rId23" w:history="1">
        <w:r w:rsidR="00AA700F" w:rsidRPr="000B3F6E">
          <w:rPr>
            <w:rStyle w:val="Hyperlink"/>
            <w:rFonts w:asciiTheme="minorHAnsi" w:hAnsiTheme="minorHAnsi" w:cstheme="minorHAnsi"/>
            <w:bCs/>
            <w:szCs w:val="24"/>
            <w:lang w:val="en-CA"/>
          </w:rPr>
          <w:t>116</w:t>
        </w:r>
      </w:hyperlink>
      <w:r w:rsidR="00AA700F" w:rsidRPr="004E7F4A">
        <w:rPr>
          <w:rFonts w:asciiTheme="minorHAnsi" w:hAnsiTheme="minorHAnsi" w:cstheme="minorHAnsi"/>
          <w:bCs/>
          <w:szCs w:val="24"/>
          <w:lang w:val="en-CA"/>
        </w:rPr>
        <w:t xml:space="preserve">, </w:t>
      </w:r>
      <w:hyperlink r:id="rId24" w:history="1">
        <w:r w:rsidR="00AA700F" w:rsidRPr="000B3F6E">
          <w:rPr>
            <w:rStyle w:val="Hyperlink"/>
            <w:rFonts w:asciiTheme="minorHAnsi" w:hAnsiTheme="minorHAnsi" w:cstheme="minorHAnsi"/>
            <w:bCs/>
            <w:szCs w:val="24"/>
            <w:lang w:val="en-CA"/>
          </w:rPr>
          <w:t>117</w:t>
        </w:r>
      </w:hyperlink>
      <w:r w:rsidR="00AA700F" w:rsidRPr="004E7F4A">
        <w:rPr>
          <w:rFonts w:asciiTheme="minorHAnsi" w:hAnsiTheme="minorHAnsi" w:cstheme="minorHAnsi"/>
          <w:bCs/>
          <w:szCs w:val="24"/>
          <w:lang w:val="en-CA"/>
        </w:rPr>
        <w:t xml:space="preserve">, </w:t>
      </w:r>
      <w:hyperlink r:id="rId25" w:history="1">
        <w:r w:rsidR="00AA700F" w:rsidRPr="000B3F6E">
          <w:rPr>
            <w:rStyle w:val="Hyperlink"/>
            <w:rFonts w:asciiTheme="minorHAnsi" w:hAnsiTheme="minorHAnsi" w:cstheme="minorHAnsi"/>
            <w:bCs/>
            <w:szCs w:val="24"/>
            <w:lang w:val="en-CA"/>
          </w:rPr>
          <w:t>118</w:t>
        </w:r>
      </w:hyperlink>
      <w:r w:rsidR="00AA700F" w:rsidRPr="004E7F4A">
        <w:rPr>
          <w:rFonts w:asciiTheme="minorHAnsi" w:hAnsiTheme="minorHAnsi" w:cstheme="minorHAnsi"/>
          <w:bCs/>
          <w:szCs w:val="24"/>
          <w:lang w:val="en-CA"/>
        </w:rPr>
        <w:t xml:space="preserve">, </w:t>
      </w:r>
      <w:hyperlink r:id="rId26" w:history="1">
        <w:r w:rsidR="00AA700F" w:rsidRPr="00ED7C13">
          <w:rPr>
            <w:rStyle w:val="Hyperlink"/>
            <w:rFonts w:asciiTheme="minorHAnsi" w:hAnsiTheme="minorHAnsi" w:cstheme="minorHAnsi"/>
            <w:bCs/>
            <w:szCs w:val="24"/>
            <w:lang w:val="en-CA"/>
          </w:rPr>
          <w:t>139</w:t>
        </w:r>
      </w:hyperlink>
      <w:r w:rsidR="00AA700F" w:rsidRPr="004E7F4A">
        <w:rPr>
          <w:rFonts w:asciiTheme="minorHAnsi" w:hAnsiTheme="minorHAnsi" w:cstheme="minorHAnsi"/>
          <w:bCs/>
          <w:szCs w:val="24"/>
          <w:lang w:val="en-CA"/>
        </w:rPr>
        <w:t xml:space="preserve">, </w:t>
      </w:r>
      <w:hyperlink r:id="rId27" w:history="1">
        <w:r w:rsidR="00AA700F" w:rsidRPr="00ED7C13">
          <w:rPr>
            <w:rStyle w:val="Hyperlink"/>
            <w:rFonts w:asciiTheme="minorHAnsi" w:hAnsiTheme="minorHAnsi" w:cstheme="minorHAnsi"/>
            <w:bCs/>
            <w:szCs w:val="24"/>
            <w:lang w:val="en-CA"/>
          </w:rPr>
          <w:t>140</w:t>
        </w:r>
      </w:hyperlink>
      <w:r w:rsidR="00AA700F" w:rsidRPr="004E7F4A">
        <w:rPr>
          <w:rFonts w:asciiTheme="minorHAnsi" w:hAnsiTheme="minorHAnsi" w:cstheme="minorHAnsi"/>
          <w:bCs/>
          <w:szCs w:val="24"/>
          <w:lang w:val="en-CA"/>
        </w:rPr>
        <w:t xml:space="preserve">, </w:t>
      </w:r>
      <w:hyperlink r:id="rId28" w:history="1">
        <w:r w:rsidR="00AA700F" w:rsidRPr="00ED7C13">
          <w:rPr>
            <w:rStyle w:val="Hyperlink"/>
            <w:rFonts w:asciiTheme="minorHAnsi" w:hAnsiTheme="minorHAnsi" w:cstheme="minorHAnsi"/>
            <w:bCs/>
            <w:szCs w:val="24"/>
            <w:lang w:val="en-CA"/>
          </w:rPr>
          <w:t>141</w:t>
        </w:r>
      </w:hyperlink>
      <w:r w:rsidR="00AA700F" w:rsidRPr="004E7F4A">
        <w:rPr>
          <w:rFonts w:asciiTheme="minorHAnsi" w:hAnsiTheme="minorHAnsi" w:cstheme="minorHAnsi"/>
          <w:bCs/>
          <w:szCs w:val="24"/>
          <w:lang w:val="en-CA"/>
        </w:rPr>
        <w:t xml:space="preserve"> </w:t>
      </w:r>
      <w:r w:rsidR="00AA700F">
        <w:rPr>
          <w:rFonts w:asciiTheme="minorHAnsi" w:hAnsiTheme="minorHAnsi" w:cstheme="minorHAnsi"/>
          <w:bCs/>
          <w:szCs w:val="24"/>
          <w:lang w:val="en-CA"/>
        </w:rPr>
        <w:t>y</w:t>
      </w:r>
      <w:r w:rsidR="00AA700F" w:rsidRPr="004E7F4A">
        <w:rPr>
          <w:rFonts w:asciiTheme="minorHAnsi" w:hAnsiTheme="minorHAnsi" w:cstheme="minorHAnsi"/>
          <w:bCs/>
          <w:szCs w:val="24"/>
          <w:lang w:val="en-CA"/>
        </w:rPr>
        <w:t xml:space="preserve"> </w:t>
      </w:r>
      <w:hyperlink r:id="rId29" w:history="1">
        <w:r w:rsidR="00AA700F" w:rsidRPr="00ED7C13">
          <w:rPr>
            <w:rStyle w:val="Hyperlink"/>
            <w:rFonts w:asciiTheme="minorHAnsi" w:hAnsiTheme="minorHAnsi" w:cstheme="minorHAnsi"/>
            <w:bCs/>
            <w:szCs w:val="24"/>
            <w:lang w:val="en-CA"/>
          </w:rPr>
          <w:t>142</w:t>
        </w:r>
      </w:hyperlink>
      <w:r>
        <w:rPr>
          <w:bCs/>
          <w:lang w:val="es-ES"/>
        </w:rPr>
        <w:t>)</w:t>
      </w:r>
      <w:bookmarkStart w:id="76" w:name="lt_pId123"/>
      <w:bookmarkEnd w:id="76"/>
    </w:p>
    <w:p w14:paraId="2948439B" w14:textId="62F85FFA" w:rsidR="008E7F1E" w:rsidRPr="008E7F1E" w:rsidRDefault="008E7F1E" w:rsidP="00A52E51">
      <w:pPr>
        <w:rPr>
          <w:rFonts w:asciiTheme="minorHAnsi" w:eastAsia="SimSun" w:hAnsiTheme="minorHAnsi" w:cstheme="minorHAnsi"/>
          <w:szCs w:val="24"/>
        </w:rPr>
      </w:pPr>
      <w:r>
        <w:rPr>
          <w:lang w:val="es-ES"/>
        </w:rPr>
        <w:t>8.1</w:t>
      </w:r>
      <w:r>
        <w:rPr>
          <w:lang w:val="es-ES"/>
        </w:rPr>
        <w:tab/>
        <w:t xml:space="preserve">A reserva de una inserción solicitada por el </w:t>
      </w:r>
      <w:r>
        <w:rPr>
          <w:b/>
          <w:bCs/>
          <w:lang w:val="es-ES"/>
        </w:rPr>
        <w:t>delegado de Trinidad y Tabago</w:t>
      </w:r>
      <w:r>
        <w:rPr>
          <w:lang w:val="es-ES"/>
        </w:rPr>
        <w:t xml:space="preserve"> en las actas de la novena Sesión Plenaria (Documento 142), se </w:t>
      </w:r>
      <w:r>
        <w:rPr>
          <w:b/>
          <w:bCs/>
          <w:lang w:val="es-ES"/>
        </w:rPr>
        <w:t>aprueban</w:t>
      </w:r>
      <w:r>
        <w:rPr>
          <w:lang w:val="es-ES"/>
        </w:rPr>
        <w:t xml:space="preserve"> las actas de la ceremonia de apertura (Documento 107), la primera Sesión Plenaria (Documento 108), la segunda Sesión Plenaria (Documento 115), la tercera Sesión Plenaria (Documento 116), la cuarta Sesión Plenaria (Documento 117), la quinta Sesión Plenaria (Documento 118), la sexta Sesión Plenaria (Documento</w:t>
      </w:r>
      <w:r w:rsidR="00AA700F">
        <w:rPr>
          <w:lang w:val="es-ES"/>
        </w:rPr>
        <w:t> </w:t>
      </w:r>
      <w:r>
        <w:rPr>
          <w:lang w:val="es-ES"/>
        </w:rPr>
        <w:t>139), la séptima Sesión Plenaria (Documento 140), la octava Sesión Plenaria (Documento 141) y la novena Sesión Plenaria (Documento 142).</w:t>
      </w:r>
      <w:bookmarkStart w:id="77" w:name="lt_pId125"/>
      <w:bookmarkEnd w:id="77"/>
    </w:p>
    <w:p w14:paraId="545649BB" w14:textId="0AEB080C" w:rsidR="008E7F1E" w:rsidRPr="00A52E51" w:rsidRDefault="00AE3ECE" w:rsidP="006C2B20">
      <w:pPr>
        <w:spacing w:before="360"/>
        <w:rPr>
          <w:b/>
          <w:bCs/>
          <w:lang w:val="es-ES"/>
        </w:rPr>
      </w:pPr>
      <w:bookmarkStart w:id="78" w:name="lt_pId126"/>
      <w:r>
        <w:rPr>
          <w:b/>
          <w:bCs/>
          <w:lang w:val="es-ES"/>
        </w:rPr>
        <w:lastRenderedPageBreak/>
        <w:t>Se levanta la sesión a las 10.30 horas.</w:t>
      </w:r>
      <w:bookmarkEnd w:id="78"/>
    </w:p>
    <w:p w14:paraId="0D575C29" w14:textId="3CFFDAE6" w:rsidR="008E7F1E" w:rsidRPr="008E7F1E" w:rsidRDefault="00AE3ECE" w:rsidP="00A52E51">
      <w:pPr>
        <w:tabs>
          <w:tab w:val="clear" w:pos="567"/>
          <w:tab w:val="clear" w:pos="1134"/>
          <w:tab w:val="clear" w:pos="1701"/>
          <w:tab w:val="clear" w:pos="2268"/>
          <w:tab w:val="clear" w:pos="2835"/>
          <w:tab w:val="left" w:pos="6379"/>
        </w:tabs>
        <w:snapToGrid w:val="0"/>
        <w:spacing w:before="840"/>
        <w:rPr>
          <w:rFonts w:eastAsia="SimSun"/>
          <w:szCs w:val="24"/>
        </w:rPr>
      </w:pPr>
      <w:bookmarkStart w:id="79" w:name="lt_pId127"/>
      <w:r>
        <w:rPr>
          <w:lang w:val="es-ES"/>
        </w:rPr>
        <w:t>El Secretario General:</w:t>
      </w:r>
      <w:r>
        <w:rPr>
          <w:lang w:val="es-ES"/>
        </w:rPr>
        <w:tab/>
        <w:t>El Presidente:</w:t>
      </w:r>
      <w:bookmarkStart w:id="80" w:name="lt_pId128"/>
      <w:bookmarkEnd w:id="80"/>
      <w:bookmarkEnd w:id="79"/>
    </w:p>
    <w:p w14:paraId="6B774079" w14:textId="17E5AD9C" w:rsidR="008E7F1E" w:rsidRPr="00256CB4" w:rsidRDefault="008E7F1E" w:rsidP="00A52E51">
      <w:pPr>
        <w:tabs>
          <w:tab w:val="clear" w:pos="567"/>
          <w:tab w:val="clear" w:pos="1134"/>
          <w:tab w:val="clear" w:pos="1701"/>
          <w:tab w:val="clear" w:pos="2268"/>
          <w:tab w:val="clear" w:pos="2835"/>
          <w:tab w:val="left" w:pos="6379"/>
        </w:tabs>
        <w:snapToGrid w:val="0"/>
        <w:spacing w:before="0"/>
        <w:rPr>
          <w:rFonts w:eastAsia="SimSun"/>
          <w:szCs w:val="24"/>
        </w:rPr>
      </w:pPr>
      <w:bookmarkStart w:id="81" w:name="lt_pId129"/>
      <w:r>
        <w:rPr>
          <w:lang w:val="es-ES"/>
        </w:rPr>
        <w:t>H. ZHAO</w:t>
      </w:r>
      <w:r>
        <w:rPr>
          <w:lang w:val="es-ES"/>
        </w:rPr>
        <w:tab/>
        <w:t>S. SĂRMAȘ</w:t>
      </w:r>
      <w:bookmarkStart w:id="82" w:name="lt_pId130"/>
      <w:bookmarkStart w:id="83" w:name="lt_pId131"/>
      <w:bookmarkEnd w:id="82"/>
      <w:bookmarkEnd w:id="83"/>
      <w:bookmarkEnd w:id="81"/>
    </w:p>
    <w:p w14:paraId="2F282B55" w14:textId="77777777" w:rsidR="00AE3ECE" w:rsidRPr="00256CB4" w:rsidRDefault="00AE3ECE" w:rsidP="00411C49">
      <w:pPr>
        <w:pStyle w:val="Reasons"/>
      </w:pPr>
    </w:p>
    <w:p w14:paraId="3313265C" w14:textId="77777777" w:rsidR="00AE3ECE" w:rsidRPr="00256CB4" w:rsidRDefault="00AE3ECE">
      <w:pPr>
        <w:jc w:val="center"/>
      </w:pPr>
      <w:r>
        <w:rPr>
          <w:lang w:val="es-ES"/>
        </w:rPr>
        <w:t>______________</w:t>
      </w:r>
    </w:p>
    <w:sectPr w:rsidR="00AE3ECE" w:rsidRPr="00256CB4" w:rsidSect="00A70E95">
      <w:headerReference w:type="default" r:id="rId30"/>
      <w:footerReference w:type="default" r:id="rId31"/>
      <w:footerReference w:type="first" r:id="rId3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62CF" w14:textId="77777777" w:rsidR="0011375F" w:rsidRDefault="0011375F">
      <w:r>
        <w:separator/>
      </w:r>
    </w:p>
  </w:endnote>
  <w:endnote w:type="continuationSeparator" w:id="0">
    <w:p w14:paraId="46F905FD" w14:textId="77777777" w:rsidR="0011375F" w:rsidRDefault="0011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D417" w14:textId="3B8F1131" w:rsidR="008A3FE8" w:rsidRPr="00525400" w:rsidRDefault="008A3FE8" w:rsidP="008A3FE8">
    <w:pPr>
      <w:pStyle w:val="Footer"/>
      <w:rPr>
        <w:szCs w:val="16"/>
      </w:rPr>
    </w:pPr>
    <w:r w:rsidRPr="008A3FE8">
      <w:rPr>
        <w:lang w:val="es-ES"/>
      </w:rPr>
      <w:fldChar w:fldCharType="begin"/>
    </w:r>
    <w:r w:rsidRPr="008A3FE8">
      <w:rPr>
        <w:lang w:val="es-ES"/>
      </w:rPr>
      <w:instrText xml:space="preserve"> FILENAME \p  \* MERGEFORMAT </w:instrText>
    </w:r>
    <w:r w:rsidRPr="008A3FE8">
      <w:rPr>
        <w:lang w:val="es-ES"/>
      </w:rPr>
      <w:fldChar w:fldCharType="separate"/>
    </w:r>
    <w:r w:rsidR="00AE5991">
      <w:rPr>
        <w:lang w:val="es-ES"/>
      </w:rPr>
      <w:t>P:\ESP\SG\CONF-SG\PP22\200\204S.docx</w:t>
    </w:r>
    <w:r w:rsidRPr="008A3FE8">
      <w:rPr>
        <w:lang w:val="es-ES"/>
      </w:rPr>
      <w:fldChar w:fldCharType="end"/>
    </w:r>
    <w:r w:rsidRPr="008A3FE8">
      <w:rPr>
        <w:lang w:val="es-ES"/>
      </w:rPr>
      <w:t xml:space="preserve"> (</w:t>
    </w:r>
    <w:r>
      <w:rPr>
        <w:lang w:val="es-ES"/>
      </w:rPr>
      <w:t>515438</w:t>
    </w:r>
    <w:r w:rsidRPr="008A3FE8">
      <w:rPr>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EDA9" w14:textId="3064BE16" w:rsidR="004B07DB" w:rsidRPr="00ED5AEF" w:rsidRDefault="00ED5AEF" w:rsidP="00ED5AEF">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71C2" w14:textId="77777777" w:rsidR="0011375F" w:rsidRDefault="0011375F">
      <w:r>
        <w:t>____________________</w:t>
      </w:r>
    </w:p>
  </w:footnote>
  <w:footnote w:type="continuationSeparator" w:id="0">
    <w:p w14:paraId="03FE41F5" w14:textId="77777777" w:rsidR="0011375F" w:rsidRDefault="0011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77777777" w:rsidR="00255FA1" w:rsidRDefault="00255FA1" w:rsidP="00255FA1">
    <w:pPr>
      <w:pStyle w:val="Header"/>
    </w:pPr>
    <w:r>
      <w:fldChar w:fldCharType="begin"/>
    </w:r>
    <w:r>
      <w:instrText xml:space="preserve"> PAGE </w:instrText>
    </w:r>
    <w:r>
      <w:fldChar w:fldCharType="separate"/>
    </w:r>
    <w:r w:rsidR="00B76AE6">
      <w:rPr>
        <w:noProof/>
      </w:rPr>
      <w:t>5</w:t>
    </w:r>
    <w:r>
      <w:fldChar w:fldCharType="end"/>
    </w:r>
  </w:p>
  <w:p w14:paraId="6D6C2C56" w14:textId="1B71CF6E" w:rsidR="00255FA1" w:rsidRDefault="00255FA1" w:rsidP="00C43474">
    <w:pPr>
      <w:pStyle w:val="Header"/>
    </w:pPr>
    <w:r>
      <w:rPr>
        <w:lang w:val="es-ES"/>
      </w:rPr>
      <w:t>PP22/204-S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226AD"/>
    <w:rsid w:val="00030F9E"/>
    <w:rsid w:val="000507CA"/>
    <w:rsid w:val="000863AB"/>
    <w:rsid w:val="000A1523"/>
    <w:rsid w:val="000B1752"/>
    <w:rsid w:val="0010546D"/>
    <w:rsid w:val="0011375F"/>
    <w:rsid w:val="00114EC9"/>
    <w:rsid w:val="00135F93"/>
    <w:rsid w:val="00150650"/>
    <w:rsid w:val="0015420D"/>
    <w:rsid w:val="001622DF"/>
    <w:rsid w:val="001632E3"/>
    <w:rsid w:val="0017071C"/>
    <w:rsid w:val="001D4983"/>
    <w:rsid w:val="001D6EC3"/>
    <w:rsid w:val="001D787B"/>
    <w:rsid w:val="001E3D06"/>
    <w:rsid w:val="001F73D8"/>
    <w:rsid w:val="00225F6B"/>
    <w:rsid w:val="00237C17"/>
    <w:rsid w:val="00242376"/>
    <w:rsid w:val="00255FA1"/>
    <w:rsid w:val="00256CB4"/>
    <w:rsid w:val="00262FF4"/>
    <w:rsid w:val="002C6527"/>
    <w:rsid w:val="002E44FC"/>
    <w:rsid w:val="003707E5"/>
    <w:rsid w:val="00375610"/>
    <w:rsid w:val="00386B0B"/>
    <w:rsid w:val="00391611"/>
    <w:rsid w:val="003A7FC3"/>
    <w:rsid w:val="003D0027"/>
    <w:rsid w:val="003E6E73"/>
    <w:rsid w:val="004215D6"/>
    <w:rsid w:val="00484B72"/>
    <w:rsid w:val="00491A25"/>
    <w:rsid w:val="004A346E"/>
    <w:rsid w:val="004A63A9"/>
    <w:rsid w:val="004B07DB"/>
    <w:rsid w:val="004B09D4"/>
    <w:rsid w:val="004B0BCB"/>
    <w:rsid w:val="004B3A92"/>
    <w:rsid w:val="004C27F5"/>
    <w:rsid w:val="004C39C6"/>
    <w:rsid w:val="004D23BA"/>
    <w:rsid w:val="004E069C"/>
    <w:rsid w:val="004E08E0"/>
    <w:rsid w:val="004E28FB"/>
    <w:rsid w:val="004F4BB1"/>
    <w:rsid w:val="00504FD4"/>
    <w:rsid w:val="00507662"/>
    <w:rsid w:val="00520957"/>
    <w:rsid w:val="00523448"/>
    <w:rsid w:val="00525400"/>
    <w:rsid w:val="005359B6"/>
    <w:rsid w:val="005470E8"/>
    <w:rsid w:val="00550FCF"/>
    <w:rsid w:val="00556958"/>
    <w:rsid w:val="00567ED5"/>
    <w:rsid w:val="00583305"/>
    <w:rsid w:val="00596A45"/>
    <w:rsid w:val="005D1164"/>
    <w:rsid w:val="005D6488"/>
    <w:rsid w:val="005F6278"/>
    <w:rsid w:val="00601280"/>
    <w:rsid w:val="00641DBD"/>
    <w:rsid w:val="006426C0"/>
    <w:rsid w:val="006455D2"/>
    <w:rsid w:val="006537F3"/>
    <w:rsid w:val="006B5512"/>
    <w:rsid w:val="006C190D"/>
    <w:rsid w:val="006C2B20"/>
    <w:rsid w:val="00720686"/>
    <w:rsid w:val="00737EFF"/>
    <w:rsid w:val="00750806"/>
    <w:rsid w:val="007875D2"/>
    <w:rsid w:val="007D61E2"/>
    <w:rsid w:val="007F6EBC"/>
    <w:rsid w:val="008058BF"/>
    <w:rsid w:val="00830E0B"/>
    <w:rsid w:val="00882773"/>
    <w:rsid w:val="008A3FE8"/>
    <w:rsid w:val="008B4706"/>
    <w:rsid w:val="008B6676"/>
    <w:rsid w:val="008C3FA8"/>
    <w:rsid w:val="008E51C5"/>
    <w:rsid w:val="008E7F1E"/>
    <w:rsid w:val="008F7109"/>
    <w:rsid w:val="009107B0"/>
    <w:rsid w:val="009220DE"/>
    <w:rsid w:val="00930E84"/>
    <w:rsid w:val="0099270D"/>
    <w:rsid w:val="0099551E"/>
    <w:rsid w:val="009A1A86"/>
    <w:rsid w:val="009A443B"/>
    <w:rsid w:val="009D1BE0"/>
    <w:rsid w:val="009E0C42"/>
    <w:rsid w:val="009F0EA7"/>
    <w:rsid w:val="009F48F1"/>
    <w:rsid w:val="009F69D9"/>
    <w:rsid w:val="00A3240A"/>
    <w:rsid w:val="00A34020"/>
    <w:rsid w:val="00A52E51"/>
    <w:rsid w:val="00A70E95"/>
    <w:rsid w:val="00AA1F73"/>
    <w:rsid w:val="00AA38F4"/>
    <w:rsid w:val="00AA700F"/>
    <w:rsid w:val="00AB34CA"/>
    <w:rsid w:val="00AD400E"/>
    <w:rsid w:val="00AE3ECE"/>
    <w:rsid w:val="00AE5991"/>
    <w:rsid w:val="00AF0DC5"/>
    <w:rsid w:val="00B012B7"/>
    <w:rsid w:val="00B06D61"/>
    <w:rsid w:val="00B30C52"/>
    <w:rsid w:val="00B501AB"/>
    <w:rsid w:val="00B64373"/>
    <w:rsid w:val="00B73978"/>
    <w:rsid w:val="00B76AE6"/>
    <w:rsid w:val="00B77C4D"/>
    <w:rsid w:val="00BB13FE"/>
    <w:rsid w:val="00BC7EE2"/>
    <w:rsid w:val="00BF5475"/>
    <w:rsid w:val="00C20ED7"/>
    <w:rsid w:val="00C42D2D"/>
    <w:rsid w:val="00C43474"/>
    <w:rsid w:val="00C61A48"/>
    <w:rsid w:val="00C80F8F"/>
    <w:rsid w:val="00C84355"/>
    <w:rsid w:val="00C84A65"/>
    <w:rsid w:val="00CA3051"/>
    <w:rsid w:val="00CA6983"/>
    <w:rsid w:val="00CD20D9"/>
    <w:rsid w:val="00CD701A"/>
    <w:rsid w:val="00CF4156"/>
    <w:rsid w:val="00D05AAE"/>
    <w:rsid w:val="00D05E6B"/>
    <w:rsid w:val="00D254A6"/>
    <w:rsid w:val="00D42B55"/>
    <w:rsid w:val="00D57D70"/>
    <w:rsid w:val="00D92A66"/>
    <w:rsid w:val="00E05D81"/>
    <w:rsid w:val="00E325EE"/>
    <w:rsid w:val="00E53DFC"/>
    <w:rsid w:val="00E66FC3"/>
    <w:rsid w:val="00E677DD"/>
    <w:rsid w:val="00E77F17"/>
    <w:rsid w:val="00E809D8"/>
    <w:rsid w:val="00E86248"/>
    <w:rsid w:val="00E921EC"/>
    <w:rsid w:val="00E976B0"/>
    <w:rsid w:val="00EA6E0D"/>
    <w:rsid w:val="00EA730B"/>
    <w:rsid w:val="00EB23D0"/>
    <w:rsid w:val="00EC395A"/>
    <w:rsid w:val="00ED1E99"/>
    <w:rsid w:val="00ED2CE3"/>
    <w:rsid w:val="00ED5AEF"/>
    <w:rsid w:val="00F01632"/>
    <w:rsid w:val="00F04858"/>
    <w:rsid w:val="00F05FA5"/>
    <w:rsid w:val="00F13AA4"/>
    <w:rsid w:val="00F3510D"/>
    <w:rsid w:val="00F42C3B"/>
    <w:rsid w:val="00F43C07"/>
    <w:rsid w:val="00F43D44"/>
    <w:rsid w:val="00F80E6E"/>
    <w:rsid w:val="00FD7A16"/>
    <w:rsid w:val="00FF1F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FollowedHyperlink">
    <w:name w:val="FollowedHyperlink"/>
    <w:basedOn w:val="DefaultParagraphFont"/>
    <w:semiHidden/>
    <w:unhideWhenUsed/>
    <w:rsid w:val="004B3A92"/>
    <w:rPr>
      <w:color w:val="800080" w:themeColor="followedHyperlink"/>
      <w:u w:val="single"/>
    </w:rPr>
  </w:style>
  <w:style w:type="character" w:customStyle="1" w:styleId="href">
    <w:name w:val="href"/>
    <w:basedOn w:val="DefaultParagraphFont"/>
    <w:uiPriority w:val="99"/>
    <w:rsid w:val="003A7FC3"/>
    <w:rPr>
      <w:color w:val="auto"/>
    </w:rPr>
  </w:style>
  <w:style w:type="character" w:styleId="UnresolvedMention">
    <w:name w:val="Unresolved Mention"/>
    <w:basedOn w:val="DefaultParagraphFont"/>
    <w:uiPriority w:val="99"/>
    <w:semiHidden/>
    <w:unhideWhenUsed/>
    <w:rsid w:val="00D92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26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PP-C-0165/en" TargetMode="External"/><Relationship Id="rId18" Type="http://schemas.openxmlformats.org/officeDocument/2006/relationships/hyperlink" Target="https://www.itu.int/md/S22-PP-C-0174/en" TargetMode="External"/><Relationship Id="rId26" Type="http://schemas.openxmlformats.org/officeDocument/2006/relationships/hyperlink" Target="https://www.itu.int/md/S22-PP-C-0139/en" TargetMode="External"/><Relationship Id="rId3" Type="http://schemas.openxmlformats.org/officeDocument/2006/relationships/settings" Target="settings.xml"/><Relationship Id="rId21" Type="http://schemas.openxmlformats.org/officeDocument/2006/relationships/hyperlink" Target="https://www.itu.int/md/S22-PP-C-0108/en"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S22-PP-C-0107/en" TargetMode="External"/><Relationship Id="rId17" Type="http://schemas.openxmlformats.org/officeDocument/2006/relationships/hyperlink" Target="https://www.itu.int/md/S22-PP-C-0173/en" TargetMode="External"/><Relationship Id="rId25" Type="http://schemas.openxmlformats.org/officeDocument/2006/relationships/hyperlink" Target="https://www.itu.int/md/S22-PP-C-0118/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22-PP-C-0173/en" TargetMode="External"/><Relationship Id="rId20" Type="http://schemas.openxmlformats.org/officeDocument/2006/relationships/hyperlink" Target="https://www.itu.int/md/S22-PP-C-0107/en" TargetMode="External"/><Relationship Id="rId29" Type="http://schemas.openxmlformats.org/officeDocument/2006/relationships/hyperlink" Target="https://www.itu.int/md/S22-PP-C-0142/en" TargetMode="Externa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yperlink" Target="https://www.itu.int/md/S22-PP-C-0174/en" TargetMode="External"/><Relationship Id="rId24" Type="http://schemas.openxmlformats.org/officeDocument/2006/relationships/hyperlink" Target="https://www.itu.int/md/S22-PP-C-0117/en"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22-PP-C-0167/en" TargetMode="External"/><Relationship Id="rId23" Type="http://schemas.openxmlformats.org/officeDocument/2006/relationships/hyperlink" Target="https://www.itu.int/md/S22-PP-C-0116/en" TargetMode="External"/><Relationship Id="rId28" Type="http://schemas.openxmlformats.org/officeDocument/2006/relationships/hyperlink" Target="https://www.itu.int/md/S22-PP-C-0141/en" TargetMode="External"/><Relationship Id="rId10" Type="http://schemas.openxmlformats.org/officeDocument/2006/relationships/hyperlink" Target="https://www.itu.int/md/S22-PP-C-0173/en" TargetMode="External"/><Relationship Id="rId19" Type="http://schemas.openxmlformats.org/officeDocument/2006/relationships/hyperlink" Target="https://www.itu.int/md/S22-PP-C-0174/e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2-PP-C-0167/en" TargetMode="External"/><Relationship Id="rId14" Type="http://schemas.openxmlformats.org/officeDocument/2006/relationships/hyperlink" Target="https://www.itu.int/md/S22-PP-C-0167/en" TargetMode="External"/><Relationship Id="rId22" Type="http://schemas.openxmlformats.org/officeDocument/2006/relationships/hyperlink" Target="https://www.itu.int/md/S22-PP-C-0115/en" TargetMode="External"/><Relationship Id="rId27" Type="http://schemas.openxmlformats.org/officeDocument/2006/relationships/hyperlink" Target="https://www.itu.int/md/S22-PP-C-0140/en" TargetMode="External"/><Relationship Id="rId30" Type="http://schemas.openxmlformats.org/officeDocument/2006/relationships/header" Target="header1.xml"/><Relationship Id="rId8" Type="http://schemas.openxmlformats.org/officeDocument/2006/relationships/hyperlink" Target="https://www.itu.int/md/S22-PP-C-016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1438</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10313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keywords/>
  <dc:description/>
  <cp:lastModifiedBy>Spanish 1</cp:lastModifiedBy>
  <cp:revision>11</cp:revision>
  <dcterms:created xsi:type="dcterms:W3CDTF">2022-11-07T00:29:00Z</dcterms:created>
  <dcterms:modified xsi:type="dcterms:W3CDTF">2022-11-07T07:06:00Z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francisco.rubio</vt:lpwstr>
  </property>
  <property fmtid="{D5CDD505-2E9C-101B-9397-08002B2CF9AE}" pid="4" name="GeneratedDate">
    <vt:lpwstr>11/02/2022 09:02:39</vt:lpwstr>
  </property>
  <property fmtid="{D5CDD505-2E9C-101B-9397-08002B2CF9AE}" pid="5" name="OriginalDocID">
    <vt:lpwstr>7303dcc8-b284-4a66-862a-37e7396b8073</vt:lpwstr>
  </property>
</Properties>
</file>