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C2586AC" w14:textId="77777777" w:rsidTr="00073A73">
        <w:trPr>
          <w:cantSplit/>
          <w:trHeight w:val="20"/>
        </w:trPr>
        <w:tc>
          <w:tcPr>
            <w:tcW w:w="6620" w:type="dxa"/>
          </w:tcPr>
          <w:p w14:paraId="7FE0FEE3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759F524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1D1C3405" wp14:editId="5E04627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6F67AE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6AC7CE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418775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2E6D306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8D5E33C" w14:textId="77777777" w:rsidR="00314DAF" w:rsidRPr="003A0ECA" w:rsidRDefault="00314DAF" w:rsidP="00DD08F8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07B3D2F" w14:textId="77777777" w:rsidR="00314DAF" w:rsidRPr="003A0ECA" w:rsidRDefault="00314DAF" w:rsidP="00DD08F8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8D84DFC" w14:textId="77777777" w:rsidTr="00073A73">
        <w:trPr>
          <w:cantSplit/>
        </w:trPr>
        <w:tc>
          <w:tcPr>
            <w:tcW w:w="6620" w:type="dxa"/>
          </w:tcPr>
          <w:p w14:paraId="3C3A415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1E9290B" w14:textId="5E73E3A4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CC629D">
              <w:rPr>
                <w:b/>
                <w:bCs/>
              </w:rPr>
              <w:t>204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7A4D5F0" w14:textId="77777777" w:rsidTr="00073A73">
        <w:trPr>
          <w:cantSplit/>
        </w:trPr>
        <w:tc>
          <w:tcPr>
            <w:tcW w:w="6620" w:type="dxa"/>
          </w:tcPr>
          <w:p w14:paraId="6D347ED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1F38E40" w14:textId="7D32653D" w:rsidR="00314DAF" w:rsidRPr="00F37276" w:rsidRDefault="00CC629D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2257D209" w14:textId="77777777" w:rsidTr="00073A73">
        <w:trPr>
          <w:cantSplit/>
        </w:trPr>
        <w:tc>
          <w:tcPr>
            <w:tcW w:w="6620" w:type="dxa"/>
          </w:tcPr>
          <w:p w14:paraId="19B023D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55CC0A9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E7A042B" w14:textId="77777777" w:rsidTr="00073A73">
        <w:trPr>
          <w:cantSplit/>
        </w:trPr>
        <w:tc>
          <w:tcPr>
            <w:tcW w:w="6620" w:type="dxa"/>
          </w:tcPr>
          <w:p w14:paraId="1E21776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4EEF6A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CC1C684" w14:textId="77777777" w:rsidTr="00073A73">
        <w:trPr>
          <w:cantSplit/>
        </w:trPr>
        <w:tc>
          <w:tcPr>
            <w:tcW w:w="9672" w:type="dxa"/>
            <w:gridSpan w:val="2"/>
          </w:tcPr>
          <w:p w14:paraId="09FEBDBE" w14:textId="6F089F4F" w:rsidR="00314DAF" w:rsidRPr="00DD08F8" w:rsidRDefault="00314DAF" w:rsidP="00DD08F8">
            <w:pPr>
              <w:pStyle w:val="Source"/>
              <w:rPr>
                <w:rFonts w:hint="cs"/>
              </w:rPr>
            </w:pPr>
          </w:p>
        </w:tc>
      </w:tr>
      <w:tr w:rsidR="00314DAF" w:rsidRPr="003A0ECA" w14:paraId="1821F43E" w14:textId="77777777" w:rsidTr="00073A73">
        <w:trPr>
          <w:cantSplit/>
        </w:trPr>
        <w:tc>
          <w:tcPr>
            <w:tcW w:w="9672" w:type="dxa"/>
            <w:gridSpan w:val="2"/>
          </w:tcPr>
          <w:p w14:paraId="00E97B0B" w14:textId="209D5C46" w:rsidR="00314DAF" w:rsidRPr="003A0ECA" w:rsidRDefault="007822B3" w:rsidP="00073A73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محضر الجلسة العامة </w:t>
            </w:r>
            <w:r w:rsidR="00866F5D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الرابعة عشرة</w:t>
            </w:r>
          </w:p>
        </w:tc>
      </w:tr>
      <w:tr w:rsidR="00314DAF" w:rsidRPr="003A0ECA" w14:paraId="49D1E5E6" w14:textId="77777777" w:rsidTr="00073A73">
        <w:trPr>
          <w:cantSplit/>
        </w:trPr>
        <w:tc>
          <w:tcPr>
            <w:tcW w:w="9672" w:type="dxa"/>
            <w:gridSpan w:val="2"/>
          </w:tcPr>
          <w:p w14:paraId="69A3BE8C" w14:textId="282B6487" w:rsidR="00314DAF" w:rsidRPr="003A0ECA" w:rsidRDefault="004F1394" w:rsidP="007328DB">
            <w:pPr>
              <w:pStyle w:val="Title2"/>
              <w:rPr>
                <w:lang w:bidi="ar-EG"/>
              </w:rPr>
            </w:pPr>
            <w:r w:rsidRPr="00866F5D">
              <w:rPr>
                <w:rFonts w:hint="cs"/>
                <w:sz w:val="24"/>
                <w:szCs w:val="24"/>
                <w:rtl/>
              </w:rPr>
              <w:t>الثلاثاء</w:t>
            </w:r>
            <w:r w:rsidR="00DA3607" w:rsidRPr="00866F5D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DA3607" w:rsidRPr="00866F5D">
              <w:rPr>
                <w:sz w:val="24"/>
                <w:szCs w:val="24"/>
              </w:rPr>
              <w:t>11</w:t>
            </w:r>
            <w:r w:rsidR="00DA3607" w:rsidRPr="00866F5D">
              <w:rPr>
                <w:rFonts w:hint="cs"/>
                <w:sz w:val="24"/>
                <w:szCs w:val="24"/>
                <w:rtl/>
                <w:lang w:bidi="ar-EG"/>
              </w:rPr>
              <w:t xml:space="preserve"> أكتوبر </w:t>
            </w:r>
            <w:r w:rsidR="00DA3607" w:rsidRPr="00866F5D">
              <w:rPr>
                <w:sz w:val="24"/>
                <w:szCs w:val="24"/>
                <w:lang w:bidi="ar-EG"/>
              </w:rPr>
              <w:t>2022</w:t>
            </w:r>
            <w:r w:rsidR="00DA3607" w:rsidRPr="00866F5D">
              <w:rPr>
                <w:rFonts w:hint="cs"/>
                <w:sz w:val="24"/>
                <w:szCs w:val="24"/>
                <w:rtl/>
                <w:lang w:bidi="ar-EG"/>
              </w:rPr>
              <w:t xml:space="preserve">، </w:t>
            </w:r>
            <w:r w:rsidR="007822B3" w:rsidRPr="00866F5D">
              <w:rPr>
                <w:rFonts w:hint="cs"/>
                <w:sz w:val="24"/>
                <w:szCs w:val="24"/>
                <w:rtl/>
                <w:lang w:bidi="ar-EG"/>
              </w:rPr>
              <w:t>الساعة</w:t>
            </w:r>
            <w:r w:rsidR="00DA3607" w:rsidRPr="00866F5D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DA3607" w:rsidRPr="00866F5D">
              <w:rPr>
                <w:sz w:val="24"/>
                <w:szCs w:val="24"/>
                <w:lang w:bidi="ar-EG"/>
              </w:rPr>
              <w:t>09:40</w:t>
            </w:r>
          </w:p>
        </w:tc>
      </w:tr>
      <w:tr w:rsidR="00314DAF" w:rsidRPr="003A0ECA" w14:paraId="4ABCB102" w14:textId="77777777" w:rsidTr="00073A73">
        <w:trPr>
          <w:cantSplit/>
        </w:trPr>
        <w:tc>
          <w:tcPr>
            <w:tcW w:w="9672" w:type="dxa"/>
            <w:gridSpan w:val="2"/>
          </w:tcPr>
          <w:p w14:paraId="146D9368" w14:textId="07307BD6" w:rsidR="00314DAF" w:rsidRPr="003A0ECA" w:rsidRDefault="007328DB" w:rsidP="00866F5D">
            <w:pPr>
              <w:spacing w:before="240" w:after="120"/>
              <w:jc w:val="center"/>
              <w:rPr>
                <w:rtl/>
              </w:rPr>
            </w:pPr>
            <w:r>
              <w:rPr>
                <w:rFonts w:eastAsia="SimSun"/>
                <w:b/>
                <w:bCs/>
                <w:rtl/>
                <w:lang w:val="en-GB" w:eastAsia="en-US" w:bidi="ar-EG"/>
              </w:rPr>
              <w:t>الرئيس:</w:t>
            </w:r>
            <w:r>
              <w:rPr>
                <w:rtl/>
              </w:rPr>
              <w:t xml:space="preserve"> السيد سابين </w:t>
            </w:r>
            <w:proofErr w:type="spellStart"/>
            <w:r>
              <w:rPr>
                <w:rtl/>
              </w:rPr>
              <w:t>سارماش</w:t>
            </w:r>
            <w:proofErr w:type="spellEnd"/>
            <w:r>
              <w:rPr>
                <w:rtl/>
              </w:rPr>
              <w:t xml:space="preserve"> (رومانيا)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12"/>
        <w:gridCol w:w="7116"/>
        <w:gridCol w:w="2011"/>
      </w:tblGrid>
      <w:tr w:rsidR="00DA3607" w:rsidRPr="00321384" w14:paraId="2829F3D4" w14:textId="77777777" w:rsidTr="009969EC">
        <w:tc>
          <w:tcPr>
            <w:tcW w:w="266" w:type="pct"/>
          </w:tcPr>
          <w:p w14:paraId="464D912B" w14:textId="77777777" w:rsidR="00DA3607" w:rsidRPr="00321384" w:rsidRDefault="00DA3607" w:rsidP="00485F03">
            <w:pPr>
              <w:tabs>
                <w:tab w:val="right" w:pos="9781"/>
              </w:tabs>
              <w:spacing w:before="100" w:after="120"/>
              <w:rPr>
                <w:rFonts w:eastAsia="Times New Roman"/>
                <w:b/>
                <w:lang w:val="en-CA"/>
              </w:rPr>
            </w:pPr>
          </w:p>
        </w:tc>
        <w:tc>
          <w:tcPr>
            <w:tcW w:w="3691" w:type="pct"/>
          </w:tcPr>
          <w:p w14:paraId="28C70A12" w14:textId="508CF0A5" w:rsidR="00DA3607" w:rsidRPr="00321384" w:rsidRDefault="006E66D0" w:rsidP="006E66D0">
            <w:pPr>
              <w:rPr>
                <w:b/>
                <w:bCs/>
                <w:lang w:val="en-CA"/>
              </w:rPr>
            </w:pPr>
            <w:r w:rsidRPr="00321384">
              <w:rPr>
                <w:b/>
                <w:bCs/>
                <w:rtl/>
                <w:lang w:val="en-CA"/>
              </w:rPr>
              <w:t>موضوعات المناقشة</w:t>
            </w:r>
          </w:p>
        </w:tc>
        <w:tc>
          <w:tcPr>
            <w:tcW w:w="1043" w:type="pct"/>
          </w:tcPr>
          <w:p w14:paraId="76DA1A25" w14:textId="31F7A77F" w:rsidR="00DA3607" w:rsidRPr="00321384" w:rsidRDefault="006E66D0" w:rsidP="006E66D0">
            <w:pPr>
              <w:jc w:val="center"/>
              <w:rPr>
                <w:b/>
                <w:bCs/>
                <w:lang w:val="en-CA"/>
              </w:rPr>
            </w:pPr>
            <w:r w:rsidRPr="00321384">
              <w:rPr>
                <w:b/>
                <w:bCs/>
                <w:rtl/>
                <w:lang w:val="en-CA"/>
              </w:rPr>
              <w:t>الوثائق</w:t>
            </w:r>
          </w:p>
        </w:tc>
      </w:tr>
      <w:tr w:rsidR="00DA3607" w:rsidRPr="00321384" w14:paraId="6A814FCE" w14:textId="77777777" w:rsidTr="009969EC">
        <w:tc>
          <w:tcPr>
            <w:tcW w:w="266" w:type="pct"/>
          </w:tcPr>
          <w:p w14:paraId="6C7BE58D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bookmarkStart w:id="1" w:name="_Hlk118125749"/>
            <w:r w:rsidRPr="00321384">
              <w:rPr>
                <w:lang w:val="en-CA"/>
              </w:rPr>
              <w:t>1</w:t>
            </w:r>
          </w:p>
        </w:tc>
        <w:tc>
          <w:tcPr>
            <w:tcW w:w="3691" w:type="pct"/>
          </w:tcPr>
          <w:p w14:paraId="682254BF" w14:textId="271583DB" w:rsidR="00DA3607" w:rsidRPr="00321384" w:rsidRDefault="00295D4B" w:rsidP="009969EC">
            <w:pPr>
              <w:rPr>
                <w:rFonts w:eastAsia="Times New Roman"/>
                <w:lang w:val="en-CA"/>
              </w:rPr>
            </w:pPr>
            <w:r w:rsidRPr="007C49BF">
              <w:rPr>
                <w:rFonts w:hint="cs"/>
                <w:rtl/>
                <w:lang w:bidi="ar-EG"/>
              </w:rPr>
              <w:t xml:space="preserve">تقرير اللجنة </w:t>
            </w:r>
            <w:r w:rsidRPr="007C49BF">
              <w:rPr>
                <w:lang w:val="en-GB" w:bidi="ar-EG"/>
              </w:rPr>
              <w:t>3</w:t>
            </w:r>
            <w:r w:rsidRPr="007C49BF">
              <w:rPr>
                <w:rFonts w:hint="cs"/>
                <w:rtl/>
                <w:lang w:bidi="ar-EG"/>
              </w:rPr>
              <w:t xml:space="preserve"> (مراقبة الميزانية)</w:t>
            </w:r>
          </w:p>
        </w:tc>
        <w:tc>
          <w:tcPr>
            <w:tcW w:w="1043" w:type="pct"/>
          </w:tcPr>
          <w:p w14:paraId="081A0D6A" w14:textId="77777777" w:rsidR="00DA3607" w:rsidRPr="00321384" w:rsidRDefault="005D734F" w:rsidP="009969EC">
            <w:pPr>
              <w:jc w:val="center"/>
              <w:rPr>
                <w:rFonts w:eastAsia="Times New Roman"/>
                <w:lang w:val="en-CA"/>
              </w:rPr>
            </w:pPr>
            <w:hyperlink r:id="rId9" w:history="1">
              <w:r w:rsidR="00DA3607" w:rsidRPr="00321384">
                <w:rPr>
                  <w:rStyle w:val="Hyperlink"/>
                  <w:lang w:val="en-CA"/>
                </w:rPr>
                <w:t>165</w:t>
              </w:r>
            </w:hyperlink>
          </w:p>
        </w:tc>
      </w:tr>
      <w:tr w:rsidR="00DA3607" w:rsidRPr="00321384" w14:paraId="61166F7D" w14:textId="77777777" w:rsidTr="009969EC">
        <w:tc>
          <w:tcPr>
            <w:tcW w:w="266" w:type="pct"/>
          </w:tcPr>
          <w:p w14:paraId="7DDF89CB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2</w:t>
            </w:r>
          </w:p>
        </w:tc>
        <w:tc>
          <w:tcPr>
            <w:tcW w:w="3691" w:type="pct"/>
          </w:tcPr>
          <w:p w14:paraId="03B62989" w14:textId="738CC8ED" w:rsidR="00DA3607" w:rsidRPr="00321384" w:rsidRDefault="00552440" w:rsidP="009969EC">
            <w:pPr>
              <w:rPr>
                <w:rFonts w:eastAsia="Times New Roman"/>
                <w:lang w:val="en-CA"/>
              </w:rPr>
            </w:pPr>
            <w:r w:rsidRPr="00552440">
              <w:rPr>
                <w:rFonts w:hint="cs"/>
                <w:rtl/>
                <w:lang w:val="en-CA"/>
              </w:rPr>
              <w:t>المجموعة السادسة</w:t>
            </w:r>
            <w:r w:rsidR="00850FC7">
              <w:rPr>
                <w:rFonts w:hint="cs"/>
                <w:rtl/>
                <w:lang w:val="en-CA" w:bidi="ar-EG"/>
              </w:rPr>
              <w:t xml:space="preserve"> عشر</w:t>
            </w:r>
            <w:r w:rsidR="00BF17F7">
              <w:rPr>
                <w:rFonts w:hint="cs"/>
                <w:rtl/>
                <w:lang w:val="en-CA" w:bidi="ar-EG"/>
              </w:rPr>
              <w:t>ة</w:t>
            </w:r>
            <w:r w:rsidRPr="00552440">
              <w:rPr>
                <w:rFonts w:hint="cs"/>
                <w:rtl/>
                <w:lang w:val="en-CA"/>
              </w:rPr>
              <w:t xml:space="preserve"> من النصوص المقدمة من لجنة الصياغة للقراءة الأولى </w:t>
            </w:r>
            <w:r w:rsidRPr="00552440">
              <w:rPr>
                <w:lang w:val="en-GB"/>
              </w:rPr>
              <w:t>(B</w:t>
            </w:r>
            <w:r>
              <w:rPr>
                <w:lang w:val="en-GB"/>
              </w:rPr>
              <w:t>1</w:t>
            </w:r>
            <w:r w:rsidRPr="00552440">
              <w:rPr>
                <w:lang w:val="en-GB"/>
              </w:rPr>
              <w:t>6)</w:t>
            </w:r>
          </w:p>
        </w:tc>
        <w:tc>
          <w:tcPr>
            <w:tcW w:w="1043" w:type="pct"/>
          </w:tcPr>
          <w:p w14:paraId="7E6418C0" w14:textId="77777777" w:rsidR="00DA3607" w:rsidRPr="00321384" w:rsidRDefault="005D734F" w:rsidP="009969EC">
            <w:pPr>
              <w:jc w:val="center"/>
              <w:rPr>
                <w:rFonts w:eastAsia="Times New Roman"/>
                <w:lang w:val="en-CA"/>
              </w:rPr>
            </w:pPr>
            <w:hyperlink r:id="rId10" w:history="1">
              <w:r w:rsidR="00DA3607" w:rsidRPr="00321384">
                <w:rPr>
                  <w:rStyle w:val="Hyperlink"/>
                  <w:lang w:val="en-CA"/>
                </w:rPr>
                <w:t>167</w:t>
              </w:r>
            </w:hyperlink>
          </w:p>
        </w:tc>
      </w:tr>
      <w:tr w:rsidR="00DA3607" w:rsidRPr="00321384" w14:paraId="10349118" w14:textId="77777777" w:rsidTr="009969EC">
        <w:tc>
          <w:tcPr>
            <w:tcW w:w="266" w:type="pct"/>
          </w:tcPr>
          <w:p w14:paraId="34C0046C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3</w:t>
            </w:r>
          </w:p>
        </w:tc>
        <w:tc>
          <w:tcPr>
            <w:tcW w:w="3691" w:type="pct"/>
          </w:tcPr>
          <w:p w14:paraId="4576804C" w14:textId="7B051B70" w:rsidR="00DA3607" w:rsidRPr="00321384" w:rsidRDefault="00552440" w:rsidP="009969EC">
            <w:pPr>
              <w:rPr>
                <w:rFonts w:eastAsia="Times New Roman"/>
                <w:lang w:val="en-CA"/>
              </w:rPr>
            </w:pPr>
            <w:r w:rsidRPr="00552440">
              <w:rPr>
                <w:rFonts w:hint="cs"/>
                <w:rtl/>
                <w:lang w:val="en-CA" w:bidi="ar-EG"/>
              </w:rPr>
              <w:t xml:space="preserve">المجموعة السادسة </w:t>
            </w:r>
            <w:r w:rsidR="00850FC7">
              <w:rPr>
                <w:rFonts w:hint="cs"/>
                <w:rtl/>
                <w:lang w:val="en-CA" w:bidi="ar-EG"/>
              </w:rPr>
              <w:t>عشر</w:t>
            </w:r>
            <w:r w:rsidR="00BF17F7">
              <w:rPr>
                <w:rFonts w:hint="cs"/>
                <w:rtl/>
                <w:lang w:val="en-CA" w:bidi="ar-EG"/>
              </w:rPr>
              <w:t>ة</w:t>
            </w:r>
            <w:r w:rsidR="00850FC7">
              <w:rPr>
                <w:rFonts w:hint="cs"/>
                <w:rtl/>
                <w:lang w:val="en-CA" w:bidi="ar-EG"/>
              </w:rPr>
              <w:t xml:space="preserve"> </w:t>
            </w:r>
            <w:r w:rsidRPr="00552440">
              <w:rPr>
                <w:rFonts w:hint="cs"/>
                <w:rtl/>
                <w:lang w:val="en-CA" w:bidi="ar-EG"/>
              </w:rPr>
              <w:t>من النصوص المقدمة من لجنة الصياغة - القراءة الثانية</w:t>
            </w:r>
          </w:p>
        </w:tc>
        <w:tc>
          <w:tcPr>
            <w:tcW w:w="1043" w:type="pct"/>
          </w:tcPr>
          <w:p w14:paraId="6E24AE03" w14:textId="77777777" w:rsidR="00DA3607" w:rsidRPr="00321384" w:rsidRDefault="00DA3607" w:rsidP="009969EC">
            <w:pPr>
              <w:jc w:val="center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167</w:t>
            </w:r>
          </w:p>
        </w:tc>
      </w:tr>
      <w:tr w:rsidR="00DA3607" w:rsidRPr="00321384" w14:paraId="055FF5BF" w14:textId="77777777" w:rsidTr="009969EC">
        <w:tc>
          <w:tcPr>
            <w:tcW w:w="266" w:type="pct"/>
          </w:tcPr>
          <w:p w14:paraId="4BAEFDB1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4</w:t>
            </w:r>
          </w:p>
        </w:tc>
        <w:tc>
          <w:tcPr>
            <w:tcW w:w="3691" w:type="pct"/>
          </w:tcPr>
          <w:p w14:paraId="13473D14" w14:textId="0DFA94E5" w:rsidR="00DA3607" w:rsidRPr="00321384" w:rsidRDefault="00552440" w:rsidP="009969EC">
            <w:pPr>
              <w:rPr>
                <w:rFonts w:eastAsia="Times New Roman"/>
                <w:lang w:val="en-CA"/>
              </w:rPr>
            </w:pPr>
            <w:r w:rsidRPr="00552440">
              <w:rPr>
                <w:rFonts w:eastAsia="Times New Roman" w:hint="cs"/>
                <w:rtl/>
                <w:lang w:val="en-CA"/>
              </w:rPr>
              <w:t>المجموعة السابعة</w:t>
            </w:r>
            <w:r w:rsidR="006406DC">
              <w:rPr>
                <w:rFonts w:eastAsia="Times New Roman" w:hint="cs"/>
                <w:rtl/>
                <w:lang w:val="en-CA" w:bidi="ar-EG"/>
              </w:rPr>
              <w:t xml:space="preserve"> عشر</w:t>
            </w:r>
            <w:r w:rsidR="00BF17F7">
              <w:rPr>
                <w:rFonts w:eastAsia="Times New Roman" w:hint="cs"/>
                <w:rtl/>
                <w:lang w:val="en-CA" w:bidi="ar-EG"/>
              </w:rPr>
              <w:t>ة</w:t>
            </w:r>
            <w:r w:rsidRPr="00552440">
              <w:rPr>
                <w:rFonts w:eastAsia="Times New Roman" w:hint="cs"/>
                <w:rtl/>
                <w:lang w:val="en-CA"/>
              </w:rPr>
              <w:t xml:space="preserve"> من النصوص المقدمة من لجنة الصياغة للقراءة الأولى </w:t>
            </w:r>
            <w:r w:rsidRPr="00552440">
              <w:rPr>
                <w:rFonts w:eastAsia="Times New Roman"/>
                <w:lang w:val="en-GB"/>
              </w:rPr>
              <w:t>(B</w:t>
            </w:r>
            <w:r w:rsidR="006406DC">
              <w:rPr>
                <w:rFonts w:eastAsia="Times New Roman"/>
              </w:rPr>
              <w:t>1</w:t>
            </w:r>
            <w:r w:rsidRPr="00552440">
              <w:rPr>
                <w:rFonts w:eastAsia="Times New Roman"/>
                <w:lang w:val="en-GB"/>
              </w:rPr>
              <w:t>7)</w:t>
            </w:r>
          </w:p>
        </w:tc>
        <w:tc>
          <w:tcPr>
            <w:tcW w:w="1043" w:type="pct"/>
          </w:tcPr>
          <w:p w14:paraId="2EFEF093" w14:textId="77777777" w:rsidR="00DA3607" w:rsidRPr="00321384" w:rsidRDefault="005D734F" w:rsidP="009969EC">
            <w:pPr>
              <w:jc w:val="center"/>
              <w:rPr>
                <w:rFonts w:eastAsia="Times New Roman"/>
                <w:lang w:val="en-CA"/>
              </w:rPr>
            </w:pPr>
            <w:hyperlink r:id="rId11" w:history="1">
              <w:r w:rsidR="00DA3607" w:rsidRPr="00321384">
                <w:rPr>
                  <w:rStyle w:val="Hyperlink"/>
                  <w:lang w:val="en-CA"/>
                </w:rPr>
                <w:t>173</w:t>
              </w:r>
            </w:hyperlink>
          </w:p>
        </w:tc>
      </w:tr>
      <w:tr w:rsidR="00DA3607" w:rsidRPr="00321384" w14:paraId="40DD93F8" w14:textId="77777777" w:rsidTr="009969EC">
        <w:tc>
          <w:tcPr>
            <w:tcW w:w="266" w:type="pct"/>
          </w:tcPr>
          <w:p w14:paraId="4D6358A8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5</w:t>
            </w:r>
          </w:p>
        </w:tc>
        <w:tc>
          <w:tcPr>
            <w:tcW w:w="3691" w:type="pct"/>
          </w:tcPr>
          <w:p w14:paraId="774D0EAD" w14:textId="612EDCBF" w:rsidR="00DA3607" w:rsidRPr="00321384" w:rsidRDefault="006406DC" w:rsidP="009969EC">
            <w:pPr>
              <w:rPr>
                <w:rFonts w:eastAsia="Times New Roman"/>
                <w:spacing w:val="-2"/>
                <w:lang w:val="en-CA"/>
              </w:rPr>
            </w:pPr>
            <w:r w:rsidRPr="006406DC">
              <w:rPr>
                <w:rFonts w:hint="cs"/>
                <w:rtl/>
                <w:lang w:val="en-CA"/>
              </w:rPr>
              <w:t>المجموعة السابعة</w:t>
            </w:r>
            <w:r w:rsidR="00850FC7">
              <w:rPr>
                <w:rFonts w:hint="cs"/>
                <w:rtl/>
                <w:lang w:val="en-CA"/>
              </w:rPr>
              <w:t xml:space="preserve"> عشر</w:t>
            </w:r>
            <w:r w:rsidR="00BF17F7">
              <w:rPr>
                <w:rFonts w:hint="cs"/>
                <w:rtl/>
                <w:lang w:val="en-CA"/>
              </w:rPr>
              <w:t>ة</w:t>
            </w:r>
            <w:r w:rsidRPr="006406DC">
              <w:rPr>
                <w:rFonts w:hint="cs"/>
                <w:rtl/>
                <w:lang w:val="en-CA"/>
              </w:rPr>
              <w:t xml:space="preserve"> من النصوص المقدمة من لجنة الصياغة - القراءة الثانية</w:t>
            </w:r>
          </w:p>
        </w:tc>
        <w:tc>
          <w:tcPr>
            <w:tcW w:w="1043" w:type="pct"/>
          </w:tcPr>
          <w:p w14:paraId="62390765" w14:textId="77777777" w:rsidR="00DA3607" w:rsidRPr="00321384" w:rsidRDefault="00DA3607" w:rsidP="009969EC">
            <w:pPr>
              <w:jc w:val="center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173</w:t>
            </w:r>
          </w:p>
        </w:tc>
      </w:tr>
      <w:tr w:rsidR="00DA3607" w:rsidRPr="00321384" w14:paraId="780353FB" w14:textId="77777777" w:rsidTr="009969EC">
        <w:tc>
          <w:tcPr>
            <w:tcW w:w="266" w:type="pct"/>
          </w:tcPr>
          <w:p w14:paraId="0F82689D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6</w:t>
            </w:r>
          </w:p>
        </w:tc>
        <w:tc>
          <w:tcPr>
            <w:tcW w:w="3691" w:type="pct"/>
          </w:tcPr>
          <w:p w14:paraId="18F40882" w14:textId="097530BB" w:rsidR="00DA3607" w:rsidRPr="00321384" w:rsidRDefault="00850FC7" w:rsidP="009969EC">
            <w:pPr>
              <w:rPr>
                <w:rFonts w:eastAsia="Times New Roman"/>
                <w:lang w:val="en-CA"/>
              </w:rPr>
            </w:pPr>
            <w:r w:rsidRPr="00552440">
              <w:rPr>
                <w:rFonts w:eastAsia="Times New Roman" w:hint="cs"/>
                <w:rtl/>
                <w:lang w:val="en-CA"/>
              </w:rPr>
              <w:t xml:space="preserve">المجموعة </w:t>
            </w:r>
            <w:r w:rsidR="00217922">
              <w:rPr>
                <w:rFonts w:eastAsia="Times New Roman" w:hint="cs"/>
                <w:rtl/>
                <w:lang w:val="en-CA"/>
              </w:rPr>
              <w:t>الثامنة</w:t>
            </w:r>
            <w:r>
              <w:rPr>
                <w:rFonts w:eastAsia="Times New Roman" w:hint="cs"/>
                <w:rtl/>
                <w:lang w:val="en-CA" w:bidi="ar-EG"/>
              </w:rPr>
              <w:t xml:space="preserve"> عشر</w:t>
            </w:r>
            <w:r w:rsidR="00BF17F7">
              <w:rPr>
                <w:rFonts w:eastAsia="Times New Roman" w:hint="cs"/>
                <w:rtl/>
                <w:lang w:val="en-CA" w:bidi="ar-EG"/>
              </w:rPr>
              <w:t>ة</w:t>
            </w:r>
            <w:r w:rsidRPr="00552440">
              <w:rPr>
                <w:rFonts w:eastAsia="Times New Roman" w:hint="cs"/>
                <w:rtl/>
                <w:lang w:val="en-CA"/>
              </w:rPr>
              <w:t xml:space="preserve"> من النصوص المقدمة من لجنة الصياغة للقراءة الأولى </w:t>
            </w:r>
            <w:r w:rsidRPr="00552440">
              <w:rPr>
                <w:rFonts w:eastAsia="Times New Roman"/>
                <w:lang w:val="en-GB"/>
              </w:rPr>
              <w:t>(B</w:t>
            </w:r>
            <w:r>
              <w:rPr>
                <w:rFonts w:eastAsia="Times New Roman"/>
              </w:rPr>
              <w:t>1</w:t>
            </w:r>
            <w:r w:rsidR="00295D4B">
              <w:rPr>
                <w:rFonts w:eastAsia="Times New Roman"/>
                <w:lang w:val="en-GB"/>
              </w:rPr>
              <w:t>8</w:t>
            </w:r>
            <w:r w:rsidRPr="00552440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1043" w:type="pct"/>
          </w:tcPr>
          <w:p w14:paraId="64F722EA" w14:textId="77777777" w:rsidR="00DA3607" w:rsidRPr="00321384" w:rsidRDefault="005D734F" w:rsidP="009969EC">
            <w:pPr>
              <w:jc w:val="center"/>
              <w:rPr>
                <w:rFonts w:eastAsia="Times New Roman"/>
                <w:lang w:val="en-CA"/>
              </w:rPr>
            </w:pPr>
            <w:hyperlink r:id="rId12" w:history="1">
              <w:r w:rsidR="00DA3607" w:rsidRPr="00321384">
                <w:rPr>
                  <w:rStyle w:val="Hyperlink"/>
                  <w:lang w:val="en-CA"/>
                </w:rPr>
                <w:t>174</w:t>
              </w:r>
            </w:hyperlink>
          </w:p>
        </w:tc>
      </w:tr>
      <w:tr w:rsidR="00DA3607" w:rsidRPr="00321384" w14:paraId="063CC366" w14:textId="77777777" w:rsidTr="009969EC">
        <w:tc>
          <w:tcPr>
            <w:tcW w:w="266" w:type="pct"/>
          </w:tcPr>
          <w:p w14:paraId="32B9B062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7</w:t>
            </w:r>
          </w:p>
        </w:tc>
        <w:tc>
          <w:tcPr>
            <w:tcW w:w="3691" w:type="pct"/>
          </w:tcPr>
          <w:p w14:paraId="18B05E2B" w14:textId="0726124A" w:rsidR="00DA3607" w:rsidRPr="00321384" w:rsidRDefault="005D1B12" w:rsidP="009969EC">
            <w:pPr>
              <w:rPr>
                <w:rFonts w:eastAsia="Times New Roman"/>
                <w:lang w:val="en-CA"/>
              </w:rPr>
            </w:pPr>
            <w:r w:rsidRPr="006406DC">
              <w:rPr>
                <w:rFonts w:hint="cs"/>
                <w:rtl/>
                <w:lang w:val="en-CA"/>
              </w:rPr>
              <w:t xml:space="preserve">المجموعة </w:t>
            </w:r>
            <w:r w:rsidR="00217922">
              <w:rPr>
                <w:rFonts w:hint="cs"/>
                <w:rtl/>
                <w:lang w:val="en-CA"/>
              </w:rPr>
              <w:t>الثامنة</w:t>
            </w:r>
            <w:r>
              <w:rPr>
                <w:rFonts w:hint="cs"/>
                <w:rtl/>
                <w:lang w:val="en-CA"/>
              </w:rPr>
              <w:t xml:space="preserve"> عشر</w:t>
            </w:r>
            <w:r w:rsidR="00BF17F7">
              <w:rPr>
                <w:rFonts w:hint="cs"/>
                <w:rtl/>
                <w:lang w:val="en-CA"/>
              </w:rPr>
              <w:t>ة</w:t>
            </w:r>
            <w:r w:rsidRPr="006406DC">
              <w:rPr>
                <w:rFonts w:hint="cs"/>
                <w:rtl/>
                <w:lang w:val="en-CA"/>
              </w:rPr>
              <w:t xml:space="preserve"> من النصوص المقدمة من لجنة الصياغة - القراءة الثانية</w:t>
            </w:r>
          </w:p>
        </w:tc>
        <w:tc>
          <w:tcPr>
            <w:tcW w:w="1043" w:type="pct"/>
          </w:tcPr>
          <w:p w14:paraId="411964CC" w14:textId="77777777" w:rsidR="00DA3607" w:rsidRPr="00321384" w:rsidRDefault="00DA3607" w:rsidP="009969EC">
            <w:pPr>
              <w:jc w:val="center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174</w:t>
            </w:r>
          </w:p>
        </w:tc>
      </w:tr>
      <w:bookmarkEnd w:id="1"/>
      <w:tr w:rsidR="00DA3607" w:rsidRPr="00321384" w14:paraId="19EE7C10" w14:textId="77777777" w:rsidTr="009969EC">
        <w:tc>
          <w:tcPr>
            <w:tcW w:w="266" w:type="pct"/>
          </w:tcPr>
          <w:p w14:paraId="6420D900" w14:textId="77777777" w:rsidR="00DA3607" w:rsidRPr="00321384" w:rsidRDefault="00DA3607" w:rsidP="009969EC">
            <w:pPr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8</w:t>
            </w:r>
          </w:p>
        </w:tc>
        <w:tc>
          <w:tcPr>
            <w:tcW w:w="3691" w:type="pct"/>
          </w:tcPr>
          <w:p w14:paraId="5B31B0A3" w14:textId="33050810" w:rsidR="00DA3607" w:rsidRPr="00321384" w:rsidRDefault="006406DC" w:rsidP="009969EC">
            <w:pPr>
              <w:rPr>
                <w:rFonts w:eastAsia="Times New Roman"/>
                <w:lang w:val="en-CA"/>
              </w:rPr>
            </w:pPr>
            <w:r w:rsidRPr="006406DC">
              <w:rPr>
                <w:rFonts w:hint="cs"/>
                <w:rtl/>
                <w:lang w:val="en-CA" w:bidi="ar-EG"/>
              </w:rPr>
              <w:t>الموافقة على المحاضر</w:t>
            </w:r>
          </w:p>
        </w:tc>
        <w:tc>
          <w:tcPr>
            <w:tcW w:w="1043" w:type="pct"/>
          </w:tcPr>
          <w:p w14:paraId="1C523CAD" w14:textId="44165C70" w:rsidR="00DA3607" w:rsidRPr="00321384" w:rsidRDefault="005D734F" w:rsidP="009969EC">
            <w:pPr>
              <w:jc w:val="center"/>
              <w:rPr>
                <w:rFonts w:eastAsia="Times New Roman"/>
                <w:lang w:val="en-CA"/>
              </w:rPr>
            </w:pPr>
            <w:hyperlink r:id="rId13" w:history="1">
              <w:r w:rsidR="00DA3607" w:rsidRPr="00321384">
                <w:rPr>
                  <w:rStyle w:val="Hyperlink"/>
                  <w:lang w:val="en-CA"/>
                </w:rPr>
                <w:t>107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4" w:history="1">
              <w:r w:rsidR="00DA3607" w:rsidRPr="00321384">
                <w:rPr>
                  <w:rStyle w:val="Hyperlink"/>
                  <w:lang w:val="en-CA"/>
                </w:rPr>
                <w:t>108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5" w:history="1">
              <w:r w:rsidR="00DA3607" w:rsidRPr="00321384">
                <w:rPr>
                  <w:rStyle w:val="Hyperlink"/>
                  <w:lang w:val="en-CA"/>
                </w:rPr>
                <w:t>115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6" w:history="1">
              <w:r w:rsidR="00DA3607" w:rsidRPr="00321384">
                <w:rPr>
                  <w:rStyle w:val="Hyperlink"/>
                  <w:lang w:val="en-CA"/>
                </w:rPr>
                <w:t>116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7" w:history="1">
              <w:r w:rsidR="00DA3607" w:rsidRPr="00321384">
                <w:rPr>
                  <w:rStyle w:val="Hyperlink"/>
                  <w:lang w:val="en-CA"/>
                </w:rPr>
                <w:t>117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8" w:history="1">
              <w:r w:rsidR="00DA3607" w:rsidRPr="00321384">
                <w:rPr>
                  <w:rStyle w:val="Hyperlink"/>
                  <w:lang w:val="en-CA"/>
                </w:rPr>
                <w:t>118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19" w:history="1">
              <w:r w:rsidR="00DA3607" w:rsidRPr="00321384">
                <w:rPr>
                  <w:rStyle w:val="Hyperlink"/>
                  <w:lang w:val="en-CA"/>
                </w:rPr>
                <w:t>139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20" w:history="1">
              <w:r w:rsidR="00DA3607" w:rsidRPr="00321384">
                <w:rPr>
                  <w:rStyle w:val="Hyperlink"/>
                  <w:lang w:val="en-CA"/>
                </w:rPr>
                <w:t>140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21" w:history="1">
              <w:r w:rsidR="00DA3607" w:rsidRPr="00321384">
                <w:rPr>
                  <w:rStyle w:val="Hyperlink"/>
                  <w:lang w:val="en-CA"/>
                </w:rPr>
                <w:t>141</w:t>
              </w:r>
            </w:hyperlink>
            <w:r w:rsidR="00321384" w:rsidRPr="00321384">
              <w:rPr>
                <w:rtl/>
                <w:lang w:val="en-CA"/>
              </w:rPr>
              <w:t xml:space="preserve">، </w:t>
            </w:r>
            <w:hyperlink r:id="rId22" w:history="1">
              <w:r w:rsidR="00DA3607" w:rsidRPr="00321384">
                <w:rPr>
                  <w:rStyle w:val="Hyperlink"/>
                  <w:lang w:val="en-CA"/>
                </w:rPr>
                <w:t>142</w:t>
              </w:r>
            </w:hyperlink>
          </w:p>
        </w:tc>
      </w:tr>
    </w:tbl>
    <w:p w14:paraId="2AD32C6C" w14:textId="77777777" w:rsidR="00AB35CD" w:rsidRDefault="00AB35CD" w:rsidP="007328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25BF6EB" w14:textId="795A0AAF" w:rsidR="00AB35CD" w:rsidRDefault="009969EC" w:rsidP="009969EC">
      <w:pPr>
        <w:pStyle w:val="Heading1"/>
        <w:rPr>
          <w:rtl/>
          <w:lang w:bidi="ar-EG"/>
        </w:rPr>
      </w:pPr>
      <w:r w:rsidRPr="007C49BF">
        <w:rPr>
          <w:lang w:bidi="ar-EG"/>
        </w:rPr>
        <w:lastRenderedPageBreak/>
        <w:t>1</w:t>
      </w:r>
      <w:r w:rsidRPr="007C49BF">
        <w:rPr>
          <w:lang w:bidi="ar-EG"/>
        </w:rPr>
        <w:tab/>
      </w:r>
      <w:r w:rsidR="007C49BF" w:rsidRPr="007C49BF">
        <w:rPr>
          <w:rFonts w:hint="cs"/>
          <w:rtl/>
          <w:lang w:bidi="ar-EG"/>
        </w:rPr>
        <w:t xml:space="preserve">تقرير اللجنة </w:t>
      </w:r>
      <w:r w:rsidR="007C49BF" w:rsidRPr="007C49BF">
        <w:rPr>
          <w:lang w:val="en-GB" w:bidi="ar-EG"/>
        </w:rPr>
        <w:t>3</w:t>
      </w:r>
      <w:r w:rsidR="007C49BF" w:rsidRPr="007C49BF">
        <w:rPr>
          <w:rFonts w:hint="cs"/>
          <w:rtl/>
          <w:lang w:bidi="ar-EG"/>
        </w:rPr>
        <w:t xml:space="preserve"> (مراقبة الميزانية) (الوثيقة </w:t>
      </w:r>
      <w:hyperlink r:id="rId23" w:history="1">
        <w:r w:rsidR="007C49BF" w:rsidRPr="007C49BF">
          <w:rPr>
            <w:rStyle w:val="Hyperlink"/>
            <w:lang w:val="en-CA"/>
          </w:rPr>
          <w:t>165</w:t>
        </w:r>
      </w:hyperlink>
      <w:r w:rsidR="007C49BF" w:rsidRPr="007C49BF">
        <w:rPr>
          <w:rFonts w:hint="cs"/>
          <w:rtl/>
          <w:lang w:val="en-GB" w:bidi="ar-EG"/>
        </w:rPr>
        <w:t>)</w:t>
      </w:r>
    </w:p>
    <w:p w14:paraId="5328ABE9" w14:textId="501699E5" w:rsidR="0087052D" w:rsidRDefault="007C49BF" w:rsidP="0057385A">
      <w:pPr>
        <w:rPr>
          <w:rtl/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87052D" w:rsidRPr="007328DB">
        <w:rPr>
          <w:rFonts w:hint="cs"/>
          <w:rtl/>
          <w:lang w:bidi="ar-SY"/>
        </w:rPr>
        <w:t xml:space="preserve">قال </w:t>
      </w:r>
      <w:r w:rsidR="0087052D" w:rsidRPr="007328DB">
        <w:rPr>
          <w:rFonts w:hint="cs"/>
          <w:b/>
          <w:bCs/>
          <w:rtl/>
          <w:lang w:bidi="ar-SY"/>
        </w:rPr>
        <w:t xml:space="preserve">رئيس اللجنة </w:t>
      </w:r>
      <w:r w:rsidR="0087052D" w:rsidRPr="007328DB">
        <w:rPr>
          <w:b/>
          <w:bCs/>
          <w:lang w:val="en-GB" w:bidi="ar-EG"/>
        </w:rPr>
        <w:t>3</w:t>
      </w:r>
      <w:r w:rsidR="0087052D" w:rsidRPr="007328DB">
        <w:rPr>
          <w:rFonts w:hint="cs"/>
          <w:b/>
          <w:bCs/>
          <w:rtl/>
          <w:lang w:bidi="ar-EG"/>
        </w:rPr>
        <w:t xml:space="preserve"> </w:t>
      </w:r>
      <w:r w:rsidR="0087052D" w:rsidRPr="007328DB">
        <w:rPr>
          <w:rFonts w:hint="cs"/>
          <w:rtl/>
          <w:lang w:bidi="ar-EG"/>
        </w:rPr>
        <w:t xml:space="preserve">عند </w:t>
      </w:r>
      <w:r w:rsidR="00BA0289" w:rsidRPr="007328DB">
        <w:rPr>
          <w:rFonts w:hint="cs"/>
          <w:rtl/>
          <w:lang w:bidi="ar-EG"/>
        </w:rPr>
        <w:t>عرضه</w:t>
      </w:r>
      <w:r w:rsidR="0087052D" w:rsidRPr="007328DB">
        <w:rPr>
          <w:rFonts w:hint="cs"/>
          <w:rtl/>
          <w:lang w:bidi="ar-EG"/>
        </w:rPr>
        <w:t xml:space="preserve"> لتقرير اللجنة الوارد في الوثيقة </w:t>
      </w:r>
      <w:r w:rsidR="0087052D" w:rsidRPr="007328DB">
        <w:rPr>
          <w:lang w:val="en-GB" w:bidi="ar-EG"/>
        </w:rPr>
        <w:t>165</w:t>
      </w:r>
      <w:r w:rsidR="0087052D" w:rsidRPr="007328DB">
        <w:rPr>
          <w:rFonts w:hint="cs"/>
          <w:rtl/>
          <w:lang w:bidi="ar-SY"/>
        </w:rPr>
        <w:t xml:space="preserve">، إن هذه الوثيقة ستُرفع </w:t>
      </w:r>
      <w:r w:rsidR="00A5451E" w:rsidRPr="007328DB">
        <w:rPr>
          <w:rFonts w:hint="cs"/>
          <w:rtl/>
          <w:lang w:bidi="ar-SY"/>
        </w:rPr>
        <w:t>لاحقاً</w:t>
      </w:r>
      <w:r w:rsidR="0087052D" w:rsidRPr="007328DB">
        <w:rPr>
          <w:rFonts w:hint="cs"/>
          <w:rtl/>
          <w:lang w:bidi="ar-SY"/>
        </w:rPr>
        <w:t xml:space="preserve"> إلى المجلس في دورته لعام</w:t>
      </w:r>
      <w:r w:rsidR="0087052D" w:rsidRPr="007328DB">
        <w:rPr>
          <w:rFonts w:hint="eastAsia"/>
          <w:rtl/>
          <w:lang w:bidi="ar-SY"/>
        </w:rPr>
        <w:t> </w:t>
      </w:r>
      <w:r w:rsidR="0087052D" w:rsidRPr="007328DB">
        <w:rPr>
          <w:lang w:val="en-GB" w:bidi="ar-EG"/>
        </w:rPr>
        <w:t>2023</w:t>
      </w:r>
      <w:r w:rsidR="0087052D" w:rsidRPr="007328DB">
        <w:rPr>
          <w:rFonts w:hint="cs"/>
          <w:rtl/>
          <w:lang w:bidi="ar-SY"/>
        </w:rPr>
        <w:t>.</w:t>
      </w:r>
      <w:r w:rsidR="0087052D" w:rsidRPr="007328DB">
        <w:rPr>
          <w:rFonts w:hint="cs"/>
          <w:rtl/>
          <w:lang w:bidi="ar-EG"/>
        </w:rPr>
        <w:t xml:space="preserve"> </w:t>
      </w:r>
      <w:r w:rsidR="00D91950" w:rsidRPr="007328DB">
        <w:rPr>
          <w:rFonts w:hint="cs"/>
          <w:rtl/>
          <w:lang w:bidi="ar-EG"/>
        </w:rPr>
        <w:t>وذكّر</w:t>
      </w:r>
      <w:r w:rsidR="00A5451E" w:rsidRPr="007328DB">
        <w:rPr>
          <w:rFonts w:hint="cs"/>
          <w:rtl/>
          <w:lang w:bidi="ar-EG"/>
        </w:rPr>
        <w:t xml:space="preserve"> </w:t>
      </w:r>
      <w:r w:rsidR="00D91950" w:rsidRPr="007328DB">
        <w:rPr>
          <w:rFonts w:hint="cs"/>
          <w:rtl/>
          <w:lang w:bidi="ar-EG"/>
        </w:rPr>
        <w:t>ب</w:t>
      </w:r>
      <w:r w:rsidR="00A5451E" w:rsidRPr="007328DB">
        <w:rPr>
          <w:rFonts w:hint="cs"/>
          <w:rtl/>
          <w:lang w:bidi="ar-EG"/>
        </w:rPr>
        <w:t xml:space="preserve">أن ميزانية المؤتمر التي وافق عليها المجلس في دورته لعام </w:t>
      </w:r>
      <w:r w:rsidR="00A5451E" w:rsidRPr="007328DB">
        <w:rPr>
          <w:lang w:bidi="ar-EG"/>
        </w:rPr>
        <w:t>2021</w:t>
      </w:r>
      <w:r w:rsidR="00A5451E" w:rsidRPr="007328DB">
        <w:rPr>
          <w:rFonts w:hint="cs"/>
          <w:rtl/>
          <w:lang w:bidi="ar-EG"/>
        </w:rPr>
        <w:t xml:space="preserve"> </w:t>
      </w:r>
      <w:r w:rsidR="00D91950" w:rsidRPr="007328DB">
        <w:rPr>
          <w:rFonts w:hint="cs"/>
          <w:rtl/>
          <w:lang w:bidi="ar-EG"/>
        </w:rPr>
        <w:t>بلغت</w:t>
      </w:r>
      <w:r w:rsidR="0057385A">
        <w:rPr>
          <w:rFonts w:hint="cs"/>
          <w:rtl/>
          <w:lang w:bidi="ar-EG"/>
        </w:rPr>
        <w:t xml:space="preserve"> </w:t>
      </w:r>
      <w:r w:rsidR="00D91950" w:rsidRPr="007328DB">
        <w:rPr>
          <w:lang w:bidi="ar-EG"/>
        </w:rPr>
        <w:t>2</w:t>
      </w:r>
      <w:r w:rsidR="007328DB" w:rsidRPr="007328DB">
        <w:rPr>
          <w:lang w:bidi="ar-EG"/>
        </w:rPr>
        <w:t> </w:t>
      </w:r>
      <w:r w:rsidR="00D91950" w:rsidRPr="007328DB">
        <w:rPr>
          <w:lang w:bidi="ar-EG"/>
        </w:rPr>
        <w:t>610</w:t>
      </w:r>
      <w:r w:rsidR="007328DB" w:rsidRPr="007328DB">
        <w:rPr>
          <w:lang w:bidi="ar-EG"/>
        </w:rPr>
        <w:t> </w:t>
      </w:r>
      <w:r w:rsidR="00D91950" w:rsidRPr="007328DB">
        <w:rPr>
          <w:lang w:bidi="ar-EG"/>
        </w:rPr>
        <w:t>000</w:t>
      </w:r>
      <w:r w:rsidR="007328DB" w:rsidRPr="007328DB">
        <w:rPr>
          <w:rFonts w:hint="eastAsia"/>
          <w:rtl/>
          <w:lang w:bidi="ar-EG"/>
        </w:rPr>
        <w:t> </w:t>
      </w:r>
      <w:r w:rsidR="00D91950" w:rsidRPr="007328DB">
        <w:rPr>
          <w:rFonts w:hint="cs"/>
          <w:rtl/>
          <w:lang w:bidi="ar-EG"/>
        </w:rPr>
        <w:t>فرنك سويسري، وأشار إلى أن</w:t>
      </w:r>
      <w:r w:rsidR="006D7912" w:rsidRPr="007328DB">
        <w:rPr>
          <w:rFonts w:hint="cs"/>
          <w:rtl/>
          <w:lang w:bidi="ar-EG"/>
        </w:rPr>
        <w:t>ه كان من المتوقع أن تبلغ</w:t>
      </w:r>
      <w:r w:rsidR="00D91950" w:rsidRPr="007328DB">
        <w:rPr>
          <w:rFonts w:hint="cs"/>
          <w:rtl/>
          <w:lang w:bidi="ar-EG"/>
        </w:rPr>
        <w:t xml:space="preserve"> النفقات </w:t>
      </w:r>
      <w:r w:rsidR="006D7912" w:rsidRPr="007328DB">
        <w:rPr>
          <w:rFonts w:hint="cs"/>
          <w:rtl/>
          <w:lang w:bidi="ar-EG"/>
        </w:rPr>
        <w:t xml:space="preserve">الفعلية </w:t>
      </w:r>
      <w:r w:rsidR="006D7912" w:rsidRPr="007328DB">
        <w:rPr>
          <w:lang w:bidi="ar-EG"/>
        </w:rPr>
        <w:t>2 369 000</w:t>
      </w:r>
      <w:r w:rsidR="006D7912" w:rsidRPr="007328DB">
        <w:rPr>
          <w:rFonts w:hint="cs"/>
          <w:rtl/>
          <w:lang w:bidi="ar-EG"/>
        </w:rPr>
        <w:t xml:space="preserve"> فرنك سويسري، </w:t>
      </w:r>
      <w:r w:rsidR="00445FBC" w:rsidRPr="007328DB">
        <w:rPr>
          <w:rFonts w:hint="cs"/>
          <w:rtl/>
          <w:lang w:bidi="ar-EG"/>
        </w:rPr>
        <w:t xml:space="preserve">مما يترك </w:t>
      </w:r>
      <w:r w:rsidR="00C353D6" w:rsidRPr="007328DB">
        <w:rPr>
          <w:rFonts w:hint="cs"/>
          <w:rtl/>
          <w:lang w:bidi="ar-EG"/>
        </w:rPr>
        <w:t>رصيد</w:t>
      </w:r>
      <w:r w:rsidR="00445FBC" w:rsidRPr="007328DB">
        <w:rPr>
          <w:rFonts w:hint="cs"/>
          <w:rtl/>
          <w:lang w:bidi="ar-EG"/>
        </w:rPr>
        <w:t>اً</w:t>
      </w:r>
      <w:r w:rsidR="00C353D6" w:rsidRPr="007328DB">
        <w:rPr>
          <w:rFonts w:hint="cs"/>
          <w:rtl/>
          <w:lang w:bidi="ar-EG"/>
        </w:rPr>
        <w:t xml:space="preserve"> قدره </w:t>
      </w:r>
      <w:r w:rsidR="00C353D6" w:rsidRPr="007328DB">
        <w:rPr>
          <w:lang w:bidi="ar-EG"/>
        </w:rPr>
        <w:t>241 000</w:t>
      </w:r>
      <w:r w:rsidR="00C353D6" w:rsidRPr="007328DB">
        <w:rPr>
          <w:rFonts w:hint="cs"/>
          <w:rtl/>
          <w:lang w:bidi="ar-EG"/>
        </w:rPr>
        <w:t xml:space="preserve"> فرنك سويسري. ويرد في </w:t>
      </w:r>
      <w:r w:rsidR="00045CD2" w:rsidRPr="007328DB">
        <w:rPr>
          <w:rFonts w:hint="cs"/>
          <w:rtl/>
          <w:lang w:bidi="ar-EG"/>
        </w:rPr>
        <w:t xml:space="preserve">الملحق </w:t>
      </w:r>
      <w:r w:rsidR="00045CD2" w:rsidRPr="007328DB">
        <w:rPr>
          <w:lang w:bidi="ar-EG"/>
        </w:rPr>
        <w:t>A</w:t>
      </w:r>
      <w:r w:rsidR="00045CD2" w:rsidRPr="007328DB">
        <w:rPr>
          <w:rFonts w:hint="cs"/>
          <w:rtl/>
          <w:lang w:bidi="ar-EG"/>
        </w:rPr>
        <w:t xml:space="preserve"> بالتقرير البيان المالي التفصيلي للمؤتمر في </w:t>
      </w:r>
      <w:r w:rsidR="00045CD2" w:rsidRPr="007328DB">
        <w:rPr>
          <w:lang w:bidi="ar-EG"/>
        </w:rPr>
        <w:t>7</w:t>
      </w:r>
      <w:r w:rsidR="00045CD2" w:rsidRPr="007328DB">
        <w:rPr>
          <w:rFonts w:hint="cs"/>
          <w:rtl/>
          <w:lang w:bidi="ar-EG"/>
        </w:rPr>
        <w:t xml:space="preserve"> أكتوبر </w:t>
      </w:r>
      <w:r w:rsidR="00045CD2" w:rsidRPr="007328DB">
        <w:rPr>
          <w:lang w:bidi="ar-EG"/>
        </w:rPr>
        <w:t>2022</w:t>
      </w:r>
      <w:r w:rsidR="00045CD2" w:rsidRPr="007328DB">
        <w:rPr>
          <w:rFonts w:hint="cs"/>
          <w:rtl/>
          <w:lang w:bidi="ar-EG"/>
        </w:rPr>
        <w:t xml:space="preserve">، بما يشمل جميع النفقات في فترة السنتين </w:t>
      </w:r>
      <w:r w:rsidR="00045CD2" w:rsidRPr="007328DB">
        <w:rPr>
          <w:lang w:bidi="ar-EG"/>
        </w:rPr>
        <w:t>2023</w:t>
      </w:r>
      <w:r w:rsidR="00747EC7">
        <w:rPr>
          <w:lang w:bidi="ar-EG"/>
        </w:rPr>
        <w:noBreakHyphen/>
      </w:r>
      <w:r w:rsidR="00045CD2" w:rsidRPr="007328DB">
        <w:rPr>
          <w:lang w:bidi="ar-EG"/>
        </w:rPr>
        <w:t>2022</w:t>
      </w:r>
      <w:r w:rsidR="00051F4D" w:rsidRPr="007328DB">
        <w:rPr>
          <w:rFonts w:hint="cs"/>
          <w:rtl/>
          <w:lang w:bidi="ar-EG"/>
        </w:rPr>
        <w:t>، إلى جانب تحليل مفصل لنفقات المؤتمر. وأعربت اللجنة عن امتنانها لحكومة رومانيا لتنظيمها الرائع للمؤتمر.</w:t>
      </w:r>
    </w:p>
    <w:p w14:paraId="30AEBF57" w14:textId="3217D4EE" w:rsidR="0087052D" w:rsidRDefault="007C49BF" w:rsidP="0057385A">
      <w:pPr>
        <w:rPr>
          <w:rtl/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051F4D">
        <w:rPr>
          <w:rFonts w:hint="cs"/>
          <w:rtl/>
          <w:lang w:bidi="ar-EG"/>
        </w:rPr>
        <w:t xml:space="preserve">وطلب </w:t>
      </w:r>
      <w:r w:rsidR="00051F4D" w:rsidRPr="00051F4D">
        <w:rPr>
          <w:rFonts w:hint="cs"/>
          <w:b/>
          <w:bCs/>
          <w:rtl/>
          <w:lang w:bidi="ar-EG"/>
        </w:rPr>
        <w:t>مندوب سويسرا</w:t>
      </w:r>
      <w:r w:rsidR="00051F4D">
        <w:rPr>
          <w:rFonts w:hint="cs"/>
          <w:rtl/>
          <w:lang w:bidi="ar-EG"/>
        </w:rPr>
        <w:t xml:space="preserve"> معلومات </w:t>
      </w:r>
      <w:r w:rsidR="00F01061">
        <w:rPr>
          <w:rFonts w:hint="cs"/>
          <w:rtl/>
          <w:lang w:bidi="ar-EG"/>
        </w:rPr>
        <w:t>عن ال</w:t>
      </w:r>
      <w:r w:rsidR="00981157">
        <w:rPr>
          <w:rFonts w:hint="cs"/>
          <w:rtl/>
          <w:lang w:bidi="ar-EG"/>
        </w:rPr>
        <w:t>آ</w:t>
      </w:r>
      <w:r w:rsidR="00F01061">
        <w:rPr>
          <w:rFonts w:hint="cs"/>
          <w:rtl/>
          <w:lang w:bidi="ar-EG"/>
        </w:rPr>
        <w:t xml:space="preserve">ثار المالية المترتبة </w:t>
      </w:r>
      <w:r w:rsidR="00445FBC">
        <w:rPr>
          <w:rFonts w:hint="cs"/>
          <w:rtl/>
          <w:lang w:bidi="ar-EG"/>
        </w:rPr>
        <w:t xml:space="preserve">على </w:t>
      </w:r>
      <w:r w:rsidR="00F01061">
        <w:rPr>
          <w:rFonts w:hint="cs"/>
          <w:rtl/>
          <w:lang w:bidi="ar-EG"/>
        </w:rPr>
        <w:t>قرارات المؤتمر</w:t>
      </w:r>
      <w:r w:rsidR="002D76FA">
        <w:rPr>
          <w:rFonts w:hint="cs"/>
          <w:rtl/>
          <w:lang w:bidi="ar-EG"/>
        </w:rPr>
        <w:t xml:space="preserve">، حسبما تقتضيه الاختصاصات المحددة في الوثيقة </w:t>
      </w:r>
      <w:r w:rsidR="002D76FA">
        <w:rPr>
          <w:lang w:bidi="ar-EG"/>
        </w:rPr>
        <w:t>103</w:t>
      </w:r>
      <w:r w:rsidR="002D76FA">
        <w:rPr>
          <w:rFonts w:hint="cs"/>
          <w:rtl/>
          <w:lang w:bidi="ar-EG"/>
        </w:rPr>
        <w:t xml:space="preserve">. </w:t>
      </w:r>
      <w:r w:rsidR="00C55198">
        <w:rPr>
          <w:rFonts w:hint="cs"/>
          <w:rtl/>
          <w:lang w:bidi="ar-EG"/>
        </w:rPr>
        <w:t>و</w:t>
      </w:r>
      <w:r w:rsidR="00981157">
        <w:rPr>
          <w:rFonts w:hint="cs"/>
          <w:rtl/>
          <w:lang w:bidi="ar-EG"/>
        </w:rPr>
        <w:t xml:space="preserve">أوضح أن </w:t>
      </w:r>
      <w:r w:rsidR="00C55198">
        <w:rPr>
          <w:rFonts w:hint="cs"/>
          <w:rtl/>
          <w:lang w:bidi="ar-EG"/>
        </w:rPr>
        <w:t xml:space="preserve">هذه المعلومات </w:t>
      </w:r>
      <w:r w:rsidR="00981157">
        <w:rPr>
          <w:rFonts w:hint="cs"/>
          <w:rtl/>
          <w:lang w:bidi="ar-EG"/>
        </w:rPr>
        <w:t xml:space="preserve">تقدَّم </w:t>
      </w:r>
      <w:r w:rsidR="00C55198">
        <w:rPr>
          <w:rFonts w:hint="cs"/>
          <w:rtl/>
          <w:lang w:bidi="ar-EG"/>
        </w:rPr>
        <w:t>عادة وتُستخدم لأغراض الخطة المالية للاتحاد.</w:t>
      </w:r>
    </w:p>
    <w:p w14:paraId="7A9B81C4" w14:textId="1FA47EE5" w:rsidR="007C49BF" w:rsidRPr="006A6EDE" w:rsidRDefault="007C49BF" w:rsidP="0057385A">
      <w:pPr>
        <w:rPr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F21F04">
        <w:rPr>
          <w:rFonts w:hint="cs"/>
          <w:rtl/>
          <w:lang w:bidi="ar-EG"/>
        </w:rPr>
        <w:t>ورد</w:t>
      </w:r>
      <w:r w:rsidR="006A6EDE">
        <w:rPr>
          <w:rFonts w:hint="cs"/>
          <w:rtl/>
          <w:lang w:bidi="ar-EG"/>
        </w:rPr>
        <w:t>ّ</w:t>
      </w:r>
      <w:r w:rsidR="00F21F04">
        <w:rPr>
          <w:rFonts w:hint="cs"/>
          <w:rtl/>
          <w:lang w:bidi="ar-EG"/>
        </w:rPr>
        <w:t xml:space="preserve"> </w:t>
      </w:r>
      <w:r w:rsidR="00F21F04" w:rsidRPr="00F21F04">
        <w:rPr>
          <w:rFonts w:hint="cs"/>
          <w:b/>
          <w:bCs/>
          <w:rtl/>
          <w:lang w:bidi="ar-EG"/>
        </w:rPr>
        <w:t xml:space="preserve">أمين اللجنة </w:t>
      </w:r>
      <w:r w:rsidR="00F21F04" w:rsidRPr="00F21F04">
        <w:rPr>
          <w:b/>
          <w:bCs/>
          <w:lang w:bidi="ar-EG"/>
        </w:rPr>
        <w:t>6</w:t>
      </w:r>
      <w:r w:rsidR="00F21F04">
        <w:rPr>
          <w:rFonts w:hint="cs"/>
          <w:rtl/>
          <w:lang w:bidi="ar-EG"/>
        </w:rPr>
        <w:t xml:space="preserve"> </w:t>
      </w:r>
      <w:r w:rsidR="00445FBC">
        <w:rPr>
          <w:rFonts w:hint="cs"/>
          <w:rtl/>
          <w:lang w:bidi="ar-EG"/>
        </w:rPr>
        <w:t xml:space="preserve">فقال إن </w:t>
      </w:r>
      <w:r w:rsidR="00F21F04">
        <w:rPr>
          <w:rFonts w:hint="cs"/>
          <w:rtl/>
          <w:lang w:bidi="ar-EG"/>
        </w:rPr>
        <w:t xml:space="preserve">اللجنة </w:t>
      </w:r>
      <w:r w:rsidR="00F21F04">
        <w:rPr>
          <w:lang w:bidi="ar-EG"/>
        </w:rPr>
        <w:t>6</w:t>
      </w:r>
      <w:r w:rsidR="00F21F04">
        <w:rPr>
          <w:rFonts w:hint="cs"/>
          <w:rtl/>
          <w:lang w:bidi="ar-EG"/>
        </w:rPr>
        <w:t xml:space="preserve"> (الإدارة والتنظيم) مسؤولة عن تحليل الآثار المالية المترتبة عن قرارات المؤتمر ومقرراته</w:t>
      </w:r>
      <w:r w:rsidR="006A6EDE">
        <w:rPr>
          <w:rFonts w:hint="cs"/>
          <w:rtl/>
          <w:lang w:bidi="ar-EG"/>
        </w:rPr>
        <w:t>. وأوضح أن التكاليف المقدرة ل</w:t>
      </w:r>
      <w:r w:rsidR="004374AD">
        <w:rPr>
          <w:rFonts w:hint="cs"/>
          <w:rtl/>
          <w:lang w:bidi="ar-EG"/>
        </w:rPr>
        <w:t>م</w:t>
      </w:r>
      <w:r w:rsidR="006A6EDE">
        <w:rPr>
          <w:rFonts w:hint="cs"/>
          <w:rtl/>
          <w:lang w:bidi="ar-EG"/>
        </w:rPr>
        <w:t xml:space="preserve"> ترد في تقرير اللجنة </w:t>
      </w:r>
      <w:r w:rsidR="006A6EDE">
        <w:rPr>
          <w:lang w:bidi="ar-EG"/>
        </w:rPr>
        <w:t>3</w:t>
      </w:r>
      <w:r w:rsidR="006A6EDE">
        <w:rPr>
          <w:rFonts w:hint="cs"/>
          <w:rtl/>
          <w:lang w:bidi="ar-EG"/>
        </w:rPr>
        <w:t xml:space="preserve"> لأن اللجنة </w:t>
      </w:r>
      <w:r w:rsidR="006A6EDE">
        <w:rPr>
          <w:lang w:bidi="ar-EG"/>
        </w:rPr>
        <w:t>5</w:t>
      </w:r>
      <w:r w:rsidR="006A6EDE">
        <w:rPr>
          <w:rFonts w:hint="cs"/>
          <w:rtl/>
          <w:lang w:bidi="ar-EG"/>
        </w:rPr>
        <w:t xml:space="preserve"> وفريق العمل التابع للجلسة العامة </w:t>
      </w:r>
      <w:r w:rsidR="004374AD">
        <w:rPr>
          <w:rFonts w:hint="cs"/>
          <w:rtl/>
          <w:lang w:bidi="ar-EG"/>
        </w:rPr>
        <w:t xml:space="preserve">لم يقدما بعد إلى </w:t>
      </w:r>
      <w:r w:rsidR="00445FBC">
        <w:rPr>
          <w:rFonts w:hint="cs"/>
          <w:rtl/>
          <w:lang w:bidi="ar-EG"/>
        </w:rPr>
        <w:t xml:space="preserve">اللجنة </w:t>
      </w:r>
      <w:r w:rsidR="004374AD">
        <w:rPr>
          <w:lang w:bidi="ar-EG"/>
        </w:rPr>
        <w:t>6</w:t>
      </w:r>
      <w:r w:rsidR="004374AD">
        <w:rPr>
          <w:rFonts w:hint="cs"/>
          <w:rtl/>
          <w:lang w:bidi="ar-EG"/>
        </w:rPr>
        <w:t xml:space="preserve"> طلبات</w:t>
      </w:r>
      <w:r w:rsidR="005C3C46">
        <w:rPr>
          <w:rFonts w:hint="cs"/>
          <w:rtl/>
          <w:lang w:bidi="ar-EG"/>
        </w:rPr>
        <w:t xml:space="preserve"> بشأن التقديرات.</w:t>
      </w:r>
    </w:p>
    <w:p w14:paraId="7284A65F" w14:textId="2A5EEC4C" w:rsidR="0087052D" w:rsidRDefault="007C49BF" w:rsidP="0057385A">
      <w:pPr>
        <w:rPr>
          <w:rtl/>
          <w:lang w:bidi="ar-EG"/>
        </w:rPr>
      </w:pPr>
      <w:r>
        <w:rPr>
          <w:lang w:bidi="ar-EG"/>
        </w:rPr>
        <w:t>4.1</w:t>
      </w:r>
      <w:r>
        <w:rPr>
          <w:lang w:bidi="ar-EG"/>
        </w:rPr>
        <w:tab/>
      </w:r>
      <w:r w:rsidR="005C3C46">
        <w:rPr>
          <w:rFonts w:hint="cs"/>
          <w:rtl/>
          <w:lang w:bidi="ar-EG"/>
        </w:rPr>
        <w:t xml:space="preserve">وأعرب </w:t>
      </w:r>
      <w:r w:rsidR="005C3C46" w:rsidRPr="005C3C46">
        <w:rPr>
          <w:rFonts w:hint="cs"/>
          <w:b/>
          <w:bCs/>
          <w:rtl/>
          <w:lang w:bidi="ar-EG"/>
        </w:rPr>
        <w:t>مندوب جمهورية إيران الإسلامية</w:t>
      </w:r>
      <w:r w:rsidR="005C3C46">
        <w:rPr>
          <w:rFonts w:hint="cs"/>
          <w:rtl/>
          <w:lang w:bidi="ar-EG"/>
        </w:rPr>
        <w:t xml:space="preserve"> عن </w:t>
      </w:r>
      <w:r w:rsidR="009C391D">
        <w:rPr>
          <w:rFonts w:hint="cs"/>
          <w:rtl/>
          <w:lang w:bidi="ar-EG"/>
        </w:rPr>
        <w:t xml:space="preserve">ارتياحه للتقرير وعن رغبته في </w:t>
      </w:r>
      <w:r w:rsidR="00893011">
        <w:rPr>
          <w:rFonts w:hint="cs"/>
          <w:rtl/>
          <w:lang w:bidi="ar-EG"/>
        </w:rPr>
        <w:t xml:space="preserve">تأكيد تقديره </w:t>
      </w:r>
      <w:r w:rsidR="004401F8">
        <w:rPr>
          <w:rFonts w:hint="cs"/>
          <w:rtl/>
          <w:lang w:bidi="ar-EG"/>
        </w:rPr>
        <w:t>بوجه خاص</w:t>
      </w:r>
      <w:r w:rsidR="00893011">
        <w:rPr>
          <w:rFonts w:hint="cs"/>
          <w:rtl/>
          <w:lang w:bidi="ar-EG"/>
        </w:rPr>
        <w:t xml:space="preserve"> للسيد </w:t>
      </w:r>
      <w:proofErr w:type="spellStart"/>
      <w:r w:rsidR="00893011">
        <w:rPr>
          <w:rFonts w:hint="cs"/>
          <w:rtl/>
          <w:lang w:bidi="ar-EG"/>
        </w:rPr>
        <w:t>ألاسا</w:t>
      </w:r>
      <w:r w:rsidR="00EB3839">
        <w:rPr>
          <w:rFonts w:hint="cs"/>
          <w:rtl/>
          <w:lang w:bidi="ar-EG"/>
        </w:rPr>
        <w:t>ن</w:t>
      </w:r>
      <w:proofErr w:type="spellEnd"/>
      <w:r w:rsidR="00893011">
        <w:rPr>
          <w:rFonts w:hint="cs"/>
          <w:rtl/>
          <w:lang w:bidi="ar-EG"/>
        </w:rPr>
        <w:t xml:space="preserve"> </w:t>
      </w:r>
      <w:proofErr w:type="spellStart"/>
      <w:r w:rsidR="00893011">
        <w:rPr>
          <w:rFonts w:hint="cs"/>
          <w:rtl/>
          <w:lang w:bidi="ar-EG"/>
        </w:rPr>
        <w:t>با</w:t>
      </w:r>
      <w:proofErr w:type="spellEnd"/>
      <w:r w:rsidR="00EB3839">
        <w:rPr>
          <w:rFonts w:hint="cs"/>
          <w:rtl/>
          <w:lang w:bidi="ar-EG"/>
        </w:rPr>
        <w:t xml:space="preserve">، رئيس دائرة إدارة الموارد المالية وأمين اللجنة </w:t>
      </w:r>
      <w:r w:rsidR="00EB3839">
        <w:rPr>
          <w:lang w:bidi="ar-EG"/>
        </w:rPr>
        <w:t>6</w:t>
      </w:r>
      <w:r w:rsidR="00EB3839">
        <w:rPr>
          <w:rFonts w:hint="cs"/>
          <w:rtl/>
          <w:lang w:bidi="ar-EG"/>
        </w:rPr>
        <w:t xml:space="preserve">، </w:t>
      </w:r>
      <w:r w:rsidR="004401F8">
        <w:rPr>
          <w:rFonts w:hint="cs"/>
          <w:rtl/>
          <w:lang w:bidi="ar-EG"/>
        </w:rPr>
        <w:t xml:space="preserve">لمساهمته القيّمة </w:t>
      </w:r>
      <w:r w:rsidR="00EB3839">
        <w:rPr>
          <w:rFonts w:hint="cs"/>
          <w:rtl/>
          <w:lang w:bidi="ar-EG"/>
        </w:rPr>
        <w:t xml:space="preserve">في عمل اللجنة </w:t>
      </w:r>
      <w:r w:rsidR="00EB3839">
        <w:rPr>
          <w:lang w:bidi="ar-EG"/>
        </w:rPr>
        <w:t>3</w:t>
      </w:r>
      <w:r w:rsidR="00EB3839">
        <w:rPr>
          <w:rFonts w:hint="cs"/>
          <w:rtl/>
          <w:lang w:bidi="ar-EG"/>
        </w:rPr>
        <w:t>.</w:t>
      </w:r>
    </w:p>
    <w:p w14:paraId="74E27F8E" w14:textId="0519137A" w:rsidR="0087052D" w:rsidRDefault="007C49BF" w:rsidP="0057385A">
      <w:pPr>
        <w:rPr>
          <w:rtl/>
          <w:lang w:bidi="ar-EG"/>
        </w:rPr>
      </w:pPr>
      <w:r>
        <w:rPr>
          <w:lang w:bidi="ar-EG"/>
        </w:rPr>
        <w:t>5.1</w:t>
      </w:r>
      <w:r>
        <w:rPr>
          <w:lang w:bidi="ar-EG"/>
        </w:rPr>
        <w:tab/>
      </w:r>
      <w:r w:rsidR="00333046">
        <w:rPr>
          <w:rFonts w:hint="cs"/>
          <w:rtl/>
          <w:lang w:bidi="ar-EG"/>
        </w:rPr>
        <w:t xml:space="preserve">وقال </w:t>
      </w:r>
      <w:r w:rsidR="00333046" w:rsidRPr="00333046">
        <w:rPr>
          <w:rFonts w:hint="cs"/>
          <w:b/>
          <w:bCs/>
          <w:rtl/>
          <w:lang w:bidi="ar-EG"/>
        </w:rPr>
        <w:t>مندوب كندا</w:t>
      </w:r>
      <w:r w:rsidR="00333046">
        <w:rPr>
          <w:rFonts w:hint="cs"/>
          <w:rtl/>
          <w:lang w:bidi="ar-EG"/>
        </w:rPr>
        <w:t xml:space="preserve">، مشيراً إلى المادة </w:t>
      </w:r>
      <w:r w:rsidR="00333046">
        <w:rPr>
          <w:lang w:bidi="ar-EG"/>
        </w:rPr>
        <w:t>34</w:t>
      </w:r>
      <w:r w:rsidR="00333046">
        <w:rPr>
          <w:rFonts w:hint="cs"/>
          <w:rtl/>
          <w:lang w:bidi="ar-EG"/>
        </w:rPr>
        <w:t xml:space="preserve"> من الاتفاقية، بشأن المسؤوليات المالية للمؤتمرات، إن الحاجة تدعو إلى وضع آليات لضمان تنفيذ أحكام الرقمين </w:t>
      </w:r>
      <w:r w:rsidR="00333046">
        <w:rPr>
          <w:lang w:bidi="ar-EG"/>
        </w:rPr>
        <w:t>488</w:t>
      </w:r>
      <w:r w:rsidR="00333046">
        <w:rPr>
          <w:rFonts w:hint="cs"/>
          <w:rtl/>
          <w:lang w:bidi="ar-EG"/>
        </w:rPr>
        <w:t xml:space="preserve"> و</w:t>
      </w:r>
      <w:r w:rsidR="00333046">
        <w:rPr>
          <w:lang w:bidi="ar-EG"/>
        </w:rPr>
        <w:t>489</w:t>
      </w:r>
      <w:r w:rsidR="00333046">
        <w:rPr>
          <w:rFonts w:hint="cs"/>
          <w:rtl/>
          <w:lang w:bidi="ar-EG"/>
        </w:rPr>
        <w:t xml:space="preserve"> من الاتفاقية في الممارسة العملية، </w:t>
      </w:r>
      <w:r w:rsidR="00D40138">
        <w:rPr>
          <w:rFonts w:hint="cs"/>
          <w:rtl/>
          <w:lang w:bidi="ar-EG"/>
        </w:rPr>
        <w:t xml:space="preserve">وعلى الخصوص آلية لتقييم الآثار المالية المترتبة </w:t>
      </w:r>
      <w:r w:rsidR="00445FBC">
        <w:rPr>
          <w:rFonts w:hint="cs"/>
          <w:rtl/>
          <w:lang w:bidi="ar-EG"/>
        </w:rPr>
        <w:t xml:space="preserve">على </w:t>
      </w:r>
      <w:r w:rsidR="00D40138">
        <w:rPr>
          <w:rFonts w:hint="cs"/>
          <w:rtl/>
          <w:lang w:bidi="ar-EG"/>
        </w:rPr>
        <w:t>أي قرارات أو مقررات أو توصيات يتم اعتمادها</w:t>
      </w:r>
      <w:r>
        <w:rPr>
          <w:rFonts w:hint="cs"/>
          <w:rtl/>
          <w:lang w:bidi="ar-EG"/>
        </w:rPr>
        <w:t>.</w:t>
      </w:r>
      <w:r w:rsidR="00D40138">
        <w:rPr>
          <w:rFonts w:hint="cs"/>
          <w:rtl/>
          <w:lang w:bidi="ar-EG"/>
        </w:rPr>
        <w:t xml:space="preserve"> وأكد أن هذه المسألة </w:t>
      </w:r>
      <w:r w:rsidR="00743A38">
        <w:rPr>
          <w:rFonts w:hint="cs"/>
          <w:rtl/>
          <w:lang w:bidi="ar-EG"/>
        </w:rPr>
        <w:t>تكتسي</w:t>
      </w:r>
      <w:r w:rsidR="00D40138">
        <w:rPr>
          <w:rFonts w:hint="cs"/>
          <w:rtl/>
          <w:lang w:bidi="ar-EG"/>
        </w:rPr>
        <w:t xml:space="preserve"> أهمية</w:t>
      </w:r>
      <w:r w:rsidR="00743A38">
        <w:rPr>
          <w:rFonts w:hint="cs"/>
          <w:rtl/>
          <w:lang w:bidi="ar-EG"/>
        </w:rPr>
        <w:t xml:space="preserve"> بالغة في ضوء العمل المقبل لوضع الخطة الاستراتيجية في صيغتها النهائية و</w:t>
      </w:r>
      <w:r w:rsidR="00095A6A">
        <w:rPr>
          <w:rFonts w:hint="cs"/>
          <w:rtl/>
          <w:lang w:bidi="ar-EG"/>
        </w:rPr>
        <w:t xml:space="preserve">إقامة روابط واضحة مع الخطة المالية للاتحاد الواردة في المقرر </w:t>
      </w:r>
      <w:r w:rsidR="00095A6A">
        <w:rPr>
          <w:lang w:bidi="ar-EG"/>
        </w:rPr>
        <w:t>5</w:t>
      </w:r>
      <w:r w:rsidR="00095A6A">
        <w:rPr>
          <w:rFonts w:hint="cs"/>
          <w:rtl/>
          <w:lang w:bidi="ar-EG"/>
        </w:rPr>
        <w:t>.</w:t>
      </w:r>
      <w:r w:rsidR="00FE077A">
        <w:rPr>
          <w:rFonts w:hint="cs"/>
          <w:rtl/>
          <w:lang w:bidi="ar-EG"/>
        </w:rPr>
        <w:t xml:space="preserve"> وارتأى أن مسألة تصميم هذه الآلية وتنفيذها يمكن إسنادها إلى فريق العمل التابع للمجلس المعني بالموارد المالية والبشرية.</w:t>
      </w:r>
    </w:p>
    <w:p w14:paraId="100C74D3" w14:textId="153E2104" w:rsidR="007C49BF" w:rsidRDefault="007C49BF" w:rsidP="008F1697">
      <w:pPr>
        <w:rPr>
          <w:rtl/>
          <w:lang w:bidi="ar-EG"/>
        </w:rPr>
      </w:pPr>
      <w:r>
        <w:rPr>
          <w:lang w:bidi="ar-EG"/>
        </w:rPr>
        <w:t>6.1</w:t>
      </w:r>
      <w:r>
        <w:rPr>
          <w:lang w:bidi="ar-EG"/>
        </w:rPr>
        <w:tab/>
      </w:r>
      <w:r w:rsidR="00722E7E">
        <w:rPr>
          <w:rFonts w:hint="cs"/>
          <w:rtl/>
          <w:lang w:bidi="ar-EG"/>
        </w:rPr>
        <w:t>و</w:t>
      </w:r>
      <w:r w:rsidR="008F1697" w:rsidRPr="008F1697">
        <w:rPr>
          <w:rFonts w:hint="cs"/>
          <w:b/>
          <w:bCs/>
          <w:rtl/>
          <w:lang w:bidi="ar-EG"/>
        </w:rPr>
        <w:t>تمت</w:t>
      </w:r>
      <w:r w:rsidR="008F1697" w:rsidRPr="008F1697">
        <w:rPr>
          <w:rFonts w:hint="cs"/>
          <w:rtl/>
          <w:lang w:bidi="ar-EG"/>
        </w:rPr>
        <w:t xml:space="preserve"> </w:t>
      </w:r>
      <w:r w:rsidR="008F1697" w:rsidRPr="008F1697">
        <w:rPr>
          <w:rFonts w:hint="cs"/>
          <w:b/>
          <w:bCs/>
          <w:rtl/>
          <w:lang w:bidi="ar-EG"/>
        </w:rPr>
        <w:t>الموافقة</w:t>
      </w:r>
      <w:r w:rsidR="008F1697" w:rsidRPr="008F1697">
        <w:rPr>
          <w:rFonts w:hint="cs"/>
          <w:rtl/>
          <w:lang w:bidi="ar-EG"/>
        </w:rPr>
        <w:t xml:space="preserve"> على تقرير اللجنة </w:t>
      </w:r>
      <w:r w:rsidR="008F1697" w:rsidRPr="008F1697">
        <w:rPr>
          <w:lang w:bidi="ar-EG"/>
        </w:rPr>
        <w:t>3</w:t>
      </w:r>
      <w:r w:rsidR="008F1697" w:rsidRPr="008F1697">
        <w:rPr>
          <w:rFonts w:hint="cs"/>
          <w:rtl/>
          <w:lang w:bidi="ar-EG"/>
        </w:rPr>
        <w:t xml:space="preserve"> (مراقبة الميزانية) (الوثيقة </w:t>
      </w:r>
      <w:r w:rsidR="008F1697">
        <w:rPr>
          <w:lang w:bidi="ar-EG"/>
        </w:rPr>
        <w:t>165</w:t>
      </w:r>
      <w:r w:rsidR="008F1697" w:rsidRPr="008F1697">
        <w:rPr>
          <w:rFonts w:hint="cs"/>
          <w:rtl/>
          <w:lang w:bidi="ar-EG"/>
        </w:rPr>
        <w:t>).</w:t>
      </w:r>
    </w:p>
    <w:p w14:paraId="2D66C6C5" w14:textId="0B8550AD" w:rsidR="009969EC" w:rsidRDefault="009969EC" w:rsidP="009969EC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DE29D1" w:rsidRPr="00552440">
        <w:rPr>
          <w:rFonts w:hint="cs"/>
          <w:rtl/>
          <w:lang w:val="en-CA"/>
        </w:rPr>
        <w:t>المجموعة السادسة</w:t>
      </w:r>
      <w:r w:rsidR="00DE29D1">
        <w:rPr>
          <w:rFonts w:hint="cs"/>
          <w:rtl/>
          <w:lang w:val="en-CA" w:bidi="ar-EG"/>
        </w:rPr>
        <w:t xml:space="preserve"> عشر</w:t>
      </w:r>
      <w:r w:rsidR="00722E7E">
        <w:rPr>
          <w:rFonts w:hint="cs"/>
          <w:rtl/>
          <w:lang w:val="en-CA" w:bidi="ar-EG"/>
        </w:rPr>
        <w:t>ة</w:t>
      </w:r>
      <w:r w:rsidR="00DE29D1" w:rsidRPr="00552440">
        <w:rPr>
          <w:rFonts w:hint="cs"/>
          <w:rtl/>
          <w:lang w:val="en-CA"/>
        </w:rPr>
        <w:t xml:space="preserve"> من النصوص المقدمة من لجنة الصياغة للقراءة الأولى </w:t>
      </w:r>
      <w:r w:rsidR="00DE29D1" w:rsidRPr="00552440">
        <w:rPr>
          <w:lang w:val="en-GB"/>
        </w:rPr>
        <w:t>(B</w:t>
      </w:r>
      <w:r w:rsidR="00DE29D1">
        <w:rPr>
          <w:lang w:val="en-GB"/>
        </w:rPr>
        <w:t>1</w:t>
      </w:r>
      <w:r w:rsidR="00DE29D1" w:rsidRPr="00552440">
        <w:rPr>
          <w:lang w:val="en-GB"/>
        </w:rPr>
        <w:t>6)</w:t>
      </w:r>
      <w:r w:rsidR="008F1697">
        <w:rPr>
          <w:rFonts w:hint="cs"/>
          <w:rtl/>
          <w:lang w:val="en-GB" w:bidi="ar-EG"/>
        </w:rPr>
        <w:t xml:space="preserve"> (الوثيقة </w:t>
      </w:r>
      <w:hyperlink r:id="rId24" w:history="1">
        <w:r w:rsidR="000E47DE" w:rsidRPr="000E47DE">
          <w:rPr>
            <w:rStyle w:val="Hyperlink"/>
            <w:szCs w:val="24"/>
            <w:lang w:val="en-CA"/>
          </w:rPr>
          <w:t>167</w:t>
        </w:r>
      </w:hyperlink>
      <w:r w:rsidR="008F1697">
        <w:rPr>
          <w:rFonts w:hint="cs"/>
          <w:rtl/>
          <w:lang w:val="en-GB" w:bidi="ar-EG"/>
        </w:rPr>
        <w:t>)</w:t>
      </w:r>
    </w:p>
    <w:p w14:paraId="08F83ABA" w14:textId="21F170FC" w:rsidR="009969EC" w:rsidRPr="00A233E3" w:rsidRDefault="00722E7E" w:rsidP="00A233E3">
      <w:pPr>
        <w:pStyle w:val="Headingb"/>
        <w:ind w:left="0" w:firstLine="0"/>
        <w:rPr>
          <w:rtl/>
          <w:lang w:bidi="ar-EG"/>
        </w:rPr>
      </w:pPr>
      <w:bookmarkStart w:id="2" w:name="_Toc280260237"/>
      <w:bookmarkStart w:id="3" w:name="_Toc414526650"/>
      <w:bookmarkStart w:id="4" w:name="_Toc415560070"/>
      <w:r w:rsidRPr="00A233E3">
        <w:rPr>
          <w:rFonts w:hint="cs"/>
          <w:rtl/>
          <w:lang w:bidi="ar-EG"/>
        </w:rPr>
        <w:t xml:space="preserve">مشروع </w:t>
      </w:r>
      <w:r w:rsidR="00F24F0B" w:rsidRPr="00A233E3">
        <w:rPr>
          <w:rtl/>
          <w:lang w:bidi="ar-EG"/>
        </w:rPr>
        <w:t xml:space="preserve">القـرار </w:t>
      </w:r>
      <w:r w:rsidR="00F24F0B" w:rsidRPr="00A233E3">
        <w:rPr>
          <w:lang w:bidi="ar-EG"/>
        </w:rPr>
        <w:t>25</w:t>
      </w:r>
      <w:r w:rsidR="00F24F0B" w:rsidRPr="00A233E3">
        <w:rPr>
          <w:rtl/>
          <w:lang w:bidi="ar-EG"/>
        </w:rPr>
        <w:t xml:space="preserve"> </w:t>
      </w:r>
      <w:bookmarkEnd w:id="2"/>
      <w:r w:rsidR="00F24F0B" w:rsidRPr="00A233E3">
        <w:rPr>
          <w:rtl/>
          <w:lang w:bidi="ar-EG"/>
        </w:rPr>
        <w:t>(</w:t>
      </w:r>
      <w:r w:rsidR="00F24F0B" w:rsidRPr="00A233E3">
        <w:rPr>
          <w:rFonts w:hint="cs"/>
          <w:rtl/>
          <w:lang w:bidi="ar-EG"/>
        </w:rPr>
        <w:t xml:space="preserve">المراجَع في بوخارست، </w:t>
      </w:r>
      <w:r w:rsidR="00F24F0B" w:rsidRPr="00A233E3">
        <w:rPr>
          <w:lang w:bidi="ar-EG"/>
        </w:rPr>
        <w:t>2022</w:t>
      </w:r>
      <w:r w:rsidR="00F24F0B" w:rsidRPr="00A233E3">
        <w:rPr>
          <w:rtl/>
          <w:lang w:bidi="ar-EG"/>
        </w:rPr>
        <w:t>)</w:t>
      </w:r>
      <w:bookmarkEnd w:id="3"/>
      <w:bookmarkEnd w:id="4"/>
      <w:r w:rsidR="00F24F0B" w:rsidRPr="00A233E3">
        <w:rPr>
          <w:rFonts w:hint="cs"/>
          <w:rtl/>
          <w:lang w:bidi="ar-EG"/>
        </w:rPr>
        <w:t xml:space="preserve"> - </w:t>
      </w:r>
      <w:bookmarkStart w:id="5" w:name="_Toc408328023"/>
      <w:bookmarkStart w:id="6" w:name="_Toc414526651"/>
      <w:bookmarkStart w:id="7" w:name="_Toc415560071"/>
      <w:r w:rsidR="00F24F0B" w:rsidRPr="00A233E3">
        <w:rPr>
          <w:rtl/>
          <w:lang w:bidi="ar-EG"/>
        </w:rPr>
        <w:t>تقوية الحضور الإقليمي</w:t>
      </w:r>
      <w:bookmarkEnd w:id="5"/>
      <w:bookmarkEnd w:id="6"/>
      <w:bookmarkEnd w:id="7"/>
      <w:r w:rsidR="00F24F0B" w:rsidRPr="00A233E3">
        <w:rPr>
          <w:rFonts w:hint="cs"/>
          <w:rtl/>
          <w:lang w:bidi="ar-EG"/>
        </w:rPr>
        <w:t xml:space="preserve"> للاتحاد</w:t>
      </w:r>
    </w:p>
    <w:p w14:paraId="63E3D0CA" w14:textId="2DEFAEFF" w:rsidR="008F1697" w:rsidRPr="00A233E3" w:rsidRDefault="00722E7E" w:rsidP="00A233E3">
      <w:pPr>
        <w:pStyle w:val="Headingb"/>
        <w:ind w:left="0" w:firstLine="0"/>
        <w:rPr>
          <w:rtl/>
          <w:lang w:bidi="ar-EG"/>
        </w:rPr>
      </w:pPr>
      <w:bookmarkStart w:id="8" w:name="_Toc414526778"/>
      <w:bookmarkStart w:id="9" w:name="_Toc415560198"/>
      <w:r w:rsidRPr="00A233E3">
        <w:rPr>
          <w:rFonts w:hint="cs"/>
          <w:rtl/>
          <w:lang w:bidi="ar-EG"/>
        </w:rPr>
        <w:t xml:space="preserve">مشروع </w:t>
      </w:r>
      <w:r w:rsidR="00F24F0B" w:rsidRPr="00A233E3">
        <w:rPr>
          <w:rtl/>
          <w:lang w:bidi="ar-EG"/>
        </w:rPr>
        <w:t xml:space="preserve">القـرار </w:t>
      </w:r>
      <w:r w:rsidR="00F24F0B" w:rsidRPr="00A233E3">
        <w:rPr>
          <w:lang w:bidi="ar-EG"/>
        </w:rPr>
        <w:t>148</w:t>
      </w:r>
      <w:r w:rsidR="00F24F0B" w:rsidRPr="00A233E3">
        <w:rPr>
          <w:rtl/>
          <w:lang w:bidi="ar-EG"/>
        </w:rPr>
        <w:t xml:space="preserve"> (</w:t>
      </w:r>
      <w:r w:rsidR="00F24F0B" w:rsidRPr="00A233E3">
        <w:rPr>
          <w:rFonts w:hint="cs"/>
          <w:rtl/>
          <w:lang w:bidi="ar-EG"/>
        </w:rPr>
        <w:t>المراجَع في بوخارست، 2022</w:t>
      </w:r>
      <w:r w:rsidR="00F24F0B" w:rsidRPr="00A233E3">
        <w:rPr>
          <w:rtl/>
          <w:lang w:bidi="ar-EG"/>
        </w:rPr>
        <w:t>)</w:t>
      </w:r>
      <w:bookmarkEnd w:id="8"/>
      <w:bookmarkEnd w:id="9"/>
      <w:r w:rsidR="00F24F0B" w:rsidRPr="00A233E3">
        <w:rPr>
          <w:rFonts w:hint="cs"/>
          <w:rtl/>
          <w:lang w:bidi="ar-EG"/>
        </w:rPr>
        <w:t xml:space="preserve"> - </w:t>
      </w:r>
      <w:bookmarkStart w:id="10" w:name="_Toc414526779"/>
      <w:bookmarkStart w:id="11" w:name="_Toc415560199"/>
      <w:r w:rsidR="00F24F0B" w:rsidRPr="00A233E3">
        <w:rPr>
          <w:rtl/>
          <w:lang w:bidi="ar-EG"/>
        </w:rPr>
        <w:t>مهام نائب الأمين العام ووظائفه</w:t>
      </w:r>
      <w:bookmarkEnd w:id="10"/>
      <w:bookmarkEnd w:id="11"/>
    </w:p>
    <w:p w14:paraId="2F12AC05" w14:textId="7656F2DC" w:rsidR="008F1697" w:rsidRPr="00A233E3" w:rsidRDefault="00EA04BB" w:rsidP="00A233E3">
      <w:pPr>
        <w:pStyle w:val="Headingb"/>
        <w:ind w:left="0" w:firstLine="0"/>
        <w:rPr>
          <w:rtl/>
          <w:lang w:bidi="ar-EG"/>
        </w:rPr>
      </w:pPr>
      <w:r w:rsidRPr="00A233E3">
        <w:rPr>
          <w:rFonts w:hint="cs"/>
          <w:rtl/>
          <w:lang w:bidi="ar-EG"/>
        </w:rPr>
        <w:t xml:space="preserve">مشروع </w:t>
      </w:r>
      <w:r w:rsidR="00F24F0B" w:rsidRPr="00A233E3">
        <w:rPr>
          <w:rFonts w:hint="cs"/>
          <w:rtl/>
          <w:lang w:bidi="ar-EG"/>
        </w:rPr>
        <w:t>ال</w:t>
      </w:r>
      <w:r w:rsidR="00F24F0B" w:rsidRPr="00A233E3">
        <w:rPr>
          <w:rtl/>
          <w:lang w:bidi="ar-EG"/>
        </w:rPr>
        <w:t>قـرار</w:t>
      </w:r>
      <w:r w:rsidR="00F24F0B" w:rsidRPr="00A233E3">
        <w:rPr>
          <w:rFonts w:hint="cs"/>
          <w:rtl/>
          <w:lang w:bidi="ar-EG"/>
        </w:rPr>
        <w:t xml:space="preserve"> </w:t>
      </w:r>
      <w:r w:rsidR="00F24F0B" w:rsidRPr="00A233E3">
        <w:rPr>
          <w:lang w:bidi="ar-EG"/>
        </w:rPr>
        <w:t>212</w:t>
      </w:r>
      <w:r w:rsidR="00F24F0B" w:rsidRPr="00A233E3">
        <w:rPr>
          <w:rFonts w:hint="cs"/>
          <w:rtl/>
          <w:lang w:bidi="ar-EG"/>
        </w:rPr>
        <w:t xml:space="preserve"> (المراجَع في بوخارست، </w:t>
      </w:r>
      <w:r w:rsidR="00F24F0B" w:rsidRPr="00A233E3">
        <w:rPr>
          <w:lang w:bidi="ar-EG"/>
        </w:rPr>
        <w:t>2022</w:t>
      </w:r>
      <w:r w:rsidR="00F24F0B" w:rsidRPr="00A233E3">
        <w:rPr>
          <w:rFonts w:hint="cs"/>
          <w:rtl/>
          <w:lang w:bidi="ar-EG"/>
        </w:rPr>
        <w:t>) - مباني مقر الاتحاد في المستقبل</w:t>
      </w:r>
    </w:p>
    <w:p w14:paraId="01D154FD" w14:textId="3D578008" w:rsidR="008F1697" w:rsidRDefault="00F24F0B" w:rsidP="00C141E7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EA04BB">
        <w:rPr>
          <w:rFonts w:hint="cs"/>
          <w:b/>
          <w:bCs/>
          <w:rtl/>
          <w:lang w:bidi="ar-EG"/>
        </w:rPr>
        <w:t>اعتُمدت</w:t>
      </w:r>
      <w:r w:rsidR="00EA04BB" w:rsidRPr="004B26D3">
        <w:rPr>
          <w:rFonts w:hint="cs"/>
          <w:rtl/>
          <w:lang w:bidi="ar-EG"/>
        </w:rPr>
        <w:t>.</w:t>
      </w:r>
    </w:p>
    <w:p w14:paraId="259B9416" w14:textId="577E7A34" w:rsidR="008F1697" w:rsidRDefault="00F24F0B" w:rsidP="00A233E3">
      <w:pPr>
        <w:rPr>
          <w:rtl/>
          <w:lang w:bidi="ar-EG"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EA04BB">
        <w:rPr>
          <w:rFonts w:hint="cs"/>
          <w:rtl/>
          <w:lang w:bidi="ar-EG"/>
        </w:rPr>
        <w:t>و</w:t>
      </w:r>
      <w:r w:rsidRPr="00F24F0B">
        <w:rPr>
          <w:rFonts w:hint="cs"/>
          <w:b/>
          <w:bCs/>
          <w:rtl/>
          <w:lang w:bidi="ar-EG"/>
        </w:rPr>
        <w:t>تمت</w:t>
      </w:r>
      <w:r w:rsidRPr="00F24F0B">
        <w:rPr>
          <w:rFonts w:hint="cs"/>
          <w:rtl/>
          <w:lang w:bidi="ar-EG"/>
        </w:rPr>
        <w:t xml:space="preserve"> </w:t>
      </w:r>
      <w:r w:rsidRPr="00F24F0B">
        <w:rPr>
          <w:rFonts w:hint="cs"/>
          <w:b/>
          <w:bCs/>
          <w:rtl/>
          <w:lang w:bidi="ar-EG"/>
        </w:rPr>
        <w:t>الموافقة</w:t>
      </w:r>
      <w:r w:rsidRPr="00F24F0B">
        <w:rPr>
          <w:rFonts w:hint="cs"/>
          <w:rtl/>
          <w:lang w:bidi="ar-EG"/>
        </w:rPr>
        <w:t xml:space="preserve"> على المجموعة السادسة</w:t>
      </w:r>
      <w:r w:rsidR="00EA04BB">
        <w:rPr>
          <w:rFonts w:hint="cs"/>
          <w:rtl/>
          <w:lang w:bidi="ar-EG"/>
        </w:rPr>
        <w:t xml:space="preserve"> عشرة</w:t>
      </w:r>
      <w:r w:rsidRPr="00F24F0B">
        <w:rPr>
          <w:rFonts w:hint="cs"/>
          <w:rtl/>
          <w:lang w:bidi="ar-EG"/>
        </w:rPr>
        <w:t xml:space="preserve"> من النصوص المقدمة من لجنة الصياغة للقراءة الأولى </w:t>
      </w:r>
      <w:r w:rsidRPr="00F24F0B">
        <w:rPr>
          <w:lang w:val="en-GB" w:bidi="ar-EG"/>
        </w:rPr>
        <w:t>(B</w:t>
      </w:r>
      <w:r>
        <w:rPr>
          <w:lang w:bidi="ar-EG"/>
        </w:rPr>
        <w:t>1</w:t>
      </w:r>
      <w:r w:rsidRPr="00F24F0B">
        <w:rPr>
          <w:lang w:val="en-GB" w:bidi="ar-EG"/>
        </w:rPr>
        <w:t>6)</w:t>
      </w:r>
      <w:r w:rsidRPr="00F24F0B">
        <w:rPr>
          <w:rFonts w:hint="cs"/>
          <w:rtl/>
          <w:lang w:bidi="ar-EG"/>
        </w:rPr>
        <w:t xml:space="preserve"> (الوثيقة </w:t>
      </w:r>
      <w:r w:rsidRPr="00F24F0B">
        <w:rPr>
          <w:lang w:val="en-CA" w:bidi="ar-EG"/>
        </w:rPr>
        <w:t>167</w:t>
      </w:r>
      <w:r w:rsidRPr="00F24F0B">
        <w:rPr>
          <w:rFonts w:hint="cs"/>
          <w:rtl/>
          <w:lang w:bidi="ar-EG"/>
        </w:rPr>
        <w:t>).</w:t>
      </w:r>
    </w:p>
    <w:p w14:paraId="5AE439D9" w14:textId="29FDD3BB" w:rsidR="009969EC" w:rsidRDefault="009969EC" w:rsidP="008663B6">
      <w:pPr>
        <w:pStyle w:val="Heading1"/>
        <w:rPr>
          <w:rtl/>
          <w:lang w:bidi="ar-EG"/>
        </w:rPr>
      </w:pPr>
      <w:r w:rsidRPr="00155AC3">
        <w:rPr>
          <w:lang w:bidi="ar-EG"/>
        </w:rPr>
        <w:t>3</w:t>
      </w:r>
      <w:r w:rsidRPr="00155AC3">
        <w:rPr>
          <w:lang w:bidi="ar-EG"/>
        </w:rPr>
        <w:tab/>
      </w:r>
      <w:r w:rsidR="00DE29D1" w:rsidRPr="00552440">
        <w:rPr>
          <w:rFonts w:hint="cs"/>
          <w:rtl/>
          <w:lang w:val="en-CA" w:bidi="ar-EG"/>
        </w:rPr>
        <w:t xml:space="preserve">المجموعة السادسة </w:t>
      </w:r>
      <w:r w:rsidR="00DE29D1">
        <w:rPr>
          <w:rFonts w:hint="cs"/>
          <w:rtl/>
          <w:lang w:val="en-CA" w:bidi="ar-EG"/>
        </w:rPr>
        <w:t>عشر</w:t>
      </w:r>
      <w:r w:rsidR="00EA04BB">
        <w:rPr>
          <w:rFonts w:hint="cs"/>
          <w:rtl/>
          <w:lang w:val="en-CA" w:bidi="ar-EG"/>
        </w:rPr>
        <w:t>ة</w:t>
      </w:r>
      <w:r w:rsidR="00DE29D1">
        <w:rPr>
          <w:rFonts w:hint="cs"/>
          <w:rtl/>
          <w:lang w:val="en-CA" w:bidi="ar-EG"/>
        </w:rPr>
        <w:t xml:space="preserve"> </w:t>
      </w:r>
      <w:r w:rsidR="00DE29D1" w:rsidRPr="00552440">
        <w:rPr>
          <w:rFonts w:hint="cs"/>
          <w:rtl/>
          <w:lang w:val="en-CA" w:bidi="ar-EG"/>
        </w:rPr>
        <w:t>من النصوص المقدمة من لجنة الصياغة - القراءة الثانية</w:t>
      </w:r>
      <w:r w:rsidR="008663B6" w:rsidRPr="00155AC3">
        <w:rPr>
          <w:rFonts w:hint="cs"/>
          <w:rtl/>
          <w:lang w:bidi="ar-EG"/>
        </w:rPr>
        <w:t xml:space="preserve"> </w:t>
      </w:r>
      <w:r w:rsidR="00F24F0B" w:rsidRPr="00155AC3">
        <w:rPr>
          <w:rFonts w:hint="cs"/>
          <w:rtl/>
          <w:lang w:val="en-GB" w:bidi="ar-EG"/>
        </w:rPr>
        <w:t>(الوثيقة</w:t>
      </w:r>
      <w:r w:rsidR="00A233E3">
        <w:rPr>
          <w:rFonts w:hint="eastAsia"/>
          <w:rtl/>
          <w:lang w:val="en-GB" w:bidi="ar-EG"/>
        </w:rPr>
        <w:t> </w:t>
      </w:r>
      <w:hyperlink r:id="rId25" w:history="1">
        <w:r w:rsidR="00F24F0B" w:rsidRPr="00155AC3">
          <w:rPr>
            <w:rStyle w:val="Hyperlink"/>
            <w:szCs w:val="24"/>
            <w:lang w:val="en-CA"/>
          </w:rPr>
          <w:t>167</w:t>
        </w:r>
      </w:hyperlink>
      <w:r w:rsidR="00F24F0B" w:rsidRPr="00155AC3">
        <w:rPr>
          <w:rFonts w:hint="cs"/>
          <w:rtl/>
          <w:lang w:val="en-GB" w:bidi="ar-EG"/>
        </w:rPr>
        <w:t>)</w:t>
      </w:r>
    </w:p>
    <w:p w14:paraId="1053062F" w14:textId="11E37FE7" w:rsidR="009969EC" w:rsidRPr="00A233E3" w:rsidRDefault="00F24F0B" w:rsidP="008663B6">
      <w:pPr>
        <w:rPr>
          <w:spacing w:val="-2"/>
          <w:rtl/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 w:rsidR="008663B6" w:rsidRPr="00A233E3">
        <w:rPr>
          <w:rFonts w:hint="cs"/>
          <w:b/>
          <w:bCs/>
          <w:spacing w:val="-2"/>
          <w:rtl/>
          <w:lang w:bidi="ar-EG"/>
        </w:rPr>
        <w:t>تمت</w:t>
      </w:r>
      <w:r w:rsidR="008663B6" w:rsidRPr="00A233E3">
        <w:rPr>
          <w:rFonts w:hint="cs"/>
          <w:spacing w:val="-2"/>
          <w:rtl/>
          <w:lang w:bidi="ar-EG"/>
        </w:rPr>
        <w:t xml:space="preserve"> </w:t>
      </w:r>
      <w:r w:rsidR="008663B6" w:rsidRPr="00A233E3">
        <w:rPr>
          <w:rFonts w:hint="cs"/>
          <w:b/>
          <w:bCs/>
          <w:spacing w:val="-2"/>
          <w:rtl/>
          <w:lang w:bidi="ar-EG"/>
        </w:rPr>
        <w:t>الموافقة</w:t>
      </w:r>
      <w:r w:rsidR="008663B6" w:rsidRPr="00A233E3">
        <w:rPr>
          <w:rFonts w:hint="cs"/>
          <w:spacing w:val="-2"/>
          <w:rtl/>
          <w:lang w:bidi="ar-EG"/>
        </w:rPr>
        <w:t xml:space="preserve"> على المجموعة السادسة</w:t>
      </w:r>
      <w:r w:rsidR="00EA04BB" w:rsidRPr="00A233E3">
        <w:rPr>
          <w:rFonts w:hint="cs"/>
          <w:spacing w:val="-2"/>
          <w:rtl/>
          <w:lang w:bidi="ar-EG"/>
        </w:rPr>
        <w:t xml:space="preserve"> عشرة</w:t>
      </w:r>
      <w:r w:rsidR="008663B6" w:rsidRPr="00A233E3">
        <w:rPr>
          <w:rFonts w:hint="cs"/>
          <w:spacing w:val="-2"/>
          <w:rtl/>
          <w:lang w:bidi="ar-EG"/>
        </w:rPr>
        <w:t xml:space="preserve"> من النصوص المقدمة من لجنة الصياغة (الوثيقة </w:t>
      </w:r>
      <w:r w:rsidR="008663B6" w:rsidRPr="00A233E3">
        <w:rPr>
          <w:spacing w:val="-2"/>
          <w:lang w:bidi="ar-EG"/>
        </w:rPr>
        <w:t>1</w:t>
      </w:r>
      <w:r w:rsidR="00D4045F" w:rsidRPr="00A233E3">
        <w:rPr>
          <w:spacing w:val="-2"/>
          <w:lang w:bidi="ar-EG"/>
        </w:rPr>
        <w:t>6</w:t>
      </w:r>
      <w:r w:rsidR="008663B6" w:rsidRPr="00A233E3">
        <w:rPr>
          <w:spacing w:val="-2"/>
          <w:lang w:bidi="ar-EG"/>
        </w:rPr>
        <w:t>7</w:t>
      </w:r>
      <w:r w:rsidR="008663B6" w:rsidRPr="00A233E3">
        <w:rPr>
          <w:rFonts w:hint="cs"/>
          <w:spacing w:val="-2"/>
          <w:rtl/>
          <w:lang w:bidi="ar-EG"/>
        </w:rPr>
        <w:t>) في القراءة الثانية</w:t>
      </w:r>
      <w:r w:rsidR="00D4045F" w:rsidRPr="00A233E3">
        <w:rPr>
          <w:rFonts w:hint="cs"/>
          <w:spacing w:val="-2"/>
          <w:rtl/>
          <w:lang w:bidi="ar-EG"/>
        </w:rPr>
        <w:t>.</w:t>
      </w:r>
    </w:p>
    <w:p w14:paraId="008C2236" w14:textId="5FAE77D7" w:rsidR="009969EC" w:rsidRPr="00155AC3" w:rsidRDefault="009969EC" w:rsidP="00A233E3">
      <w:pPr>
        <w:pStyle w:val="Heading1"/>
        <w:keepNext w:val="0"/>
        <w:keepLines w:val="0"/>
        <w:rPr>
          <w:rtl/>
          <w:lang w:bidi="ar-EG"/>
        </w:rPr>
      </w:pPr>
      <w:r w:rsidRPr="00155AC3">
        <w:rPr>
          <w:lang w:bidi="ar-EG"/>
        </w:rPr>
        <w:t>4</w:t>
      </w:r>
      <w:r w:rsidRPr="00155AC3">
        <w:rPr>
          <w:lang w:bidi="ar-EG"/>
        </w:rPr>
        <w:tab/>
      </w:r>
      <w:r w:rsidR="008220D7" w:rsidRPr="00552440">
        <w:rPr>
          <w:rFonts w:eastAsia="Times New Roman" w:hint="cs"/>
          <w:rtl/>
          <w:lang w:val="en-CA"/>
        </w:rPr>
        <w:t>المجموعة السابعة</w:t>
      </w:r>
      <w:r w:rsidR="008220D7">
        <w:rPr>
          <w:rFonts w:eastAsia="Times New Roman" w:hint="cs"/>
          <w:rtl/>
          <w:lang w:val="en-CA" w:bidi="ar-EG"/>
        </w:rPr>
        <w:t xml:space="preserve"> عشر</w:t>
      </w:r>
      <w:r w:rsidR="00D4045F">
        <w:rPr>
          <w:rFonts w:eastAsia="Times New Roman" w:hint="cs"/>
          <w:rtl/>
          <w:lang w:val="en-CA" w:bidi="ar-EG"/>
        </w:rPr>
        <w:t>ة</w:t>
      </w:r>
      <w:r w:rsidR="008220D7" w:rsidRPr="00552440">
        <w:rPr>
          <w:rFonts w:eastAsia="Times New Roman" w:hint="cs"/>
          <w:rtl/>
          <w:lang w:val="en-CA"/>
        </w:rPr>
        <w:t xml:space="preserve"> من النصوص المقدمة من لجنة الصياغة للقراءة الأولى </w:t>
      </w:r>
      <w:r w:rsidR="008220D7" w:rsidRPr="00552440">
        <w:rPr>
          <w:rFonts w:eastAsia="Times New Roman"/>
          <w:lang w:val="en-GB"/>
        </w:rPr>
        <w:t>(B</w:t>
      </w:r>
      <w:r w:rsidR="008220D7">
        <w:rPr>
          <w:rFonts w:eastAsia="Times New Roman"/>
        </w:rPr>
        <w:t>1</w:t>
      </w:r>
      <w:r w:rsidR="008220D7" w:rsidRPr="00552440">
        <w:rPr>
          <w:rFonts w:eastAsia="Times New Roman"/>
          <w:lang w:val="en-GB"/>
        </w:rPr>
        <w:t>7)</w:t>
      </w:r>
      <w:r w:rsidR="00155AC3" w:rsidRPr="00155AC3">
        <w:rPr>
          <w:rFonts w:hint="cs"/>
          <w:rtl/>
          <w:lang w:val="en-GB" w:bidi="ar-EG"/>
        </w:rPr>
        <w:t xml:space="preserve"> (الوثيقة </w:t>
      </w:r>
      <w:hyperlink r:id="rId26" w:history="1">
        <w:r w:rsidR="00155AC3" w:rsidRPr="00155AC3">
          <w:rPr>
            <w:rStyle w:val="Hyperlink"/>
            <w:szCs w:val="24"/>
            <w:lang w:val="en-CA"/>
          </w:rPr>
          <w:t>173</w:t>
        </w:r>
      </w:hyperlink>
      <w:r w:rsidR="00155AC3" w:rsidRPr="00155AC3">
        <w:rPr>
          <w:rFonts w:hint="cs"/>
          <w:rtl/>
          <w:lang w:bidi="ar-EG"/>
        </w:rPr>
        <w:t>)</w:t>
      </w:r>
    </w:p>
    <w:p w14:paraId="775EC089" w14:textId="54A1FD37" w:rsidR="009969EC" w:rsidRPr="00A233E3" w:rsidRDefault="00D4045F" w:rsidP="00A233E3">
      <w:pPr>
        <w:pStyle w:val="Headingb"/>
        <w:keepNext w:val="0"/>
        <w:ind w:left="0" w:firstLine="0"/>
        <w:rPr>
          <w:rtl/>
          <w:lang w:bidi="ar-EG"/>
        </w:rPr>
      </w:pPr>
      <w:r w:rsidRPr="00A233E3">
        <w:rPr>
          <w:rFonts w:hint="cs"/>
          <w:rtl/>
          <w:lang w:bidi="ar-EG"/>
        </w:rPr>
        <w:t xml:space="preserve">مشروع </w:t>
      </w:r>
      <w:r w:rsidR="00BA21B8" w:rsidRPr="00A233E3">
        <w:rPr>
          <w:rtl/>
          <w:lang w:bidi="ar-EG"/>
        </w:rPr>
        <w:t xml:space="preserve">القـرار </w:t>
      </w:r>
      <w:r w:rsidR="00BA21B8" w:rsidRPr="00A233E3">
        <w:rPr>
          <w:lang w:bidi="ar-EG"/>
        </w:rPr>
        <w:t>182</w:t>
      </w:r>
      <w:r w:rsidR="00BA21B8" w:rsidRPr="00A233E3">
        <w:rPr>
          <w:rFonts w:hint="cs"/>
          <w:rtl/>
          <w:lang w:bidi="ar-EG"/>
        </w:rPr>
        <w:t xml:space="preserve"> (المراجَع في بوخارست، </w:t>
      </w:r>
      <w:r w:rsidR="00BA21B8" w:rsidRPr="00A233E3">
        <w:rPr>
          <w:lang w:bidi="ar-EG"/>
        </w:rPr>
        <w:t>2022</w:t>
      </w:r>
      <w:r w:rsidR="00BA21B8" w:rsidRPr="00A233E3">
        <w:rPr>
          <w:rFonts w:hint="cs"/>
          <w:rtl/>
          <w:lang w:bidi="ar-EG"/>
        </w:rPr>
        <w:t xml:space="preserve">) - </w:t>
      </w:r>
      <w:r w:rsidR="00BA21B8" w:rsidRPr="00A233E3">
        <w:rPr>
          <w:rtl/>
          <w:lang w:bidi="ar-EG"/>
        </w:rPr>
        <w:t>دور الاتصالات/تكنولوجيا المعلومات والاتصالات</w:t>
      </w:r>
      <w:r w:rsidR="00BA21B8" w:rsidRPr="00A233E3">
        <w:rPr>
          <w:rFonts w:hint="cs"/>
          <w:rtl/>
          <w:lang w:bidi="ar-EG"/>
        </w:rPr>
        <w:t xml:space="preserve"> فيما</w:t>
      </w:r>
      <w:r w:rsidR="00BA21B8" w:rsidRPr="00A233E3">
        <w:rPr>
          <w:rFonts w:hint="eastAsia"/>
          <w:rtl/>
          <w:lang w:bidi="ar-EG"/>
        </w:rPr>
        <w:t> </w:t>
      </w:r>
      <w:r w:rsidR="00BA21B8" w:rsidRPr="00A233E3">
        <w:rPr>
          <w:rFonts w:hint="cs"/>
          <w:rtl/>
          <w:lang w:bidi="ar-EG"/>
        </w:rPr>
        <w:t>يتعلق بتغير</w:t>
      </w:r>
      <w:r w:rsidR="00BA21B8" w:rsidRPr="00A233E3">
        <w:rPr>
          <w:rtl/>
          <w:lang w:bidi="ar-EG"/>
        </w:rPr>
        <w:t xml:space="preserve"> المناخ وحماية البيئة</w:t>
      </w:r>
    </w:p>
    <w:p w14:paraId="7E4F6CF0" w14:textId="0CD32D77" w:rsidR="002630EB" w:rsidRPr="00A233E3" w:rsidRDefault="00463E0C" w:rsidP="00A233E3">
      <w:pPr>
        <w:pStyle w:val="Headingb"/>
        <w:keepNext w:val="0"/>
        <w:ind w:left="0" w:firstLine="0"/>
        <w:rPr>
          <w:rtl/>
          <w:lang w:val="en-GB" w:bidi="ar-EG"/>
        </w:rPr>
      </w:pPr>
      <w:r w:rsidRPr="00A233E3">
        <w:rPr>
          <w:rFonts w:hint="cs"/>
          <w:rtl/>
          <w:lang w:bidi="ar-EG"/>
        </w:rPr>
        <w:lastRenderedPageBreak/>
        <w:t xml:space="preserve">مشروع </w:t>
      </w:r>
      <w:r w:rsidRPr="00A233E3">
        <w:rPr>
          <w:rtl/>
        </w:rPr>
        <w:t>ال</w:t>
      </w:r>
      <w:r w:rsidRPr="00A233E3">
        <w:rPr>
          <w:rtl/>
          <w:lang w:bidi="ar-EG"/>
        </w:rPr>
        <w:t xml:space="preserve">قرار </w:t>
      </w:r>
      <w:r w:rsidRPr="00A233E3">
        <w:rPr>
          <w:lang w:val="en-GB" w:bidi="ar-EG"/>
        </w:rPr>
        <w:t>COM5/1</w:t>
      </w:r>
      <w:r w:rsidRPr="00A233E3">
        <w:rPr>
          <w:rFonts w:hint="cs"/>
          <w:rtl/>
          <w:lang w:val="en-GB" w:bidi="ar-EG"/>
        </w:rPr>
        <w:t xml:space="preserve"> (</w:t>
      </w:r>
      <w:r w:rsidRPr="00A233E3">
        <w:rPr>
          <w:rFonts w:hint="cs"/>
          <w:rtl/>
          <w:lang w:bidi="ar-EG"/>
        </w:rPr>
        <w:t xml:space="preserve">بوخارست، </w:t>
      </w:r>
      <w:r w:rsidRPr="00A233E3">
        <w:rPr>
          <w:lang w:val="en-GB" w:bidi="ar-EG"/>
        </w:rPr>
        <w:t>2022</w:t>
      </w:r>
      <w:r w:rsidRPr="00A233E3">
        <w:rPr>
          <w:rFonts w:hint="cs"/>
          <w:rtl/>
          <w:lang w:val="en-GB" w:bidi="ar-EG"/>
        </w:rPr>
        <w:t xml:space="preserve">) - </w:t>
      </w:r>
      <w:r w:rsidRPr="00A233E3">
        <w:rPr>
          <w:rtl/>
          <w:lang w:val="en-GB" w:bidi="ar-EG"/>
        </w:rPr>
        <w:t>استخدام تخصيصات التردد في المنشآت الراديوية العسكرية لخدمات الدفاع الوطني</w:t>
      </w:r>
    </w:p>
    <w:p w14:paraId="14A1F8F4" w14:textId="06059A4E" w:rsidR="00463E0C" w:rsidRPr="00A233E3" w:rsidRDefault="00463E0C" w:rsidP="00463E0C">
      <w:pPr>
        <w:rPr>
          <w:rtl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191F00" w:rsidRPr="00191F00">
        <w:rPr>
          <w:rFonts w:hint="cs"/>
          <w:b/>
          <w:bCs/>
          <w:rtl/>
          <w:lang w:bidi="ar-EG"/>
        </w:rPr>
        <w:t>اعتُمدا</w:t>
      </w:r>
      <w:r w:rsidR="00191F00">
        <w:rPr>
          <w:rFonts w:hint="cs"/>
          <w:rtl/>
          <w:lang w:bidi="ar-EG"/>
        </w:rPr>
        <w:t>.</w:t>
      </w:r>
    </w:p>
    <w:p w14:paraId="7AC32C10" w14:textId="2C6A7769" w:rsidR="00514733" w:rsidRDefault="00463E0C" w:rsidP="00A233E3">
      <w:pPr>
        <w:rPr>
          <w:rtl/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 w:rsidR="00191F00">
        <w:rPr>
          <w:rFonts w:hint="cs"/>
          <w:rtl/>
          <w:lang w:bidi="ar-EG"/>
        </w:rPr>
        <w:t xml:space="preserve">قال </w:t>
      </w:r>
      <w:r w:rsidR="00191F00" w:rsidRPr="003C2B0F">
        <w:rPr>
          <w:rFonts w:hint="cs"/>
          <w:b/>
          <w:bCs/>
          <w:rtl/>
          <w:lang w:bidi="ar-EG"/>
        </w:rPr>
        <w:t>مندوب جمهورية إيران الإسلامية</w:t>
      </w:r>
      <w:r w:rsidR="00191F00">
        <w:rPr>
          <w:rFonts w:hint="cs"/>
          <w:rtl/>
          <w:lang w:bidi="ar-EG"/>
        </w:rPr>
        <w:t xml:space="preserve"> </w:t>
      </w:r>
      <w:r w:rsidR="003C2B0F">
        <w:rPr>
          <w:rFonts w:hint="cs"/>
          <w:rtl/>
          <w:lang w:bidi="ar-EG"/>
        </w:rPr>
        <w:t xml:space="preserve">إن </w:t>
      </w:r>
      <w:r w:rsidR="00E02EDC">
        <w:rPr>
          <w:rFonts w:hint="cs"/>
          <w:rtl/>
          <w:lang w:bidi="ar-EG"/>
        </w:rPr>
        <w:t xml:space="preserve">المادة </w:t>
      </w:r>
      <w:r w:rsidR="00E02EDC">
        <w:rPr>
          <w:lang w:bidi="ar-EG"/>
        </w:rPr>
        <w:t>48</w:t>
      </w:r>
      <w:r w:rsidR="00E02EDC">
        <w:rPr>
          <w:rFonts w:hint="cs"/>
          <w:rtl/>
          <w:lang w:bidi="ar-EG"/>
        </w:rPr>
        <w:t xml:space="preserve"> من الدستور، بشأن </w:t>
      </w:r>
      <w:bookmarkStart w:id="12" w:name="_Toc414894216"/>
      <w:r w:rsidR="00AE44B6" w:rsidRPr="00AE44B6">
        <w:rPr>
          <w:rtl/>
          <w:lang w:bidi="ar-EG"/>
        </w:rPr>
        <w:t>منشآت خدمات الدفاع الوطني</w:t>
      </w:r>
      <w:bookmarkEnd w:id="12"/>
      <w:r w:rsidR="005D0606">
        <w:rPr>
          <w:rFonts w:hint="cs"/>
          <w:rtl/>
          <w:lang w:bidi="ar-EG"/>
        </w:rPr>
        <w:t>،</w:t>
      </w:r>
      <w:r w:rsidR="00673B72">
        <w:rPr>
          <w:rFonts w:hint="cs"/>
          <w:rtl/>
          <w:lang w:bidi="ar-EG"/>
        </w:rPr>
        <w:t xml:space="preserve"> لم تتغير من حيث الطبيعة والهدف، منذ صياغتها </w:t>
      </w:r>
      <w:r w:rsidR="00445FBC">
        <w:rPr>
          <w:rFonts w:hint="cs"/>
          <w:rtl/>
          <w:lang w:bidi="ar-EG"/>
        </w:rPr>
        <w:t xml:space="preserve">لأول مرة </w:t>
      </w:r>
      <w:r w:rsidR="00673B72">
        <w:rPr>
          <w:rFonts w:hint="cs"/>
          <w:rtl/>
          <w:lang w:bidi="ar-EG"/>
        </w:rPr>
        <w:t xml:space="preserve">في عام </w:t>
      </w:r>
      <w:r w:rsidR="00673B72">
        <w:rPr>
          <w:lang w:bidi="ar-EG"/>
        </w:rPr>
        <w:t>1903</w:t>
      </w:r>
      <w:r w:rsidR="004B1DAD">
        <w:rPr>
          <w:rFonts w:hint="cs"/>
          <w:rtl/>
          <w:lang w:bidi="ar-EG"/>
        </w:rPr>
        <w:t>؛</w:t>
      </w:r>
      <w:r w:rsidR="006E5A11">
        <w:rPr>
          <w:rFonts w:hint="cs"/>
          <w:rtl/>
          <w:lang w:bidi="ar-EG"/>
        </w:rPr>
        <w:t xml:space="preserve"> بيد أن لوائح الراديو تغيرت كثيراً منذ ذلك الوقت</w:t>
      </w:r>
      <w:r w:rsidR="004B1DAD">
        <w:rPr>
          <w:rFonts w:hint="cs"/>
          <w:rtl/>
          <w:lang w:bidi="ar-EG"/>
        </w:rPr>
        <w:t>. وهنأ المؤتمر على اعتماده بتوافق الآراء قراراً بشأن استخدام تخصيصات التردد في المنشآت الراديوية العسكرية ل</w:t>
      </w:r>
      <w:r w:rsidR="005D0606">
        <w:rPr>
          <w:rFonts w:hint="cs"/>
          <w:rtl/>
          <w:lang w:bidi="ar-EG"/>
        </w:rPr>
        <w:t>هذه ال</w:t>
      </w:r>
      <w:r w:rsidR="004B1DAD">
        <w:rPr>
          <w:rFonts w:hint="cs"/>
          <w:rtl/>
          <w:lang w:bidi="ar-EG"/>
        </w:rPr>
        <w:t>خدمات</w:t>
      </w:r>
      <w:r w:rsidR="005D0606">
        <w:rPr>
          <w:rFonts w:hint="cs"/>
          <w:rtl/>
          <w:lang w:bidi="ar-EG"/>
        </w:rPr>
        <w:t>.</w:t>
      </w:r>
    </w:p>
    <w:p w14:paraId="0438CB2C" w14:textId="34C2C458" w:rsidR="00514733" w:rsidRPr="00A233E3" w:rsidRDefault="00C73089" w:rsidP="00A233E3">
      <w:pPr>
        <w:pStyle w:val="Headingb"/>
        <w:rPr>
          <w:spacing w:val="-6"/>
          <w:rtl/>
          <w:lang w:bidi="ar-EG"/>
        </w:rPr>
      </w:pPr>
      <w:r w:rsidRPr="00A233E3">
        <w:rPr>
          <w:rFonts w:hint="cs"/>
          <w:spacing w:val="-6"/>
          <w:rtl/>
          <w:lang w:bidi="ar-EG"/>
        </w:rPr>
        <w:t xml:space="preserve">مشروع القرار </w:t>
      </w:r>
      <w:r w:rsidRPr="00A233E3">
        <w:rPr>
          <w:spacing w:val="-6"/>
          <w:lang w:val="en-GB" w:bidi="ar-EG"/>
        </w:rPr>
        <w:t>COM5/2</w:t>
      </w:r>
      <w:r w:rsidRPr="00A233E3">
        <w:rPr>
          <w:rFonts w:hint="cs"/>
          <w:spacing w:val="-6"/>
          <w:rtl/>
          <w:lang w:val="en-GB" w:bidi="ar-EG"/>
        </w:rPr>
        <w:t xml:space="preserve"> (</w:t>
      </w:r>
      <w:r w:rsidRPr="00A233E3">
        <w:rPr>
          <w:rFonts w:hint="cs"/>
          <w:spacing w:val="-6"/>
          <w:rtl/>
          <w:lang w:bidi="ar-EG"/>
        </w:rPr>
        <w:t xml:space="preserve">بوخارست، </w:t>
      </w:r>
      <w:r w:rsidRPr="00A233E3">
        <w:rPr>
          <w:spacing w:val="-6"/>
          <w:lang w:val="en-GB" w:bidi="ar-EG"/>
        </w:rPr>
        <w:t>2022</w:t>
      </w:r>
      <w:r w:rsidRPr="00A233E3">
        <w:rPr>
          <w:rFonts w:hint="cs"/>
          <w:spacing w:val="-6"/>
          <w:rtl/>
          <w:lang w:val="en-GB" w:bidi="ar-EG"/>
        </w:rPr>
        <w:t xml:space="preserve">) - </w:t>
      </w:r>
      <w:r w:rsidRPr="00A233E3">
        <w:rPr>
          <w:spacing w:val="-6"/>
          <w:rtl/>
          <w:lang w:val="en-GB" w:bidi="ar-EG"/>
        </w:rPr>
        <w:t>إدارة استمرارية الأعمال في الاتحاد الدولي للاتصالات للفترة 202</w:t>
      </w:r>
      <w:r w:rsidRPr="00A233E3">
        <w:rPr>
          <w:rFonts w:hint="cs"/>
          <w:spacing w:val="-6"/>
          <w:rtl/>
          <w:lang w:val="en-GB" w:bidi="ar-EG"/>
        </w:rPr>
        <w:t>3</w:t>
      </w:r>
      <w:r w:rsidRPr="00A233E3">
        <w:rPr>
          <w:spacing w:val="-6"/>
          <w:rtl/>
          <w:lang w:val="en-GB" w:bidi="ar-EG"/>
        </w:rPr>
        <w:t>-2026</w:t>
      </w:r>
    </w:p>
    <w:p w14:paraId="783EC028" w14:textId="657654CB" w:rsidR="00463E0C" w:rsidRDefault="00463E0C" w:rsidP="00463E0C">
      <w:pPr>
        <w:rPr>
          <w:lang w:bidi="ar-EG"/>
        </w:rPr>
      </w:pPr>
      <w:r>
        <w:rPr>
          <w:lang w:bidi="ar-EG"/>
        </w:rPr>
        <w:t>3.4</w:t>
      </w:r>
      <w:r>
        <w:rPr>
          <w:lang w:bidi="ar-EG"/>
        </w:rPr>
        <w:tab/>
      </w:r>
      <w:r w:rsidR="005D0606">
        <w:rPr>
          <w:rFonts w:hint="cs"/>
          <w:b/>
          <w:bCs/>
          <w:rtl/>
          <w:lang w:bidi="ar-EG"/>
        </w:rPr>
        <w:t>اعتُمد</w:t>
      </w:r>
      <w:r w:rsidRPr="004B26D3">
        <w:rPr>
          <w:rFonts w:hint="cs"/>
          <w:rtl/>
          <w:lang w:bidi="ar-EG"/>
        </w:rPr>
        <w:t>.</w:t>
      </w:r>
    </w:p>
    <w:p w14:paraId="3A72EC10" w14:textId="5B695D7A" w:rsidR="00463E0C" w:rsidRPr="00A233E3" w:rsidRDefault="00463E0C" w:rsidP="00A233E3">
      <w:pPr>
        <w:rPr>
          <w:lang w:bidi="ar-EG"/>
        </w:rPr>
      </w:pPr>
      <w:r w:rsidRPr="00A233E3">
        <w:rPr>
          <w:lang w:bidi="ar-EG"/>
        </w:rPr>
        <w:t>4.4</w:t>
      </w:r>
      <w:r w:rsidRPr="00A233E3">
        <w:rPr>
          <w:lang w:bidi="ar-EG"/>
        </w:rPr>
        <w:tab/>
      </w:r>
      <w:r w:rsidR="005D0606" w:rsidRPr="00A233E3">
        <w:rPr>
          <w:rFonts w:hint="cs"/>
          <w:rtl/>
          <w:lang w:bidi="ar-EG"/>
        </w:rPr>
        <w:t>و</w:t>
      </w:r>
      <w:r w:rsidR="00C73089" w:rsidRPr="00A233E3">
        <w:rPr>
          <w:rFonts w:hint="cs"/>
          <w:b/>
          <w:bCs/>
          <w:rtl/>
          <w:lang w:bidi="ar-EG"/>
        </w:rPr>
        <w:t>تمت</w:t>
      </w:r>
      <w:r w:rsidR="00C73089" w:rsidRPr="00A233E3">
        <w:rPr>
          <w:rFonts w:hint="cs"/>
          <w:rtl/>
          <w:lang w:bidi="ar-EG"/>
        </w:rPr>
        <w:t xml:space="preserve"> </w:t>
      </w:r>
      <w:r w:rsidR="00C73089" w:rsidRPr="00A233E3">
        <w:rPr>
          <w:rFonts w:hint="cs"/>
          <w:b/>
          <w:bCs/>
          <w:rtl/>
          <w:lang w:bidi="ar-EG"/>
        </w:rPr>
        <w:t>الموافقة</w:t>
      </w:r>
      <w:r w:rsidR="00C73089" w:rsidRPr="00A233E3">
        <w:rPr>
          <w:rFonts w:hint="cs"/>
          <w:rtl/>
          <w:lang w:bidi="ar-EG"/>
        </w:rPr>
        <w:t xml:space="preserve"> على المجموعة </w:t>
      </w:r>
      <w:r w:rsidR="00B52588" w:rsidRPr="00A233E3">
        <w:rPr>
          <w:rFonts w:hint="cs"/>
          <w:rtl/>
          <w:lang w:bidi="ar-EG"/>
        </w:rPr>
        <w:t>السابعة عشرة</w:t>
      </w:r>
      <w:r w:rsidR="00C73089" w:rsidRPr="00A233E3">
        <w:rPr>
          <w:rFonts w:hint="cs"/>
          <w:rtl/>
          <w:lang w:bidi="ar-EG"/>
        </w:rPr>
        <w:t xml:space="preserve"> من النصوص المقدمة من لجنة الصياغة للقراءة الأولى </w:t>
      </w:r>
      <w:r w:rsidR="00C73089" w:rsidRPr="00A233E3">
        <w:rPr>
          <w:lang w:val="en-GB" w:bidi="ar-EG"/>
        </w:rPr>
        <w:t>(B</w:t>
      </w:r>
      <w:r w:rsidR="00EA3B3B" w:rsidRPr="00A233E3">
        <w:rPr>
          <w:lang w:bidi="ar-EG"/>
        </w:rPr>
        <w:t>17</w:t>
      </w:r>
      <w:r w:rsidR="00C73089" w:rsidRPr="00A233E3">
        <w:rPr>
          <w:lang w:val="en-GB" w:bidi="ar-EG"/>
        </w:rPr>
        <w:t>)</w:t>
      </w:r>
      <w:r w:rsidR="00C73089" w:rsidRPr="00A233E3">
        <w:rPr>
          <w:rFonts w:hint="cs"/>
          <w:rtl/>
          <w:lang w:bidi="ar-EG"/>
        </w:rPr>
        <w:t xml:space="preserve"> (الوثيقة</w:t>
      </w:r>
      <w:r w:rsidR="00A233E3">
        <w:rPr>
          <w:rFonts w:hint="eastAsia"/>
          <w:rtl/>
          <w:lang w:bidi="ar-EG"/>
        </w:rPr>
        <w:t> </w:t>
      </w:r>
      <w:r w:rsidR="00C73089" w:rsidRPr="00A233E3">
        <w:rPr>
          <w:lang w:val="en-CA" w:bidi="ar-EG"/>
        </w:rPr>
        <w:t>173</w:t>
      </w:r>
      <w:r w:rsidR="00C73089" w:rsidRPr="00A233E3">
        <w:rPr>
          <w:rFonts w:hint="cs"/>
          <w:rtl/>
          <w:lang w:bidi="ar-EG"/>
        </w:rPr>
        <w:t>).</w:t>
      </w:r>
    </w:p>
    <w:p w14:paraId="1B092612" w14:textId="42CA12E7" w:rsidR="009969EC" w:rsidRDefault="009969EC" w:rsidP="009969EC">
      <w:pPr>
        <w:pStyle w:val="Heading1"/>
        <w:rPr>
          <w:rtl/>
          <w:lang w:bidi="ar-EG"/>
        </w:rPr>
      </w:pPr>
      <w:r w:rsidRPr="00EA3B3B">
        <w:rPr>
          <w:lang w:bidi="ar-EG"/>
        </w:rPr>
        <w:t>5</w:t>
      </w:r>
      <w:r w:rsidRPr="00EA3B3B">
        <w:rPr>
          <w:lang w:bidi="ar-EG"/>
        </w:rPr>
        <w:tab/>
      </w:r>
      <w:r w:rsidR="00B36F4A" w:rsidRPr="006406DC">
        <w:rPr>
          <w:rFonts w:hint="cs"/>
          <w:rtl/>
          <w:lang w:val="en-CA"/>
        </w:rPr>
        <w:t>المجموعة السابعة</w:t>
      </w:r>
      <w:r w:rsidR="00B36F4A">
        <w:rPr>
          <w:rFonts w:hint="cs"/>
          <w:rtl/>
          <w:lang w:val="en-CA"/>
        </w:rPr>
        <w:t xml:space="preserve"> عشر</w:t>
      </w:r>
      <w:r w:rsidR="00B52588">
        <w:rPr>
          <w:rFonts w:hint="cs"/>
          <w:rtl/>
          <w:lang w:val="en-CA"/>
        </w:rPr>
        <w:t>ة</w:t>
      </w:r>
      <w:r w:rsidR="00B36F4A" w:rsidRPr="006406DC">
        <w:rPr>
          <w:rFonts w:hint="cs"/>
          <w:rtl/>
          <w:lang w:val="en-CA"/>
        </w:rPr>
        <w:t xml:space="preserve"> من النصوص المقدمة من لجنة الصياغة - القراءة الثانية</w:t>
      </w:r>
      <w:r w:rsidR="00B36F4A" w:rsidRPr="00EA3B3B">
        <w:rPr>
          <w:rFonts w:hint="cs"/>
          <w:rtl/>
          <w:lang w:val="en-CA" w:bidi="ar-EG"/>
        </w:rPr>
        <w:t xml:space="preserve"> </w:t>
      </w:r>
      <w:r w:rsidR="00EA3B3B" w:rsidRPr="00EA3B3B">
        <w:rPr>
          <w:rFonts w:hint="cs"/>
          <w:rtl/>
          <w:lang w:val="en-CA" w:bidi="ar-EG"/>
        </w:rPr>
        <w:t>(الوثيقة</w:t>
      </w:r>
      <w:r w:rsidR="00A233E3">
        <w:rPr>
          <w:rFonts w:hint="eastAsia"/>
          <w:rtl/>
          <w:lang w:val="en-CA" w:bidi="ar-EG"/>
        </w:rPr>
        <w:t> </w:t>
      </w:r>
      <w:hyperlink r:id="rId27" w:history="1">
        <w:r w:rsidR="00EA3B3B" w:rsidRPr="00EA3B3B">
          <w:rPr>
            <w:rStyle w:val="Hyperlink"/>
            <w:szCs w:val="24"/>
            <w:lang w:val="en-CA"/>
          </w:rPr>
          <w:t>173</w:t>
        </w:r>
      </w:hyperlink>
      <w:r w:rsidR="00EA3B3B" w:rsidRPr="00EA3B3B">
        <w:rPr>
          <w:rFonts w:hint="cs"/>
          <w:rtl/>
          <w:lang w:val="en-CA" w:bidi="ar-EG"/>
        </w:rPr>
        <w:t>)</w:t>
      </w:r>
    </w:p>
    <w:p w14:paraId="5DEDC8DC" w14:textId="7A5A4816" w:rsidR="009969EC" w:rsidRPr="004B26D3" w:rsidRDefault="00E57D91" w:rsidP="00C141E7">
      <w:pPr>
        <w:rPr>
          <w:spacing w:val="-2"/>
          <w:rtl/>
          <w:lang w:bidi="ar-EG"/>
        </w:rPr>
      </w:pPr>
      <w:r w:rsidRPr="004B26D3">
        <w:rPr>
          <w:spacing w:val="-2"/>
          <w:lang w:bidi="ar-EG"/>
        </w:rPr>
        <w:t>1.5</w:t>
      </w:r>
      <w:r w:rsidRPr="004B26D3">
        <w:rPr>
          <w:spacing w:val="-2"/>
          <w:lang w:bidi="ar-EG"/>
        </w:rPr>
        <w:tab/>
      </w:r>
      <w:r w:rsidR="00B52588" w:rsidRPr="004B26D3">
        <w:rPr>
          <w:rFonts w:hint="cs"/>
          <w:b/>
          <w:bCs/>
          <w:spacing w:val="-2"/>
          <w:rtl/>
          <w:lang w:bidi="ar-EG"/>
        </w:rPr>
        <w:t>تمت الموافقة</w:t>
      </w:r>
      <w:r w:rsidR="00B52588" w:rsidRPr="004B26D3">
        <w:rPr>
          <w:rFonts w:hint="cs"/>
          <w:spacing w:val="-2"/>
          <w:rtl/>
          <w:lang w:bidi="ar-EG"/>
        </w:rPr>
        <w:t xml:space="preserve"> على المجموعة السابعة عشرة من النصوص المقدمة من لجنة الصياغة (الوثيقة </w:t>
      </w:r>
      <w:r w:rsidR="00B52588" w:rsidRPr="004B26D3">
        <w:rPr>
          <w:spacing w:val="-2"/>
          <w:lang w:val="en-CA" w:bidi="ar-EG"/>
        </w:rPr>
        <w:t>173</w:t>
      </w:r>
      <w:r w:rsidR="00B52588" w:rsidRPr="004B26D3">
        <w:rPr>
          <w:rFonts w:hint="cs"/>
          <w:spacing w:val="-2"/>
          <w:rtl/>
          <w:lang w:bidi="ar-EG"/>
        </w:rPr>
        <w:t>) في القراءة</w:t>
      </w:r>
      <w:r w:rsidR="004B26D3" w:rsidRPr="004B26D3">
        <w:rPr>
          <w:rFonts w:hint="eastAsia"/>
          <w:spacing w:val="-2"/>
          <w:rtl/>
          <w:lang w:bidi="ar-EG"/>
        </w:rPr>
        <w:t> </w:t>
      </w:r>
      <w:r w:rsidR="00B52588" w:rsidRPr="004B26D3">
        <w:rPr>
          <w:rFonts w:hint="cs"/>
          <w:spacing w:val="-2"/>
          <w:rtl/>
          <w:lang w:bidi="ar-EG"/>
        </w:rPr>
        <w:t>الثانية</w:t>
      </w:r>
      <w:r w:rsidRPr="004B26D3">
        <w:rPr>
          <w:rFonts w:hint="cs"/>
          <w:spacing w:val="-2"/>
          <w:rtl/>
          <w:lang w:bidi="ar-EG"/>
        </w:rPr>
        <w:t>.</w:t>
      </w:r>
    </w:p>
    <w:p w14:paraId="490639B6" w14:textId="797CF155" w:rsidR="009969EC" w:rsidRDefault="009969EC" w:rsidP="009969EC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E57D91" w:rsidRPr="00552440">
        <w:rPr>
          <w:rFonts w:eastAsia="Times New Roman" w:hint="cs"/>
          <w:rtl/>
          <w:lang w:val="en-CA"/>
        </w:rPr>
        <w:t>المجموعة السابعة</w:t>
      </w:r>
      <w:r w:rsidR="00E57D91">
        <w:rPr>
          <w:rFonts w:eastAsia="Times New Roman" w:hint="cs"/>
          <w:rtl/>
          <w:lang w:val="en-CA" w:bidi="ar-EG"/>
        </w:rPr>
        <w:t xml:space="preserve"> عشر</w:t>
      </w:r>
      <w:r w:rsidR="00B52588">
        <w:rPr>
          <w:rFonts w:eastAsia="Times New Roman" w:hint="cs"/>
          <w:rtl/>
          <w:lang w:val="en-CA" w:bidi="ar-EG"/>
        </w:rPr>
        <w:t>ة</w:t>
      </w:r>
      <w:r w:rsidR="00E57D91" w:rsidRPr="00552440">
        <w:rPr>
          <w:rFonts w:eastAsia="Times New Roman" w:hint="cs"/>
          <w:rtl/>
          <w:lang w:val="en-CA"/>
        </w:rPr>
        <w:t xml:space="preserve"> من النصوص المقدمة من لجنة الصياغة للقراءة الأولى </w:t>
      </w:r>
      <w:r w:rsidR="00E57D91" w:rsidRPr="00552440">
        <w:rPr>
          <w:rFonts w:eastAsia="Times New Roman"/>
          <w:lang w:val="en-GB"/>
        </w:rPr>
        <w:t>(B</w:t>
      </w:r>
      <w:r w:rsidR="00E57D91">
        <w:rPr>
          <w:rFonts w:eastAsia="Times New Roman"/>
        </w:rPr>
        <w:t>1</w:t>
      </w:r>
      <w:r w:rsidR="00030531">
        <w:rPr>
          <w:rFonts w:eastAsia="Times New Roman"/>
          <w:lang w:val="en-GB"/>
        </w:rPr>
        <w:t>8</w:t>
      </w:r>
      <w:r w:rsidR="00E57D91" w:rsidRPr="00552440">
        <w:rPr>
          <w:rFonts w:eastAsia="Times New Roman"/>
          <w:lang w:val="en-GB"/>
        </w:rPr>
        <w:t>)</w:t>
      </w:r>
      <w:r w:rsidR="00E57D91">
        <w:rPr>
          <w:rFonts w:eastAsia="Times New Roman" w:hint="cs"/>
          <w:rtl/>
          <w:lang w:val="en-GB"/>
        </w:rPr>
        <w:t xml:space="preserve"> (الوثيقة </w:t>
      </w:r>
      <w:hyperlink r:id="rId28" w:history="1">
        <w:r w:rsidR="00E57D91" w:rsidRPr="00E57D91">
          <w:rPr>
            <w:rStyle w:val="Hyperlink"/>
            <w:szCs w:val="24"/>
            <w:lang w:val="en-CA"/>
          </w:rPr>
          <w:t>174</w:t>
        </w:r>
      </w:hyperlink>
      <w:r w:rsidR="00E57D91">
        <w:rPr>
          <w:rFonts w:eastAsia="Times New Roman" w:hint="cs"/>
          <w:rtl/>
          <w:lang w:val="en-GB"/>
        </w:rPr>
        <w:t>)</w:t>
      </w:r>
    </w:p>
    <w:p w14:paraId="4EBB8227" w14:textId="2CF22513" w:rsidR="009969EC" w:rsidRPr="004B26D3" w:rsidRDefault="00CE7613" w:rsidP="004B26D3">
      <w:pPr>
        <w:pStyle w:val="Headingb"/>
        <w:ind w:left="0" w:firstLine="0"/>
        <w:rPr>
          <w:spacing w:val="-2"/>
          <w:rtl/>
          <w:lang w:bidi="ar-EG"/>
        </w:rPr>
      </w:pPr>
      <w:r w:rsidRPr="004B26D3">
        <w:rPr>
          <w:rFonts w:hint="cs"/>
          <w:spacing w:val="-2"/>
          <w:rtl/>
          <w:lang w:bidi="ar-EG"/>
        </w:rPr>
        <w:t xml:space="preserve">مشروع </w:t>
      </w:r>
      <w:r w:rsidR="00030531" w:rsidRPr="004B26D3">
        <w:rPr>
          <w:rFonts w:hint="eastAsia"/>
          <w:spacing w:val="-2"/>
          <w:rtl/>
          <w:lang w:bidi="ar-EG"/>
        </w:rPr>
        <w:t>القـرار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spacing w:val="-2"/>
          <w:lang w:bidi="ar-EG"/>
        </w:rPr>
        <w:t>64</w:t>
      </w:r>
      <w:r w:rsidR="00030531" w:rsidRPr="004B26D3">
        <w:rPr>
          <w:spacing w:val="-2"/>
          <w:rtl/>
          <w:lang w:bidi="ar-EG"/>
        </w:rPr>
        <w:t xml:space="preserve"> (المراجَع في</w:t>
      </w:r>
      <w:r w:rsidR="00030531" w:rsidRPr="004B26D3">
        <w:rPr>
          <w:rFonts w:hint="cs"/>
          <w:spacing w:val="-2"/>
          <w:rtl/>
          <w:lang w:bidi="ar-EG"/>
        </w:rPr>
        <w:t xml:space="preserve"> بوخارست، </w:t>
      </w:r>
      <w:r w:rsidR="00030531" w:rsidRPr="004B26D3">
        <w:rPr>
          <w:spacing w:val="-2"/>
          <w:lang w:bidi="ar-EG"/>
        </w:rPr>
        <w:t>2022</w:t>
      </w:r>
      <w:r w:rsidR="00030531" w:rsidRPr="004B26D3">
        <w:rPr>
          <w:spacing w:val="-2"/>
          <w:rtl/>
          <w:lang w:bidi="ar-EG"/>
        </w:rPr>
        <w:t>)</w:t>
      </w:r>
      <w:r w:rsidR="00030531" w:rsidRPr="004B26D3">
        <w:rPr>
          <w:rFonts w:hint="cs"/>
          <w:spacing w:val="-2"/>
          <w:rtl/>
          <w:lang w:bidi="ar-EG"/>
        </w:rPr>
        <w:t xml:space="preserve"> - </w:t>
      </w:r>
      <w:r w:rsidR="00030531" w:rsidRPr="004B26D3">
        <w:rPr>
          <w:rFonts w:hint="eastAsia"/>
          <w:spacing w:val="-2"/>
          <w:rtl/>
          <w:lang w:bidi="ar-EG"/>
        </w:rPr>
        <w:t>النفاذ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على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أساس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غير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تمييزي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إلى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مرافق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الاتصالات</w:t>
      </w:r>
      <w:r w:rsidR="00030531" w:rsidRPr="004B26D3">
        <w:rPr>
          <w:spacing w:val="-2"/>
          <w:rtl/>
          <w:lang w:bidi="ar-EG"/>
        </w:rPr>
        <w:t>/</w:t>
      </w:r>
      <w:r w:rsidR="00030531" w:rsidRPr="004B26D3">
        <w:rPr>
          <w:rFonts w:hint="eastAsia"/>
          <w:spacing w:val="-2"/>
          <w:rtl/>
          <w:lang w:bidi="ar-EG"/>
        </w:rPr>
        <w:t>تكنولوجيا</w:t>
      </w:r>
      <w:r w:rsidR="00030531" w:rsidRPr="004B26D3">
        <w:rPr>
          <w:rFonts w:hint="cs"/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المعلومات</w:t>
      </w:r>
      <w:r w:rsidR="00030531" w:rsidRPr="004B26D3">
        <w:rPr>
          <w:rFonts w:hint="cs"/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والاتصالات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وخدماتها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وتطبيقاتها</w:t>
      </w:r>
      <w:r w:rsidR="00030531" w:rsidRPr="004B26D3">
        <w:rPr>
          <w:rFonts w:hint="cs"/>
          <w:spacing w:val="-2"/>
          <w:rtl/>
          <w:lang w:bidi="ar-EG"/>
        </w:rPr>
        <w:t>،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بما في ذلك</w:t>
      </w:r>
      <w:r w:rsidR="00030531" w:rsidRPr="004B26D3">
        <w:rPr>
          <w:rFonts w:hint="cs"/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البحوث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التطبيقية</w:t>
      </w:r>
      <w:r w:rsidR="00030531" w:rsidRPr="004B26D3">
        <w:rPr>
          <w:rFonts w:hint="cs"/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ونقل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التكنولوجيا</w:t>
      </w:r>
      <w:r w:rsidR="00030531" w:rsidRPr="004B26D3">
        <w:rPr>
          <w:rFonts w:hint="cs"/>
          <w:spacing w:val="-2"/>
          <w:rtl/>
          <w:lang w:bidi="ar-EG"/>
        </w:rPr>
        <w:t xml:space="preserve">، والاجتماعات الإلكترونية </w:t>
      </w:r>
      <w:r w:rsidR="00030531" w:rsidRPr="004B26D3">
        <w:rPr>
          <w:rFonts w:hint="eastAsia"/>
          <w:spacing w:val="-2"/>
          <w:rtl/>
          <w:lang w:bidi="ar-EG"/>
        </w:rPr>
        <w:t>على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أساس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eastAsia"/>
          <w:spacing w:val="-2"/>
          <w:rtl/>
          <w:lang w:bidi="ar-EG"/>
        </w:rPr>
        <w:t>شروط</w:t>
      </w:r>
      <w:r w:rsidR="00030531" w:rsidRPr="004B26D3">
        <w:rPr>
          <w:spacing w:val="-2"/>
          <w:rtl/>
          <w:lang w:bidi="ar-EG"/>
        </w:rPr>
        <w:t xml:space="preserve"> </w:t>
      </w:r>
      <w:r w:rsidR="00030531" w:rsidRPr="004B26D3">
        <w:rPr>
          <w:rFonts w:hint="cs"/>
          <w:spacing w:val="-2"/>
          <w:rtl/>
          <w:lang w:bidi="ar-EG"/>
        </w:rPr>
        <w:t>متفق عليها</w:t>
      </w:r>
    </w:p>
    <w:p w14:paraId="03ECA096" w14:textId="6E4123B8" w:rsidR="00030531" w:rsidRPr="004B26D3" w:rsidRDefault="00030531" w:rsidP="00C141E7">
      <w:pPr>
        <w:rPr>
          <w:rtl/>
          <w:lang w:bidi="ar-EG"/>
        </w:rPr>
      </w:pPr>
      <w:r>
        <w:rPr>
          <w:lang w:bidi="ar-EG"/>
        </w:rPr>
        <w:t>1.6</w:t>
      </w:r>
      <w:r>
        <w:rPr>
          <w:lang w:bidi="ar-EG"/>
        </w:rPr>
        <w:tab/>
      </w:r>
      <w:r w:rsidR="00CE7613">
        <w:rPr>
          <w:rFonts w:hint="cs"/>
          <w:b/>
          <w:bCs/>
          <w:rtl/>
          <w:lang w:bidi="ar-EG"/>
        </w:rPr>
        <w:t>اعتُمد</w:t>
      </w:r>
      <w:r w:rsidR="0074303B" w:rsidRPr="004B26D3">
        <w:rPr>
          <w:rFonts w:hint="cs"/>
          <w:rtl/>
          <w:lang w:bidi="ar-EG"/>
        </w:rPr>
        <w:t>.</w:t>
      </w:r>
    </w:p>
    <w:p w14:paraId="562F3929" w14:textId="42C64F92" w:rsidR="00030531" w:rsidRPr="004B26D3" w:rsidRDefault="00CE7613" w:rsidP="004B26D3">
      <w:pPr>
        <w:pStyle w:val="Headingb"/>
        <w:ind w:left="0" w:firstLine="0"/>
        <w:rPr>
          <w:rtl/>
          <w:lang w:bidi="ar-EG"/>
        </w:rPr>
      </w:pPr>
      <w:bookmarkStart w:id="13" w:name="_Toc408328060"/>
      <w:bookmarkStart w:id="14" w:name="_Toc414526754"/>
      <w:bookmarkStart w:id="15" w:name="_Toc415560174"/>
      <w:r>
        <w:rPr>
          <w:rFonts w:hint="cs"/>
          <w:rtl/>
          <w:lang w:bidi="ar-EG"/>
        </w:rPr>
        <w:t xml:space="preserve">مشروع </w:t>
      </w:r>
      <w:r w:rsidR="0074303B" w:rsidRPr="006768C1">
        <w:rPr>
          <w:rtl/>
          <w:lang w:bidi="ar-EG"/>
        </w:rPr>
        <w:t xml:space="preserve">القـرار </w:t>
      </w:r>
      <w:r w:rsidR="0074303B" w:rsidRPr="004B26D3">
        <w:rPr>
          <w:lang w:bidi="ar-EG"/>
        </w:rPr>
        <w:t>131</w:t>
      </w:r>
      <w:r w:rsidR="0074303B" w:rsidRPr="006768C1">
        <w:rPr>
          <w:rtl/>
          <w:lang w:bidi="ar-EG"/>
        </w:rPr>
        <w:t xml:space="preserve"> (المراجَع في بوخارست، </w:t>
      </w:r>
      <w:r w:rsidR="0074303B" w:rsidRPr="004B26D3">
        <w:rPr>
          <w:lang w:bidi="ar-EG"/>
        </w:rPr>
        <w:t>2022</w:t>
      </w:r>
      <w:r w:rsidR="0074303B" w:rsidRPr="006768C1">
        <w:rPr>
          <w:rtl/>
          <w:lang w:bidi="ar-EG"/>
        </w:rPr>
        <w:t>)</w:t>
      </w:r>
      <w:bookmarkEnd w:id="13"/>
      <w:bookmarkEnd w:id="14"/>
      <w:bookmarkEnd w:id="15"/>
      <w:r w:rsidR="0074303B" w:rsidRPr="006768C1">
        <w:rPr>
          <w:rFonts w:hint="cs"/>
          <w:rtl/>
          <w:lang w:bidi="ar-EG"/>
        </w:rPr>
        <w:t xml:space="preserve"> - </w:t>
      </w:r>
      <w:bookmarkStart w:id="16" w:name="_Toc415560175"/>
      <w:bookmarkStart w:id="17" w:name="_Toc414526755"/>
      <w:bookmarkStart w:id="18" w:name="_Toc408328061"/>
      <w:bookmarkStart w:id="19" w:name="_Toc536090493"/>
      <w:r w:rsidR="0074303B" w:rsidRPr="006768C1">
        <w:rPr>
          <w:rtl/>
          <w:lang w:bidi="ar-EG"/>
        </w:rPr>
        <w:t>قياس تكنولوجيا المعلومات والاتصالات</w:t>
      </w:r>
      <w:r w:rsidR="0074303B" w:rsidRPr="006768C1">
        <w:rPr>
          <w:rFonts w:hint="cs"/>
          <w:rtl/>
          <w:lang w:bidi="ar-EG"/>
        </w:rPr>
        <w:t xml:space="preserve"> </w:t>
      </w:r>
      <w:r w:rsidR="0074303B" w:rsidRPr="006768C1">
        <w:rPr>
          <w:rtl/>
          <w:lang w:bidi="ar-EG"/>
        </w:rPr>
        <w:t>لبناء مجتمع معلومات جامع وشامل للجميع</w:t>
      </w:r>
      <w:bookmarkEnd w:id="16"/>
      <w:bookmarkEnd w:id="17"/>
      <w:bookmarkEnd w:id="18"/>
      <w:bookmarkEnd w:id="19"/>
    </w:p>
    <w:p w14:paraId="12BB871E" w14:textId="07FA04AA" w:rsidR="003938DA" w:rsidRPr="005D734F" w:rsidRDefault="006768C1" w:rsidP="004B26D3">
      <w:pPr>
        <w:rPr>
          <w:rtl/>
          <w:lang w:bidi="ar-EG"/>
        </w:rPr>
      </w:pPr>
      <w:r w:rsidRPr="005D734F">
        <w:rPr>
          <w:lang w:bidi="ar-EG"/>
        </w:rPr>
        <w:t>2.6</w:t>
      </w:r>
      <w:r w:rsidRPr="005D734F">
        <w:rPr>
          <w:rtl/>
          <w:lang w:bidi="ar-EG"/>
        </w:rPr>
        <w:tab/>
      </w:r>
      <w:r w:rsidR="00356D0C" w:rsidRPr="005D734F">
        <w:rPr>
          <w:rFonts w:hint="cs"/>
          <w:rtl/>
          <w:lang w:bidi="ar-EG"/>
        </w:rPr>
        <w:t xml:space="preserve">قال </w:t>
      </w:r>
      <w:r w:rsidR="00356D0C" w:rsidRPr="005D734F">
        <w:rPr>
          <w:rFonts w:hint="cs"/>
          <w:b/>
          <w:bCs/>
          <w:rtl/>
          <w:lang w:bidi="ar-EG"/>
        </w:rPr>
        <w:t>رئيس لجنة الصياغة</w:t>
      </w:r>
      <w:r w:rsidR="00356D0C" w:rsidRPr="005D734F">
        <w:rPr>
          <w:rFonts w:hint="cs"/>
          <w:rtl/>
          <w:lang w:bidi="ar-EG"/>
        </w:rPr>
        <w:t xml:space="preserve">، موجهاً الانتباه إلى الفقرة </w:t>
      </w:r>
      <w:r w:rsidR="00356D0C" w:rsidRPr="005D734F">
        <w:rPr>
          <w:rFonts w:hint="cs"/>
          <w:i/>
          <w:iCs/>
          <w:rtl/>
          <w:lang w:bidi="ar-EG"/>
        </w:rPr>
        <w:t>ب)</w:t>
      </w:r>
      <w:r w:rsidR="00356D0C" w:rsidRPr="005D734F">
        <w:rPr>
          <w:rFonts w:hint="cs"/>
          <w:rtl/>
          <w:lang w:bidi="ar-EG"/>
        </w:rPr>
        <w:t xml:space="preserve"> من </w:t>
      </w:r>
      <w:r w:rsidR="00954CA3" w:rsidRPr="005D734F">
        <w:rPr>
          <w:rFonts w:hint="cs"/>
          <w:rtl/>
          <w:lang w:bidi="ar-EG"/>
        </w:rPr>
        <w:t>"</w:t>
      </w:r>
      <w:r w:rsidR="004B26D3" w:rsidRPr="005D734F">
        <w:rPr>
          <w:rFonts w:hint="cs"/>
          <w:rtl/>
          <w:lang w:bidi="ar-EG"/>
        </w:rPr>
        <w:t xml:space="preserve"> </w:t>
      </w:r>
      <w:r w:rsidR="00954CA3" w:rsidRPr="005D734F">
        <w:rPr>
          <w:rFonts w:hint="cs"/>
          <w:i/>
          <w:iCs/>
          <w:rtl/>
          <w:lang w:bidi="ar-EG"/>
        </w:rPr>
        <w:t>إذ يذك</w:t>
      </w:r>
      <w:r w:rsidR="002564BE" w:rsidRPr="005D734F">
        <w:rPr>
          <w:rFonts w:hint="cs"/>
          <w:i/>
          <w:iCs/>
          <w:rtl/>
          <w:lang w:bidi="ar-EG"/>
        </w:rPr>
        <w:t>ِ</w:t>
      </w:r>
      <w:r w:rsidR="00954CA3" w:rsidRPr="005D734F">
        <w:rPr>
          <w:rFonts w:hint="cs"/>
          <w:i/>
          <w:iCs/>
          <w:rtl/>
          <w:lang w:bidi="ar-EG"/>
        </w:rPr>
        <w:t>ّر</w:t>
      </w:r>
      <w:r w:rsidR="00954CA3" w:rsidRPr="005D734F">
        <w:rPr>
          <w:rFonts w:hint="cs"/>
          <w:rtl/>
          <w:lang w:bidi="ar-EG"/>
        </w:rPr>
        <w:t>"</w:t>
      </w:r>
      <w:r w:rsidR="002564BE" w:rsidRPr="005D734F">
        <w:rPr>
          <w:rFonts w:hint="cs"/>
          <w:rtl/>
          <w:lang w:bidi="ar-EG"/>
        </w:rPr>
        <w:t xml:space="preserve">، </w:t>
      </w:r>
      <w:r w:rsidR="00BE47CD" w:rsidRPr="005D734F">
        <w:rPr>
          <w:rFonts w:hint="cs"/>
          <w:rtl/>
          <w:lang w:bidi="ar-EG"/>
        </w:rPr>
        <w:t xml:space="preserve">إن مشروع القرار </w:t>
      </w:r>
      <w:r w:rsidR="00BE47CD" w:rsidRPr="005D734F">
        <w:rPr>
          <w:lang w:bidi="ar-EG"/>
        </w:rPr>
        <w:t>131</w:t>
      </w:r>
      <w:r w:rsidR="00BE47CD" w:rsidRPr="005D734F">
        <w:rPr>
          <w:rFonts w:hint="cs"/>
          <w:rtl/>
          <w:lang w:bidi="ar-EG"/>
        </w:rPr>
        <w:t xml:space="preserve"> (</w:t>
      </w:r>
      <w:r w:rsidR="00212A55" w:rsidRPr="005D734F">
        <w:rPr>
          <w:rFonts w:hint="cs"/>
          <w:rtl/>
          <w:lang w:bidi="ar-EG"/>
        </w:rPr>
        <w:t>المراجَع في بوخارست،</w:t>
      </w:r>
      <w:r w:rsidR="004B26D3" w:rsidRPr="005D734F">
        <w:rPr>
          <w:rFonts w:hint="eastAsia"/>
          <w:rtl/>
          <w:lang w:bidi="ar-EG"/>
        </w:rPr>
        <w:t> </w:t>
      </w:r>
      <w:r w:rsidR="00212A55" w:rsidRPr="005D734F">
        <w:rPr>
          <w:lang w:bidi="ar-EG"/>
        </w:rPr>
        <w:t>2022</w:t>
      </w:r>
      <w:r w:rsidR="00212A55" w:rsidRPr="005D734F">
        <w:rPr>
          <w:rFonts w:hint="cs"/>
          <w:rtl/>
          <w:lang w:bidi="ar-EG"/>
        </w:rPr>
        <w:t xml:space="preserve">) </w:t>
      </w:r>
      <w:r w:rsidR="00AF3223" w:rsidRPr="005D734F">
        <w:rPr>
          <w:rFonts w:hint="cs"/>
          <w:rtl/>
          <w:lang w:bidi="ar-EG"/>
        </w:rPr>
        <w:t xml:space="preserve">يتضمن إحالة تفصيلية إلى نص </w:t>
      </w:r>
      <w:r w:rsidR="005E04C2" w:rsidRPr="005D734F">
        <w:rPr>
          <w:rFonts w:hint="cs"/>
          <w:rtl/>
          <w:lang w:bidi="ar-EG"/>
        </w:rPr>
        <w:t xml:space="preserve">وارد في </w:t>
      </w:r>
      <w:r w:rsidR="00AF3223" w:rsidRPr="005D734F">
        <w:rPr>
          <w:rFonts w:hint="cs"/>
          <w:rtl/>
          <w:lang w:bidi="ar-EG"/>
        </w:rPr>
        <w:t xml:space="preserve">القرار </w:t>
      </w:r>
      <w:r w:rsidR="00AF3223" w:rsidRPr="005D734F">
        <w:rPr>
          <w:lang w:bidi="ar-EG"/>
        </w:rPr>
        <w:t>71</w:t>
      </w:r>
      <w:r w:rsidR="00AF3223" w:rsidRPr="005D734F">
        <w:rPr>
          <w:rFonts w:hint="cs"/>
          <w:rtl/>
          <w:lang w:bidi="ar-EG"/>
        </w:rPr>
        <w:t xml:space="preserve"> الذي لم ي</w:t>
      </w:r>
      <w:r w:rsidR="005E04C2" w:rsidRPr="005D734F">
        <w:rPr>
          <w:rFonts w:hint="cs"/>
          <w:rtl/>
          <w:lang w:bidi="ar-EG"/>
        </w:rPr>
        <w:t>ُعتمد</w:t>
      </w:r>
      <w:r w:rsidR="00AF3223" w:rsidRPr="005D734F">
        <w:rPr>
          <w:rFonts w:hint="cs"/>
          <w:rtl/>
          <w:lang w:bidi="ar-EG"/>
        </w:rPr>
        <w:t xml:space="preserve"> بعد</w:t>
      </w:r>
      <w:r w:rsidR="005E04C2" w:rsidRPr="005D734F">
        <w:rPr>
          <w:rFonts w:hint="cs"/>
          <w:rtl/>
          <w:lang w:bidi="ar-EG"/>
        </w:rPr>
        <w:t>، وإن النص</w:t>
      </w:r>
      <w:r w:rsidR="004B26D3" w:rsidRPr="005D734F">
        <w:rPr>
          <w:rFonts w:hint="cs"/>
          <w:rtl/>
          <w:lang w:bidi="ar-EG"/>
        </w:rPr>
        <w:t xml:space="preserve"> </w:t>
      </w:r>
      <w:r w:rsidR="00445FBC" w:rsidRPr="005D734F">
        <w:rPr>
          <w:rtl/>
          <w:lang w:bidi="ar-EG"/>
        </w:rPr>
        <w:t>ذا</w:t>
      </w:r>
      <w:r w:rsidR="00445FBC" w:rsidRPr="005D734F">
        <w:rPr>
          <w:rFonts w:hint="cs"/>
          <w:rtl/>
          <w:lang w:bidi="ar-EG"/>
        </w:rPr>
        <w:t xml:space="preserve"> </w:t>
      </w:r>
      <w:r w:rsidR="005E04C2" w:rsidRPr="005D734F">
        <w:rPr>
          <w:rFonts w:hint="cs"/>
          <w:rtl/>
          <w:lang w:bidi="ar-EG"/>
        </w:rPr>
        <w:t>الصلة وُضع بين قوسين</w:t>
      </w:r>
      <w:r w:rsidR="00445FBC" w:rsidRPr="005D734F">
        <w:rPr>
          <w:rFonts w:hint="cs"/>
          <w:rtl/>
          <w:lang w:bidi="ar-EG"/>
        </w:rPr>
        <w:t xml:space="preserve"> معقوفين</w:t>
      </w:r>
      <w:r w:rsidR="005E04C2" w:rsidRPr="005D734F">
        <w:rPr>
          <w:rFonts w:hint="cs"/>
          <w:rtl/>
          <w:lang w:bidi="ar-EG"/>
        </w:rPr>
        <w:t xml:space="preserve">. </w:t>
      </w:r>
      <w:r w:rsidR="00445FBC" w:rsidRPr="005D734F">
        <w:rPr>
          <w:rFonts w:hint="cs"/>
          <w:rtl/>
          <w:lang w:bidi="ar-EG"/>
        </w:rPr>
        <w:t xml:space="preserve">وخلص إلى </w:t>
      </w:r>
      <w:r w:rsidR="005E04C2" w:rsidRPr="005D734F">
        <w:rPr>
          <w:rFonts w:hint="cs"/>
          <w:rtl/>
          <w:lang w:bidi="ar-EG"/>
        </w:rPr>
        <w:t xml:space="preserve">أن الاجتماع قد يرغب </w:t>
      </w:r>
      <w:r w:rsidR="00C95B0D" w:rsidRPr="005D734F">
        <w:rPr>
          <w:rFonts w:hint="cs"/>
          <w:rtl/>
          <w:lang w:bidi="ar-EG"/>
        </w:rPr>
        <w:t xml:space="preserve">إما في إعادة مشروع القرار </w:t>
      </w:r>
      <w:r w:rsidR="00C95B0D" w:rsidRPr="005D734F">
        <w:rPr>
          <w:lang w:bidi="ar-EG"/>
        </w:rPr>
        <w:t>131</w:t>
      </w:r>
      <w:r w:rsidR="00C95B0D" w:rsidRPr="005D734F">
        <w:rPr>
          <w:rFonts w:hint="cs"/>
          <w:rtl/>
          <w:lang w:bidi="ar-EG"/>
        </w:rPr>
        <w:t xml:space="preserve"> إلى فريق العمل </w:t>
      </w:r>
      <w:r w:rsidR="00445FBC" w:rsidRPr="005D734F">
        <w:rPr>
          <w:rFonts w:hint="cs"/>
          <w:rtl/>
          <w:lang w:bidi="ar-EG"/>
        </w:rPr>
        <w:t xml:space="preserve">التابع للجلسة </w:t>
      </w:r>
      <w:r w:rsidR="00C95B0D" w:rsidRPr="005D734F">
        <w:rPr>
          <w:rFonts w:hint="cs"/>
          <w:rtl/>
          <w:lang w:bidi="ar-EG"/>
        </w:rPr>
        <w:t xml:space="preserve">العامة لإدخال أي تعديلات </w:t>
      </w:r>
      <w:r w:rsidR="00166D43" w:rsidRPr="005D734F">
        <w:rPr>
          <w:rFonts w:hint="cs"/>
          <w:rtl/>
          <w:lang w:bidi="ar-EG"/>
        </w:rPr>
        <w:t xml:space="preserve">لاحقة على النص الوارد بين قوسين </w:t>
      </w:r>
      <w:r w:rsidR="00947D21" w:rsidRPr="005D734F">
        <w:rPr>
          <w:rFonts w:hint="cs"/>
          <w:rtl/>
          <w:lang w:bidi="ar-EG"/>
        </w:rPr>
        <w:t xml:space="preserve">بعد اعتماد القرار </w:t>
      </w:r>
      <w:r w:rsidR="00947D21" w:rsidRPr="005D734F">
        <w:rPr>
          <w:lang w:bidi="ar-EG"/>
        </w:rPr>
        <w:t>71</w:t>
      </w:r>
      <w:r w:rsidR="00947D21" w:rsidRPr="005D734F">
        <w:rPr>
          <w:rFonts w:hint="cs"/>
          <w:rtl/>
          <w:lang w:bidi="ar-EG"/>
        </w:rPr>
        <w:t xml:space="preserve"> أو حذف النص الوارد بين قوسين.</w:t>
      </w:r>
    </w:p>
    <w:p w14:paraId="13E8ABAB" w14:textId="7ADCA576" w:rsidR="003938DA" w:rsidRPr="00ED2B45" w:rsidRDefault="006768C1" w:rsidP="004B26D3">
      <w:pPr>
        <w:rPr>
          <w:rtl/>
          <w:lang w:bidi="ar-EG"/>
        </w:rPr>
      </w:pPr>
      <w:r>
        <w:rPr>
          <w:lang w:bidi="ar-EG"/>
        </w:rPr>
        <w:t>3.6</w:t>
      </w:r>
      <w:r>
        <w:rPr>
          <w:rtl/>
          <w:lang w:bidi="ar-EG"/>
        </w:rPr>
        <w:tab/>
      </w:r>
      <w:r w:rsidR="009E4A42">
        <w:rPr>
          <w:rFonts w:hint="cs"/>
          <w:rtl/>
          <w:lang w:bidi="ar-EG"/>
        </w:rPr>
        <w:t xml:space="preserve">وعقب مناقشة شارك فيها </w:t>
      </w:r>
      <w:r w:rsidR="009E4A42" w:rsidRPr="009E4A42">
        <w:rPr>
          <w:rFonts w:hint="cs"/>
          <w:b/>
          <w:bCs/>
          <w:rtl/>
          <w:lang w:bidi="ar-EG"/>
        </w:rPr>
        <w:t>مندوبو جمهورية إيران الإسلامية والبرازيل والأردن والاتحاد الروسي والمملكة المتحدة</w:t>
      </w:r>
      <w:r w:rsidR="009E4A42">
        <w:rPr>
          <w:rFonts w:hint="cs"/>
          <w:rtl/>
          <w:lang w:bidi="ar-EG"/>
        </w:rPr>
        <w:t xml:space="preserve">، اقترح </w:t>
      </w:r>
      <w:r w:rsidR="009E4A42" w:rsidRPr="009E4A42">
        <w:rPr>
          <w:rFonts w:hint="cs"/>
          <w:b/>
          <w:bCs/>
          <w:rtl/>
          <w:lang w:bidi="ar-EG"/>
        </w:rPr>
        <w:t>الرئيس</w:t>
      </w:r>
      <w:r w:rsidR="009E4A42">
        <w:rPr>
          <w:rFonts w:hint="cs"/>
          <w:rtl/>
          <w:lang w:bidi="ar-EG"/>
        </w:rPr>
        <w:t xml:space="preserve"> تأجيل اعتماد </w:t>
      </w:r>
      <w:r w:rsidR="00FB71AC">
        <w:rPr>
          <w:rFonts w:hint="cs"/>
          <w:rtl/>
          <w:lang w:bidi="ar-EG"/>
        </w:rPr>
        <w:t xml:space="preserve">مشروع القرار </w:t>
      </w:r>
      <w:r w:rsidR="00FB71AC">
        <w:rPr>
          <w:lang w:bidi="ar-EG"/>
        </w:rPr>
        <w:t>131</w:t>
      </w:r>
      <w:r w:rsidR="00FB71AC">
        <w:rPr>
          <w:rFonts w:hint="cs"/>
          <w:rtl/>
          <w:lang w:bidi="ar-EG"/>
        </w:rPr>
        <w:t xml:space="preserve"> (المراجَع في بوخارست، </w:t>
      </w:r>
      <w:r w:rsidR="00FB71AC">
        <w:rPr>
          <w:lang w:bidi="ar-EG"/>
        </w:rPr>
        <w:t>2022</w:t>
      </w:r>
      <w:r w:rsidR="00FB71AC">
        <w:rPr>
          <w:rFonts w:hint="cs"/>
          <w:rtl/>
          <w:lang w:bidi="ar-EG"/>
        </w:rPr>
        <w:t xml:space="preserve">) ريثما يُعتمد القرار </w:t>
      </w:r>
      <w:r w:rsidR="00FB71AC">
        <w:rPr>
          <w:lang w:bidi="ar-EG"/>
        </w:rPr>
        <w:t>71</w:t>
      </w:r>
      <w:r w:rsidR="00FB71AC">
        <w:rPr>
          <w:rFonts w:hint="cs"/>
          <w:rtl/>
          <w:lang w:bidi="ar-EG"/>
        </w:rPr>
        <w:t xml:space="preserve">. </w:t>
      </w:r>
      <w:r w:rsidR="00445FBC">
        <w:rPr>
          <w:rFonts w:hint="cs"/>
          <w:rtl/>
          <w:lang w:bidi="ar-EG"/>
        </w:rPr>
        <w:t xml:space="preserve">ورأى </w:t>
      </w:r>
      <w:r w:rsidR="0034640D">
        <w:rPr>
          <w:rFonts w:hint="cs"/>
          <w:rtl/>
          <w:lang w:bidi="ar-EG"/>
        </w:rPr>
        <w:t xml:space="preserve">أن ليس هناك ما يدعو إلى إعادة النص إلى فريق العمل </w:t>
      </w:r>
      <w:r w:rsidR="00ED2B45">
        <w:rPr>
          <w:rFonts w:hint="cs"/>
          <w:rtl/>
          <w:lang w:bidi="ar-EG"/>
        </w:rPr>
        <w:t>التابع</w:t>
      </w:r>
      <w:r w:rsidR="0034640D">
        <w:rPr>
          <w:rFonts w:hint="cs"/>
          <w:rtl/>
          <w:lang w:bidi="ar-EG"/>
        </w:rPr>
        <w:t xml:space="preserve"> </w:t>
      </w:r>
      <w:r w:rsidR="00ED2B45">
        <w:rPr>
          <w:rFonts w:hint="cs"/>
          <w:rtl/>
          <w:lang w:bidi="ar-EG"/>
        </w:rPr>
        <w:t>ل</w:t>
      </w:r>
      <w:r w:rsidR="0034640D">
        <w:rPr>
          <w:rFonts w:hint="cs"/>
          <w:rtl/>
          <w:lang w:bidi="ar-EG"/>
        </w:rPr>
        <w:t xml:space="preserve">لجلسة العامة؛ </w:t>
      </w:r>
      <w:r w:rsidR="00445FBC">
        <w:rPr>
          <w:rFonts w:hint="cs"/>
          <w:rtl/>
          <w:lang w:bidi="ar-EG"/>
        </w:rPr>
        <w:t xml:space="preserve">إذ </w:t>
      </w:r>
      <w:r w:rsidR="00ED2B45">
        <w:rPr>
          <w:rFonts w:hint="cs"/>
          <w:rtl/>
          <w:lang w:bidi="ar-EG"/>
        </w:rPr>
        <w:t>يمكن</w:t>
      </w:r>
      <w:r w:rsidR="0034640D">
        <w:rPr>
          <w:rFonts w:hint="cs"/>
          <w:rtl/>
          <w:lang w:bidi="ar-EG"/>
        </w:rPr>
        <w:t xml:space="preserve"> </w:t>
      </w:r>
      <w:r w:rsidR="00ED2B45">
        <w:rPr>
          <w:rFonts w:hint="cs"/>
          <w:rtl/>
          <w:lang w:bidi="ar-EG"/>
        </w:rPr>
        <w:t>ل</w:t>
      </w:r>
      <w:r w:rsidR="0034640D">
        <w:rPr>
          <w:rFonts w:hint="cs"/>
          <w:rtl/>
          <w:lang w:bidi="ar-EG"/>
        </w:rPr>
        <w:t xml:space="preserve">لجنة الصياغة </w:t>
      </w:r>
      <w:r w:rsidR="00ED2B45">
        <w:rPr>
          <w:rFonts w:hint="cs"/>
          <w:rtl/>
          <w:lang w:bidi="ar-EG"/>
        </w:rPr>
        <w:t>إدخال التعديلات اللازمة على النص الوارد بين قوسين</w:t>
      </w:r>
      <w:r w:rsidR="00445FBC">
        <w:rPr>
          <w:rFonts w:hint="cs"/>
          <w:rtl/>
          <w:lang w:bidi="ar-EG"/>
        </w:rPr>
        <w:t xml:space="preserve"> معقوفين</w:t>
      </w:r>
      <w:r>
        <w:rPr>
          <w:rFonts w:hint="cs"/>
          <w:rtl/>
          <w:lang w:bidi="ar-EG"/>
        </w:rPr>
        <w:t>.</w:t>
      </w:r>
    </w:p>
    <w:p w14:paraId="4B59DFEE" w14:textId="60BC59F0" w:rsidR="006768C1" w:rsidRDefault="006768C1" w:rsidP="00577693">
      <w:pPr>
        <w:rPr>
          <w:rtl/>
          <w:lang w:bidi="ar-EG"/>
        </w:rPr>
      </w:pPr>
      <w:r>
        <w:rPr>
          <w:lang w:bidi="ar-EG"/>
        </w:rPr>
        <w:t>4.6</w:t>
      </w:r>
      <w:r>
        <w:rPr>
          <w:rtl/>
          <w:lang w:bidi="ar-EG"/>
        </w:rPr>
        <w:tab/>
      </w:r>
      <w:r w:rsidR="00ED2B45">
        <w:rPr>
          <w:rFonts w:hint="cs"/>
          <w:rtl/>
          <w:lang w:bidi="ar-EG"/>
        </w:rPr>
        <w:t>و</w:t>
      </w:r>
      <w:r w:rsidR="00577693" w:rsidRPr="00577693">
        <w:rPr>
          <w:rFonts w:hint="cs"/>
          <w:b/>
          <w:bCs/>
          <w:rtl/>
          <w:lang w:bidi="ar-EG"/>
        </w:rPr>
        <w:t>اتُفق</w:t>
      </w:r>
      <w:r w:rsidR="00577693" w:rsidRPr="00577693">
        <w:rPr>
          <w:rFonts w:hint="cs"/>
          <w:rtl/>
          <w:lang w:bidi="ar-EG"/>
        </w:rPr>
        <w:t xml:space="preserve"> على ذلك.</w:t>
      </w:r>
    </w:p>
    <w:p w14:paraId="0DD7F14E" w14:textId="76FD8765" w:rsidR="006768C1" w:rsidRPr="004B26D3" w:rsidRDefault="00DF2BFB" w:rsidP="004B26D3">
      <w:pPr>
        <w:pStyle w:val="Headingb"/>
        <w:ind w:left="0" w:firstLine="0"/>
        <w:rPr>
          <w:rtl/>
          <w:lang w:bidi="ar-EG"/>
        </w:rPr>
      </w:pPr>
      <w:bookmarkStart w:id="20" w:name="_Toc408328112"/>
      <w:bookmarkStart w:id="21" w:name="_Toc414526828"/>
      <w:bookmarkStart w:id="22" w:name="_Toc415560248"/>
      <w:r>
        <w:rPr>
          <w:rFonts w:hint="cs"/>
          <w:rtl/>
          <w:lang w:bidi="ar-EG"/>
        </w:rPr>
        <w:t xml:space="preserve">مشروع </w:t>
      </w:r>
      <w:r w:rsidR="00577693" w:rsidRPr="004E2102">
        <w:rPr>
          <w:rtl/>
          <w:lang w:bidi="ar-EG"/>
        </w:rPr>
        <w:t xml:space="preserve">القـرار </w:t>
      </w:r>
      <w:r w:rsidR="00577693" w:rsidRPr="004B26D3">
        <w:rPr>
          <w:lang w:bidi="ar-EG"/>
        </w:rPr>
        <w:t>180</w:t>
      </w:r>
      <w:r w:rsidR="00577693" w:rsidRPr="004E2102">
        <w:rPr>
          <w:rFonts w:hint="cs"/>
          <w:rtl/>
          <w:lang w:bidi="ar-EG"/>
        </w:rPr>
        <w:t xml:space="preserve"> </w:t>
      </w:r>
      <w:r w:rsidR="00577693" w:rsidRPr="004E2102">
        <w:rPr>
          <w:rtl/>
          <w:lang w:bidi="ar-EG"/>
        </w:rPr>
        <w:t xml:space="preserve">(المراجَع في </w:t>
      </w:r>
      <w:r w:rsidR="00577693" w:rsidRPr="004E2102">
        <w:rPr>
          <w:rFonts w:hint="cs"/>
          <w:rtl/>
          <w:lang w:bidi="ar-EG"/>
        </w:rPr>
        <w:t xml:space="preserve">بوخارست، </w:t>
      </w:r>
      <w:r w:rsidR="00577693" w:rsidRPr="004B26D3">
        <w:rPr>
          <w:lang w:bidi="ar-EG"/>
        </w:rPr>
        <w:t>2022</w:t>
      </w:r>
      <w:r w:rsidR="00577693" w:rsidRPr="004E2102">
        <w:rPr>
          <w:rtl/>
          <w:lang w:bidi="ar-EG"/>
        </w:rPr>
        <w:t>)</w:t>
      </w:r>
      <w:bookmarkEnd w:id="20"/>
      <w:bookmarkEnd w:id="21"/>
      <w:bookmarkEnd w:id="22"/>
      <w:r w:rsidR="00577693" w:rsidRPr="004E2102">
        <w:rPr>
          <w:rFonts w:hint="cs"/>
          <w:rtl/>
          <w:lang w:bidi="ar-EG"/>
        </w:rPr>
        <w:t xml:space="preserve"> - </w:t>
      </w:r>
      <w:bookmarkStart w:id="23" w:name="_Toc536090533"/>
      <w:r w:rsidR="004E2102" w:rsidRPr="004E2102">
        <w:rPr>
          <w:rFonts w:hint="cs"/>
          <w:rtl/>
          <w:lang w:bidi="ar-EG"/>
        </w:rPr>
        <w:t xml:space="preserve">تعزيز نشر الإصدار السادس لبروتوكول الإنترنت </w:t>
      </w:r>
      <w:r w:rsidR="004E2102" w:rsidRPr="004B26D3">
        <w:rPr>
          <w:lang w:bidi="ar-EG"/>
        </w:rPr>
        <w:t>(IPv6)</w:t>
      </w:r>
      <w:bookmarkEnd w:id="23"/>
    </w:p>
    <w:p w14:paraId="23CB6317" w14:textId="6F439663" w:rsidR="004E2102" w:rsidRDefault="004E2102" w:rsidP="004E2102">
      <w:pPr>
        <w:rPr>
          <w:rtl/>
          <w:lang w:bidi="ar-EG"/>
        </w:rPr>
      </w:pPr>
      <w:r>
        <w:rPr>
          <w:lang w:bidi="ar-EG"/>
        </w:rPr>
        <w:t>5.6</w:t>
      </w:r>
      <w:r>
        <w:rPr>
          <w:rtl/>
          <w:lang w:bidi="ar-EG"/>
        </w:rPr>
        <w:tab/>
      </w:r>
      <w:r w:rsidR="00DF2BFB" w:rsidRPr="00DF2BFB">
        <w:rPr>
          <w:rFonts w:hint="cs"/>
          <w:b/>
          <w:bCs/>
          <w:rtl/>
          <w:lang w:bidi="ar-EG"/>
        </w:rPr>
        <w:t>اعتُمد</w:t>
      </w:r>
      <w:r>
        <w:rPr>
          <w:rFonts w:hint="cs"/>
          <w:rtl/>
          <w:lang w:bidi="ar-EG"/>
        </w:rPr>
        <w:t>.</w:t>
      </w:r>
    </w:p>
    <w:p w14:paraId="6EFABA56" w14:textId="14A86B50" w:rsidR="004E2102" w:rsidRPr="004B26D3" w:rsidRDefault="0035429C" w:rsidP="004B26D3">
      <w:pPr>
        <w:pStyle w:val="Headingb"/>
        <w:ind w:left="0" w:firstLine="0"/>
        <w:rPr>
          <w:lang w:bidi="ar-EG"/>
        </w:rPr>
      </w:pPr>
      <w:r w:rsidRPr="004B26D3">
        <w:rPr>
          <w:rtl/>
          <w:lang w:bidi="ar-EG"/>
        </w:rPr>
        <w:t>عدم إجراء تغيير (</w:t>
      </w:r>
      <w:r w:rsidRPr="004B26D3">
        <w:rPr>
          <w:lang w:bidi="ar-EG"/>
        </w:rPr>
        <w:t>NOC</w:t>
      </w:r>
      <w:r w:rsidRPr="004B26D3">
        <w:rPr>
          <w:rtl/>
          <w:lang w:bidi="ar-EG"/>
        </w:rPr>
        <w:t>)</w:t>
      </w:r>
      <w:r w:rsidRPr="004B26D3">
        <w:rPr>
          <w:rFonts w:hint="cs"/>
          <w:rtl/>
          <w:lang w:bidi="ar-EG"/>
        </w:rPr>
        <w:t xml:space="preserve"> في ال</w:t>
      </w:r>
      <w:r w:rsidRPr="004B26D3">
        <w:rPr>
          <w:rtl/>
          <w:lang w:bidi="ar-EG"/>
        </w:rPr>
        <w:t xml:space="preserve">قرار 206 </w:t>
      </w:r>
      <w:r w:rsidR="00DF2BFB" w:rsidRPr="004B26D3">
        <w:rPr>
          <w:rFonts w:hint="cs"/>
          <w:rtl/>
          <w:lang w:bidi="ar-EG"/>
        </w:rPr>
        <w:t xml:space="preserve">(دبي، </w:t>
      </w:r>
      <w:r w:rsidR="00DF2BFB" w:rsidRPr="004B26D3">
        <w:rPr>
          <w:lang w:bidi="ar-EG"/>
        </w:rPr>
        <w:t>2018</w:t>
      </w:r>
      <w:r w:rsidR="00DF2BFB" w:rsidRPr="004B26D3">
        <w:rPr>
          <w:rFonts w:hint="cs"/>
          <w:rtl/>
          <w:lang w:bidi="ar-EG"/>
        </w:rPr>
        <w:t xml:space="preserve">) - </w:t>
      </w:r>
      <w:r w:rsidRPr="004B26D3">
        <w:rPr>
          <w:rtl/>
          <w:lang w:bidi="ar-EG"/>
        </w:rPr>
        <w:t>الخدمات المتاحة بحرّية على الإنترنت</w:t>
      </w:r>
    </w:p>
    <w:p w14:paraId="6A13E382" w14:textId="020A24D8" w:rsidR="0035429C" w:rsidRDefault="0035429C" w:rsidP="0035429C">
      <w:pPr>
        <w:rPr>
          <w:rtl/>
          <w:lang w:bidi="ar-EG"/>
        </w:rPr>
      </w:pPr>
      <w:r>
        <w:rPr>
          <w:lang w:bidi="ar-EG"/>
        </w:rPr>
        <w:t>6.6</w:t>
      </w:r>
      <w:r>
        <w:rPr>
          <w:rtl/>
          <w:lang w:bidi="ar-EG"/>
        </w:rPr>
        <w:tab/>
      </w:r>
      <w:r w:rsidR="00DF2BFB">
        <w:rPr>
          <w:rFonts w:hint="cs"/>
          <w:b/>
          <w:bCs/>
          <w:rtl/>
          <w:lang w:bidi="ar-EG"/>
        </w:rPr>
        <w:t>تمت الموافقة على ذلك</w:t>
      </w:r>
      <w:r>
        <w:rPr>
          <w:rFonts w:hint="cs"/>
          <w:rtl/>
          <w:lang w:bidi="ar-EG"/>
        </w:rPr>
        <w:t>.</w:t>
      </w:r>
    </w:p>
    <w:p w14:paraId="180BD536" w14:textId="01ADF039" w:rsidR="0035429C" w:rsidRDefault="0035429C" w:rsidP="004B26D3">
      <w:pPr>
        <w:rPr>
          <w:rtl/>
          <w:lang w:bidi="ar-EG"/>
        </w:rPr>
      </w:pPr>
      <w:r>
        <w:rPr>
          <w:lang w:bidi="ar-EG"/>
        </w:rPr>
        <w:lastRenderedPageBreak/>
        <w:t>7.6</w:t>
      </w:r>
      <w:r>
        <w:rPr>
          <w:rtl/>
          <w:lang w:bidi="ar-EG"/>
        </w:rPr>
        <w:tab/>
      </w:r>
      <w:r w:rsidR="003533B1">
        <w:rPr>
          <w:rFonts w:hint="cs"/>
          <w:rtl/>
          <w:lang w:bidi="ar-EG"/>
        </w:rPr>
        <w:t>و</w:t>
      </w:r>
      <w:r w:rsidR="009A28F4" w:rsidRPr="009A28F4">
        <w:rPr>
          <w:rFonts w:hint="cs"/>
          <w:b/>
          <w:bCs/>
          <w:rtl/>
          <w:lang w:bidi="ar-EG"/>
        </w:rPr>
        <w:t>تمت</w:t>
      </w:r>
      <w:r w:rsidR="009A28F4" w:rsidRPr="009A28F4">
        <w:rPr>
          <w:rFonts w:hint="cs"/>
          <w:rtl/>
          <w:lang w:bidi="ar-EG"/>
        </w:rPr>
        <w:t xml:space="preserve"> </w:t>
      </w:r>
      <w:r w:rsidR="009A28F4" w:rsidRPr="009A28F4">
        <w:rPr>
          <w:rFonts w:hint="cs"/>
          <w:b/>
          <w:bCs/>
          <w:rtl/>
          <w:lang w:bidi="ar-EG"/>
        </w:rPr>
        <w:t>الموافقة</w:t>
      </w:r>
      <w:r w:rsidR="009A28F4" w:rsidRPr="009A28F4">
        <w:rPr>
          <w:rFonts w:hint="cs"/>
          <w:rtl/>
          <w:lang w:bidi="ar-EG"/>
        </w:rPr>
        <w:t xml:space="preserve"> على المجموعة </w:t>
      </w:r>
      <w:r w:rsidR="003533B1">
        <w:rPr>
          <w:rFonts w:hint="cs"/>
          <w:rtl/>
          <w:lang w:bidi="ar-EG"/>
        </w:rPr>
        <w:t>الثامنة عشرة</w:t>
      </w:r>
      <w:r w:rsidR="009A28F4" w:rsidRPr="009A28F4">
        <w:rPr>
          <w:rFonts w:hint="cs"/>
          <w:rtl/>
          <w:lang w:bidi="ar-EG"/>
        </w:rPr>
        <w:t xml:space="preserve"> من النصوص المقدمة من لجنة الصياغة</w:t>
      </w:r>
      <w:r w:rsidR="003533B1">
        <w:rPr>
          <w:rFonts w:hint="cs"/>
          <w:rtl/>
          <w:lang w:bidi="ar-EG"/>
        </w:rPr>
        <w:t xml:space="preserve"> للقراءة الأولى </w:t>
      </w:r>
      <w:r w:rsidR="003533B1">
        <w:rPr>
          <w:lang w:bidi="ar-EG"/>
        </w:rPr>
        <w:t>(B18)</w:t>
      </w:r>
      <w:r w:rsidR="009A28F4" w:rsidRPr="009A28F4">
        <w:rPr>
          <w:rFonts w:hint="cs"/>
          <w:rtl/>
          <w:lang w:bidi="ar-EG"/>
        </w:rPr>
        <w:t xml:space="preserve"> (الوثيقة</w:t>
      </w:r>
      <w:r w:rsidR="004B26D3">
        <w:rPr>
          <w:rFonts w:hint="eastAsia"/>
          <w:rtl/>
          <w:lang w:bidi="ar-EG"/>
        </w:rPr>
        <w:t> </w:t>
      </w:r>
      <w:r w:rsidR="009A28F4">
        <w:rPr>
          <w:lang w:bidi="ar-EG"/>
        </w:rPr>
        <w:t>174</w:t>
      </w:r>
      <w:r w:rsidR="009A28F4" w:rsidRPr="009A28F4">
        <w:rPr>
          <w:rFonts w:hint="cs"/>
          <w:rtl/>
          <w:lang w:bidi="ar-EG"/>
        </w:rPr>
        <w:t>)</w:t>
      </w:r>
      <w:r w:rsidR="003533B1">
        <w:rPr>
          <w:rFonts w:hint="cs"/>
          <w:rtl/>
          <w:lang w:bidi="ar-EG"/>
        </w:rPr>
        <w:t xml:space="preserve">، </w:t>
      </w:r>
      <w:r w:rsidR="009A28F4" w:rsidRPr="009A28F4">
        <w:rPr>
          <w:rFonts w:hint="cs"/>
          <w:rtl/>
          <w:lang w:bidi="ar-EG"/>
        </w:rPr>
        <w:t xml:space="preserve">باستثناء مشروع القرار </w:t>
      </w:r>
      <w:r w:rsidR="009A28F4">
        <w:rPr>
          <w:lang w:bidi="ar-EG"/>
        </w:rPr>
        <w:t>131</w:t>
      </w:r>
      <w:r w:rsidR="009A28F4" w:rsidRPr="009A28F4">
        <w:rPr>
          <w:rFonts w:hint="cs"/>
          <w:rtl/>
          <w:lang w:bidi="ar-EG"/>
        </w:rPr>
        <w:t xml:space="preserve"> (المراجَع في </w:t>
      </w:r>
      <w:r w:rsidR="009A28F4">
        <w:rPr>
          <w:rFonts w:hint="cs"/>
          <w:rtl/>
          <w:lang w:bidi="ar-EG"/>
        </w:rPr>
        <w:t>بوخارست</w:t>
      </w:r>
      <w:r w:rsidR="009A28F4" w:rsidRPr="009A28F4">
        <w:rPr>
          <w:rFonts w:hint="cs"/>
          <w:rtl/>
          <w:lang w:bidi="ar-EG"/>
        </w:rPr>
        <w:t xml:space="preserve">، </w:t>
      </w:r>
      <w:r w:rsidR="009A28F4">
        <w:rPr>
          <w:lang w:bidi="ar-EG"/>
        </w:rPr>
        <w:t>2022</w:t>
      </w:r>
      <w:r w:rsidR="009A28F4" w:rsidRPr="009A28F4">
        <w:rPr>
          <w:rFonts w:hint="cs"/>
          <w:rtl/>
          <w:lang w:bidi="ar-EG"/>
        </w:rPr>
        <w:t>).</w:t>
      </w:r>
    </w:p>
    <w:p w14:paraId="0EE0D0CD" w14:textId="406E7E05" w:rsidR="009969EC" w:rsidRDefault="009969EC" w:rsidP="009969EC">
      <w:pPr>
        <w:pStyle w:val="Heading1"/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9A28F4" w:rsidRPr="006406DC">
        <w:rPr>
          <w:rFonts w:hint="cs"/>
          <w:rtl/>
          <w:lang w:val="en-CA"/>
        </w:rPr>
        <w:t xml:space="preserve">المجموعة </w:t>
      </w:r>
      <w:r w:rsidR="00217922">
        <w:rPr>
          <w:rFonts w:hint="cs"/>
          <w:rtl/>
          <w:lang w:val="en-CA"/>
        </w:rPr>
        <w:t>الثامنة</w:t>
      </w:r>
      <w:r w:rsidR="009A28F4">
        <w:rPr>
          <w:rFonts w:hint="cs"/>
          <w:rtl/>
          <w:lang w:val="en-CA"/>
        </w:rPr>
        <w:t xml:space="preserve"> عشر</w:t>
      </w:r>
      <w:r w:rsidR="00217922">
        <w:rPr>
          <w:rFonts w:hint="cs"/>
          <w:rtl/>
          <w:lang w:val="en-CA"/>
        </w:rPr>
        <w:t>ة</w:t>
      </w:r>
      <w:r w:rsidR="009A28F4" w:rsidRPr="006406DC">
        <w:rPr>
          <w:rFonts w:hint="cs"/>
          <w:rtl/>
          <w:lang w:val="en-CA"/>
        </w:rPr>
        <w:t xml:space="preserve"> من النصوص المقدمة من لجنة الصياغة - القراءة الثانية</w:t>
      </w:r>
      <w:r w:rsidR="009A28F4">
        <w:rPr>
          <w:rFonts w:hint="cs"/>
          <w:rtl/>
          <w:lang w:val="en-CA" w:bidi="ar-EG"/>
        </w:rPr>
        <w:t xml:space="preserve"> (</w:t>
      </w:r>
      <w:r w:rsidR="00121F82">
        <w:rPr>
          <w:rFonts w:hint="cs"/>
          <w:rtl/>
          <w:lang w:val="en-CA" w:bidi="ar-EG"/>
        </w:rPr>
        <w:t xml:space="preserve">الوثيقة </w:t>
      </w:r>
      <w:hyperlink r:id="rId29" w:history="1">
        <w:r w:rsidR="00121F82" w:rsidRPr="00121F82">
          <w:rPr>
            <w:rStyle w:val="Hyperlink"/>
            <w:szCs w:val="24"/>
            <w:lang w:val="en-CA"/>
          </w:rPr>
          <w:t>174</w:t>
        </w:r>
      </w:hyperlink>
      <w:r w:rsidR="009A28F4">
        <w:rPr>
          <w:rFonts w:hint="cs"/>
          <w:rtl/>
          <w:lang w:val="en-CA" w:bidi="ar-EG"/>
        </w:rPr>
        <w:t>)</w:t>
      </w:r>
    </w:p>
    <w:p w14:paraId="78EF126F" w14:textId="47D30FC4" w:rsidR="009969EC" w:rsidRDefault="00121F82" w:rsidP="004B26D3">
      <w:pPr>
        <w:rPr>
          <w:lang w:bidi="ar-EG"/>
        </w:rPr>
      </w:pPr>
      <w:r>
        <w:rPr>
          <w:lang w:bidi="ar-EG"/>
        </w:rPr>
        <w:t>1.7</w:t>
      </w:r>
      <w:r>
        <w:rPr>
          <w:lang w:bidi="ar-EG"/>
        </w:rPr>
        <w:tab/>
      </w:r>
      <w:r w:rsidRPr="009A28F4">
        <w:rPr>
          <w:rFonts w:hint="cs"/>
          <w:b/>
          <w:bCs/>
          <w:rtl/>
          <w:lang w:bidi="ar-EG"/>
        </w:rPr>
        <w:t>تمت</w:t>
      </w:r>
      <w:r w:rsidRPr="009A28F4">
        <w:rPr>
          <w:rFonts w:hint="cs"/>
          <w:rtl/>
          <w:lang w:bidi="ar-EG"/>
        </w:rPr>
        <w:t xml:space="preserve"> </w:t>
      </w:r>
      <w:r w:rsidRPr="009A28F4">
        <w:rPr>
          <w:rFonts w:hint="cs"/>
          <w:b/>
          <w:bCs/>
          <w:rtl/>
          <w:lang w:bidi="ar-EG"/>
        </w:rPr>
        <w:t>الموافقة</w:t>
      </w:r>
      <w:r w:rsidRPr="009A28F4">
        <w:rPr>
          <w:rFonts w:hint="cs"/>
          <w:rtl/>
          <w:lang w:bidi="ar-EG"/>
        </w:rPr>
        <w:t xml:space="preserve"> على المجموعة </w:t>
      </w:r>
      <w:r w:rsidR="00217922">
        <w:rPr>
          <w:rFonts w:hint="cs"/>
          <w:rtl/>
          <w:lang w:bidi="ar-EG"/>
        </w:rPr>
        <w:t>الثامنة عشرة</w:t>
      </w:r>
      <w:r w:rsidRPr="009A28F4">
        <w:rPr>
          <w:rFonts w:hint="cs"/>
          <w:rtl/>
          <w:lang w:bidi="ar-EG"/>
        </w:rPr>
        <w:t xml:space="preserve"> من النصوص المقدمة من لجنة الصياغة (الوثيقة </w:t>
      </w:r>
      <w:r>
        <w:rPr>
          <w:lang w:bidi="ar-EG"/>
        </w:rPr>
        <w:t>174</w:t>
      </w:r>
      <w:r w:rsidRPr="009A28F4">
        <w:rPr>
          <w:rFonts w:hint="cs"/>
          <w:rtl/>
          <w:lang w:bidi="ar-EG"/>
        </w:rPr>
        <w:t xml:space="preserve">) في القراءة الثانية باستثناء مشروع القرار </w:t>
      </w:r>
      <w:r>
        <w:rPr>
          <w:lang w:bidi="ar-EG"/>
        </w:rPr>
        <w:t>131</w:t>
      </w:r>
      <w:r w:rsidRPr="009A28F4">
        <w:rPr>
          <w:rFonts w:hint="cs"/>
          <w:rtl/>
          <w:lang w:bidi="ar-EG"/>
        </w:rPr>
        <w:t xml:space="preserve"> (المراجَع في </w:t>
      </w:r>
      <w:r>
        <w:rPr>
          <w:rFonts w:hint="cs"/>
          <w:rtl/>
          <w:lang w:bidi="ar-EG"/>
        </w:rPr>
        <w:t>بوخارست</w:t>
      </w:r>
      <w:r w:rsidRPr="009A28F4">
        <w:rPr>
          <w:rFonts w:hint="cs"/>
          <w:rtl/>
          <w:lang w:bidi="ar-EG"/>
        </w:rPr>
        <w:t xml:space="preserve">، </w:t>
      </w:r>
      <w:r>
        <w:rPr>
          <w:lang w:bidi="ar-EG"/>
        </w:rPr>
        <w:t>2022</w:t>
      </w:r>
      <w:r w:rsidRPr="009A28F4">
        <w:rPr>
          <w:rFonts w:hint="cs"/>
          <w:rtl/>
          <w:lang w:bidi="ar-EG"/>
        </w:rPr>
        <w:t>).</w:t>
      </w:r>
    </w:p>
    <w:p w14:paraId="7159FEE5" w14:textId="668857B5" w:rsidR="009969EC" w:rsidRPr="00D03573" w:rsidRDefault="009969EC" w:rsidP="009969EC">
      <w:pPr>
        <w:pStyle w:val="Heading1"/>
        <w:rPr>
          <w:rtl/>
          <w:lang w:bidi="ar-EG"/>
        </w:rPr>
      </w:pPr>
      <w:r w:rsidRPr="00D03573">
        <w:rPr>
          <w:lang w:bidi="ar-EG"/>
        </w:rPr>
        <w:t>8</w:t>
      </w:r>
      <w:r w:rsidRPr="00D03573">
        <w:rPr>
          <w:lang w:bidi="ar-EG"/>
        </w:rPr>
        <w:tab/>
      </w:r>
      <w:r w:rsidR="00121F82" w:rsidRPr="00D03573">
        <w:rPr>
          <w:rtl/>
          <w:lang w:bidi="ar-EG"/>
        </w:rPr>
        <w:t xml:space="preserve">الموافقة على المحاضر (الوثائق </w:t>
      </w:r>
      <w:hyperlink r:id="rId30" w:history="1">
        <w:r w:rsidR="00D03573" w:rsidRPr="00D03573">
          <w:rPr>
            <w:rStyle w:val="Hyperlink"/>
            <w:szCs w:val="24"/>
            <w:lang w:val="en-CA"/>
          </w:rPr>
          <w:t>107</w:t>
        </w:r>
      </w:hyperlink>
      <w:r w:rsidR="00121F82" w:rsidRPr="00D03573">
        <w:rPr>
          <w:rtl/>
          <w:lang w:bidi="ar-EG"/>
        </w:rPr>
        <w:t xml:space="preserve"> و</w:t>
      </w:r>
      <w:hyperlink r:id="rId31" w:history="1">
        <w:r w:rsidR="00D03573" w:rsidRPr="00D03573">
          <w:rPr>
            <w:rStyle w:val="Hyperlink"/>
            <w:szCs w:val="24"/>
            <w:lang w:val="en-CA"/>
          </w:rPr>
          <w:t>108</w:t>
        </w:r>
      </w:hyperlink>
      <w:r w:rsidR="00121F82" w:rsidRPr="00D03573">
        <w:rPr>
          <w:rtl/>
          <w:lang w:bidi="ar-EG"/>
        </w:rPr>
        <w:t xml:space="preserve"> و</w:t>
      </w:r>
      <w:hyperlink r:id="rId32" w:history="1">
        <w:r w:rsidR="00D03573" w:rsidRPr="00D03573">
          <w:rPr>
            <w:rStyle w:val="Hyperlink"/>
            <w:szCs w:val="24"/>
            <w:lang w:val="en-CA"/>
          </w:rPr>
          <w:t>115</w:t>
        </w:r>
      </w:hyperlink>
      <w:r w:rsidR="00D03573" w:rsidRPr="00D03573">
        <w:rPr>
          <w:rtl/>
        </w:rPr>
        <w:t xml:space="preserve"> و</w:t>
      </w:r>
      <w:hyperlink r:id="rId33" w:history="1">
        <w:r w:rsidR="00D03573" w:rsidRPr="00D03573">
          <w:rPr>
            <w:rStyle w:val="Hyperlink"/>
            <w:szCs w:val="24"/>
            <w:lang w:val="en-CA"/>
          </w:rPr>
          <w:t>116</w:t>
        </w:r>
      </w:hyperlink>
      <w:r w:rsidR="00D03573" w:rsidRPr="00D03573">
        <w:rPr>
          <w:rtl/>
        </w:rPr>
        <w:t xml:space="preserve"> و</w:t>
      </w:r>
      <w:hyperlink r:id="rId34" w:history="1">
        <w:r w:rsidR="00D03573" w:rsidRPr="00D03573">
          <w:rPr>
            <w:rStyle w:val="Hyperlink"/>
            <w:szCs w:val="24"/>
            <w:lang w:val="en-CA"/>
          </w:rPr>
          <w:t>117</w:t>
        </w:r>
      </w:hyperlink>
      <w:r w:rsidR="00D03573" w:rsidRPr="00D03573">
        <w:rPr>
          <w:rtl/>
        </w:rPr>
        <w:t xml:space="preserve"> و</w:t>
      </w:r>
      <w:hyperlink r:id="rId35" w:history="1">
        <w:r w:rsidR="00D03573" w:rsidRPr="00D03573">
          <w:rPr>
            <w:rStyle w:val="Hyperlink"/>
            <w:szCs w:val="24"/>
            <w:lang w:val="en-CA"/>
          </w:rPr>
          <w:t>118</w:t>
        </w:r>
      </w:hyperlink>
      <w:r w:rsidR="00D03573" w:rsidRPr="00D03573">
        <w:rPr>
          <w:rtl/>
        </w:rPr>
        <w:t xml:space="preserve"> و</w:t>
      </w:r>
      <w:hyperlink r:id="rId36" w:history="1">
        <w:r w:rsidR="00D03573" w:rsidRPr="00D03573">
          <w:rPr>
            <w:rStyle w:val="Hyperlink"/>
            <w:szCs w:val="24"/>
            <w:lang w:val="en-CA"/>
          </w:rPr>
          <w:t>139</w:t>
        </w:r>
      </w:hyperlink>
      <w:r w:rsidR="00D03573" w:rsidRPr="00D03573">
        <w:rPr>
          <w:rtl/>
        </w:rPr>
        <w:t xml:space="preserve"> و</w:t>
      </w:r>
      <w:hyperlink r:id="rId37" w:history="1">
        <w:r w:rsidR="00D03573" w:rsidRPr="00D03573">
          <w:rPr>
            <w:rStyle w:val="Hyperlink"/>
            <w:szCs w:val="24"/>
            <w:lang w:val="en-CA"/>
          </w:rPr>
          <w:t>140</w:t>
        </w:r>
      </w:hyperlink>
      <w:r w:rsidR="00D03573" w:rsidRPr="00D03573">
        <w:rPr>
          <w:rtl/>
        </w:rPr>
        <w:t xml:space="preserve"> و</w:t>
      </w:r>
      <w:hyperlink r:id="rId38" w:history="1">
        <w:r w:rsidR="00D03573" w:rsidRPr="00D03573">
          <w:rPr>
            <w:rStyle w:val="Hyperlink"/>
            <w:szCs w:val="24"/>
            <w:lang w:val="en-CA"/>
          </w:rPr>
          <w:t>141</w:t>
        </w:r>
      </w:hyperlink>
      <w:r w:rsidR="00D03573" w:rsidRPr="00D03573">
        <w:rPr>
          <w:rtl/>
        </w:rPr>
        <w:t xml:space="preserve"> و</w:t>
      </w:r>
      <w:hyperlink r:id="rId39" w:history="1">
        <w:r w:rsidR="00D03573" w:rsidRPr="00D03573">
          <w:rPr>
            <w:rStyle w:val="Hyperlink"/>
            <w:szCs w:val="24"/>
            <w:lang w:val="en-CA"/>
          </w:rPr>
          <w:t>142</w:t>
        </w:r>
      </w:hyperlink>
      <w:r w:rsidR="00121F82" w:rsidRPr="00D03573">
        <w:rPr>
          <w:rtl/>
          <w:lang w:bidi="ar-EG"/>
        </w:rPr>
        <w:t>)</w:t>
      </w:r>
    </w:p>
    <w:p w14:paraId="2F76885C" w14:textId="0B26C297" w:rsidR="009969EC" w:rsidRDefault="002F5535" w:rsidP="004B26D3">
      <w:pPr>
        <w:rPr>
          <w:rtl/>
          <w:lang w:bidi="ar-EG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="00D82C00" w:rsidRPr="00D82C00">
        <w:rPr>
          <w:rFonts w:hint="cs"/>
          <w:b/>
          <w:bCs/>
          <w:rtl/>
          <w:lang w:bidi="ar-EG"/>
        </w:rPr>
        <w:t>تمت الموافقة</w:t>
      </w:r>
      <w:r w:rsidR="00D82C00">
        <w:rPr>
          <w:rFonts w:hint="cs"/>
          <w:rtl/>
          <w:lang w:bidi="ar-EG"/>
        </w:rPr>
        <w:t xml:space="preserve"> على محضر حفل الافتتاح (الوثيقة </w:t>
      </w:r>
      <w:r w:rsidR="00D82C00">
        <w:rPr>
          <w:lang w:bidi="ar-EG"/>
        </w:rPr>
        <w:t>107</w:t>
      </w:r>
      <w:r w:rsidR="00D82C00">
        <w:rPr>
          <w:rFonts w:hint="cs"/>
          <w:rtl/>
          <w:lang w:bidi="ar-EG"/>
        </w:rPr>
        <w:t xml:space="preserve">) ومحضر الجلسة العامة الأولى (الوثيقة </w:t>
      </w:r>
      <w:r w:rsidR="00D82C00">
        <w:rPr>
          <w:lang w:bidi="ar-EG"/>
        </w:rPr>
        <w:t>108</w:t>
      </w:r>
      <w:r w:rsidR="00D82C00">
        <w:rPr>
          <w:rFonts w:hint="cs"/>
          <w:rtl/>
          <w:lang w:bidi="ar-EG"/>
        </w:rPr>
        <w:t xml:space="preserve">) ومحضر الجلسة العامة الثانية (الوثيقة </w:t>
      </w:r>
      <w:r w:rsidR="002B7497">
        <w:rPr>
          <w:lang w:bidi="ar-EG"/>
        </w:rPr>
        <w:t>115</w:t>
      </w:r>
      <w:r w:rsidR="002B7497">
        <w:rPr>
          <w:rFonts w:hint="cs"/>
          <w:rtl/>
          <w:lang w:bidi="ar-EG"/>
        </w:rPr>
        <w:t xml:space="preserve">) ومحضر الجلسة العامة الثالثة (الوثيقة </w:t>
      </w:r>
      <w:r w:rsidR="002B7497">
        <w:rPr>
          <w:lang w:bidi="ar-EG"/>
        </w:rPr>
        <w:t>116</w:t>
      </w:r>
      <w:r w:rsidR="002B7497">
        <w:rPr>
          <w:rFonts w:hint="cs"/>
          <w:rtl/>
          <w:lang w:bidi="ar-EG"/>
        </w:rPr>
        <w:t xml:space="preserve">) ومحضر الجلسة العامة الرابعة (الوثيقة </w:t>
      </w:r>
      <w:r w:rsidR="002B7497">
        <w:rPr>
          <w:lang w:bidi="ar-EG"/>
        </w:rPr>
        <w:t>117</w:t>
      </w:r>
      <w:r w:rsidR="002B7497">
        <w:rPr>
          <w:rFonts w:hint="cs"/>
          <w:rtl/>
          <w:lang w:bidi="ar-EG"/>
        </w:rPr>
        <w:t xml:space="preserve">) ومحضر الجلسة العامة الخامسة (الوثيقة </w:t>
      </w:r>
      <w:r w:rsidR="002B7497">
        <w:rPr>
          <w:lang w:bidi="ar-EG"/>
        </w:rPr>
        <w:t>118</w:t>
      </w:r>
      <w:r w:rsidR="002B7497">
        <w:rPr>
          <w:rFonts w:hint="cs"/>
          <w:rtl/>
          <w:lang w:bidi="ar-EG"/>
        </w:rPr>
        <w:t xml:space="preserve">) </w:t>
      </w:r>
      <w:r w:rsidR="006C72C0">
        <w:rPr>
          <w:rFonts w:hint="cs"/>
          <w:rtl/>
          <w:lang w:bidi="ar-EG"/>
        </w:rPr>
        <w:t xml:space="preserve">ومحضر الجلسة العامة السادسة (الوثيقة </w:t>
      </w:r>
      <w:r w:rsidR="006C72C0">
        <w:rPr>
          <w:lang w:bidi="ar-EG"/>
        </w:rPr>
        <w:t>139</w:t>
      </w:r>
      <w:r w:rsidR="006C72C0">
        <w:rPr>
          <w:rFonts w:hint="cs"/>
          <w:rtl/>
          <w:lang w:bidi="ar-EG"/>
        </w:rPr>
        <w:t xml:space="preserve">) ومحضر الجلسة العامة السابعة (الوثيقة </w:t>
      </w:r>
      <w:r w:rsidR="006C72C0">
        <w:rPr>
          <w:lang w:val="fr-CH" w:bidi="ar-EG"/>
        </w:rPr>
        <w:t>140</w:t>
      </w:r>
      <w:r w:rsidR="006C72C0">
        <w:rPr>
          <w:rFonts w:hint="cs"/>
          <w:rtl/>
          <w:lang w:val="fr-CH" w:bidi="ar-EG"/>
        </w:rPr>
        <w:t xml:space="preserve">) ومحضر الجلسة العامة الثامنة (الوثيقة </w:t>
      </w:r>
      <w:r w:rsidR="006C72C0">
        <w:rPr>
          <w:lang w:bidi="ar-EG"/>
        </w:rPr>
        <w:t>141</w:t>
      </w:r>
      <w:r w:rsidR="006C72C0">
        <w:rPr>
          <w:rFonts w:hint="cs"/>
          <w:rtl/>
          <w:lang w:bidi="ar-EG"/>
        </w:rPr>
        <w:t xml:space="preserve">) ومحضر الجلسة العامة </w:t>
      </w:r>
      <w:r w:rsidR="00C0497F">
        <w:rPr>
          <w:rFonts w:hint="cs"/>
          <w:rtl/>
          <w:lang w:bidi="ar-EG"/>
        </w:rPr>
        <w:t xml:space="preserve">التاسعة (الوثيقة </w:t>
      </w:r>
      <w:r w:rsidR="00C0497F">
        <w:rPr>
          <w:lang w:bidi="ar-EG"/>
        </w:rPr>
        <w:t>142</w:t>
      </w:r>
      <w:r w:rsidR="00C0497F">
        <w:rPr>
          <w:rFonts w:hint="cs"/>
          <w:rtl/>
          <w:lang w:bidi="ar-EG"/>
        </w:rPr>
        <w:t xml:space="preserve">)، شريطة إدراج نص في محضر الجلسة العامة التاسعة (الوثيقة </w:t>
      </w:r>
      <w:r w:rsidR="00C0497F">
        <w:rPr>
          <w:lang w:bidi="ar-EG"/>
        </w:rPr>
        <w:t>142</w:t>
      </w:r>
      <w:r w:rsidR="00C0497F">
        <w:rPr>
          <w:rFonts w:hint="cs"/>
          <w:rtl/>
          <w:lang w:bidi="ar-EG"/>
        </w:rPr>
        <w:t xml:space="preserve">) بطلب من </w:t>
      </w:r>
      <w:r w:rsidR="00C0497F" w:rsidRPr="00FC344D">
        <w:rPr>
          <w:rFonts w:hint="cs"/>
          <w:b/>
          <w:bCs/>
          <w:rtl/>
          <w:lang w:bidi="ar-EG"/>
        </w:rPr>
        <w:t>مندوب</w:t>
      </w:r>
      <w:r w:rsidR="00445FBC">
        <w:rPr>
          <w:rFonts w:hint="cs"/>
          <w:b/>
          <w:bCs/>
          <w:rtl/>
          <w:lang w:bidi="ar-EG"/>
        </w:rPr>
        <w:t>ة</w:t>
      </w:r>
      <w:r w:rsidR="00C0497F" w:rsidRPr="00FC344D">
        <w:rPr>
          <w:rFonts w:hint="cs"/>
          <w:b/>
          <w:bCs/>
          <w:rtl/>
          <w:lang w:bidi="ar-EG"/>
        </w:rPr>
        <w:t xml:space="preserve"> ترينيداد وتوباغو</w:t>
      </w:r>
      <w:r>
        <w:rPr>
          <w:rFonts w:hint="cs"/>
          <w:rtl/>
          <w:lang w:bidi="ar-EG"/>
        </w:rPr>
        <w:t>.</w:t>
      </w:r>
    </w:p>
    <w:p w14:paraId="4AD8542A" w14:textId="1DC24A2A" w:rsidR="002F5535" w:rsidRPr="004B26D3" w:rsidRDefault="002F5535" w:rsidP="004B26D3">
      <w:pPr>
        <w:pStyle w:val="Headingb"/>
        <w:ind w:left="0" w:firstLine="0"/>
        <w:rPr>
          <w:rtl/>
          <w:lang w:bidi="ar-EG"/>
        </w:rPr>
      </w:pPr>
      <w:r w:rsidRPr="00AB6E71">
        <w:rPr>
          <w:rFonts w:hint="cs"/>
          <w:rtl/>
          <w:lang w:bidi="ar-EG"/>
        </w:rPr>
        <w:t xml:space="preserve">رُفعت الجلسة في الساعة </w:t>
      </w:r>
      <w:r w:rsidRPr="00AB6E71">
        <w:rPr>
          <w:lang w:bidi="ar-EG"/>
        </w:rPr>
        <w:t>10</w:t>
      </w:r>
      <w:r>
        <w:rPr>
          <w:lang w:bidi="ar-EG"/>
        </w:rPr>
        <w:t>:3</w:t>
      </w:r>
      <w:r w:rsidRPr="00AB6E71">
        <w:rPr>
          <w:lang w:bidi="ar-EG"/>
        </w:rPr>
        <w:t>0</w:t>
      </w:r>
      <w:r w:rsidRPr="00AB6E71">
        <w:rPr>
          <w:rFonts w:hint="cs"/>
          <w:rtl/>
          <w:lang w:bidi="ar-EG"/>
        </w:rPr>
        <w:t>.</w:t>
      </w:r>
    </w:p>
    <w:p w14:paraId="6821BC34" w14:textId="780871E7" w:rsidR="002F5535" w:rsidRPr="00706D7A" w:rsidRDefault="002F5535" w:rsidP="005D734F">
      <w:pPr>
        <w:tabs>
          <w:tab w:val="clear" w:pos="794"/>
          <w:tab w:val="left" w:pos="6804"/>
        </w:tabs>
        <w:spacing w:before="1080"/>
        <w:rPr>
          <w:rtl/>
        </w:rPr>
      </w:pPr>
      <w:r w:rsidRPr="00255106">
        <w:rPr>
          <w:rFonts w:hint="cs"/>
          <w:rtl/>
          <w:lang w:bidi="ar-SY"/>
        </w:rPr>
        <w:t>الأمين 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 w:rsidRPr="005D734F">
        <w:rPr>
          <w:rFonts w:hint="cs"/>
          <w:rtl/>
        </w:rPr>
        <w:t>ه</w:t>
      </w:r>
      <w:r w:rsidR="005D734F" w:rsidRPr="005D734F">
        <w:rPr>
          <w:rFonts w:hint="cs"/>
          <w:rtl/>
        </w:rPr>
        <w:t>‍.</w:t>
      </w:r>
      <w:r w:rsidRPr="005D734F">
        <w:rPr>
          <w:rtl/>
        </w:rPr>
        <w:t xml:space="preserve"> جاو</w:t>
      </w:r>
      <w:r w:rsidRPr="005D734F">
        <w:rPr>
          <w:rFonts w:hint="cs"/>
          <w:rtl/>
          <w:lang w:bidi="ar-SY"/>
        </w:rPr>
        <w:tab/>
      </w:r>
      <w:r w:rsidR="00FC344D" w:rsidRPr="005D734F">
        <w:rPr>
          <w:rFonts w:hint="cs"/>
          <w:rtl/>
          <w:lang w:bidi="ar-SY"/>
        </w:rPr>
        <w:t>س</w:t>
      </w:r>
      <w:r w:rsidR="005D734F" w:rsidRPr="005D734F">
        <w:rPr>
          <w:rFonts w:hint="cs"/>
          <w:rtl/>
          <w:lang w:bidi="ar-SY"/>
        </w:rPr>
        <w:t xml:space="preserve">. </w:t>
      </w:r>
      <w:proofErr w:type="spellStart"/>
      <w:r w:rsidR="00FC344D" w:rsidRPr="005D734F">
        <w:rPr>
          <w:rFonts w:hint="cs"/>
          <w:rtl/>
          <w:lang w:bidi="ar-SY"/>
        </w:rPr>
        <w:t>سارماش</w:t>
      </w:r>
      <w:proofErr w:type="spellEnd"/>
    </w:p>
    <w:p w14:paraId="3BC23672" w14:textId="5438B5A5" w:rsidR="009969EC" w:rsidRDefault="00DE29D1" w:rsidP="00DE29D1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sectPr w:rsidR="009969EC" w:rsidSect="006C3242">
      <w:headerReference w:type="default" r:id="rId40"/>
      <w:footerReference w:type="default" r:id="rId41"/>
      <w:footerReference w:type="first" r:id="rId4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10C8" w14:textId="77777777" w:rsidR="00D133BF" w:rsidRDefault="00D133BF" w:rsidP="006C3242">
      <w:pPr>
        <w:spacing w:before="0" w:line="240" w:lineRule="auto"/>
      </w:pPr>
      <w:r>
        <w:separator/>
      </w:r>
    </w:p>
  </w:endnote>
  <w:endnote w:type="continuationSeparator" w:id="0">
    <w:p w14:paraId="59BD9085" w14:textId="77777777" w:rsidR="00D133BF" w:rsidRDefault="00D133B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71501061"/>
  <w:bookmarkStart w:id="25" w:name="_Hlk71501062"/>
  <w:p w14:paraId="46D0A359" w14:textId="55039028" w:rsidR="006C3242" w:rsidRPr="00BB0EC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BB0EC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24AAD">
      <w:rPr>
        <w:noProof/>
        <w:sz w:val="16"/>
        <w:szCs w:val="16"/>
        <w:lang w:val="en-GB"/>
      </w:rPr>
      <w:t>P:\ARA\SG\CONF-SG\PP22\200\204A 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B0EC5">
      <w:rPr>
        <w:sz w:val="16"/>
        <w:szCs w:val="16"/>
        <w:lang w:val="en-GB"/>
      </w:rPr>
      <w:t xml:space="preserve"> (</w:t>
    </w:r>
    <w:proofErr w:type="gramEnd"/>
    <w:r w:rsidR="005D1B12" w:rsidRPr="00BB0EC5">
      <w:rPr>
        <w:sz w:val="16"/>
        <w:szCs w:val="16"/>
        <w:lang w:val="en-GB"/>
      </w:rPr>
      <w:t>515438</w:t>
    </w:r>
    <w:r w:rsidRPr="00BB0EC5">
      <w:rPr>
        <w:sz w:val="16"/>
        <w:szCs w:val="16"/>
        <w:lang w:val="en-GB"/>
      </w:rPr>
      <w:t>)</w:t>
    </w:r>
    <w:bookmarkEnd w:id="24"/>
    <w:bookmarkEnd w:id="2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BDE6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0DA6" w14:textId="77777777" w:rsidR="00D133BF" w:rsidRDefault="00D133BF" w:rsidP="006C3242">
      <w:pPr>
        <w:spacing w:before="0" w:line="240" w:lineRule="auto"/>
      </w:pPr>
      <w:r>
        <w:separator/>
      </w:r>
    </w:p>
  </w:footnote>
  <w:footnote w:type="continuationSeparator" w:id="0">
    <w:p w14:paraId="312232B6" w14:textId="77777777" w:rsidR="00D133BF" w:rsidRDefault="00D133B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311" w14:textId="00D0B4A8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5D1B12">
      <w:rPr>
        <w:rStyle w:val="PageNumber"/>
        <w:rFonts w:ascii="Calibri" w:hAnsi="Calibri"/>
      </w:rPr>
      <w:t>204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BF"/>
    <w:rsid w:val="00030531"/>
    <w:rsid w:val="00045CD2"/>
    <w:rsid w:val="000510A4"/>
    <w:rsid w:val="00051F4D"/>
    <w:rsid w:val="0006468A"/>
    <w:rsid w:val="00090574"/>
    <w:rsid w:val="00095A6A"/>
    <w:rsid w:val="000C1C0E"/>
    <w:rsid w:val="000C548A"/>
    <w:rsid w:val="000E47DE"/>
    <w:rsid w:val="00121F82"/>
    <w:rsid w:val="00155AC3"/>
    <w:rsid w:val="00166D43"/>
    <w:rsid w:val="00191F00"/>
    <w:rsid w:val="001C0169"/>
    <w:rsid w:val="001D1D50"/>
    <w:rsid w:val="001D6745"/>
    <w:rsid w:val="001E446E"/>
    <w:rsid w:val="00212A55"/>
    <w:rsid w:val="002154EE"/>
    <w:rsid w:val="00217922"/>
    <w:rsid w:val="002276D2"/>
    <w:rsid w:val="0023283D"/>
    <w:rsid w:val="002506C8"/>
    <w:rsid w:val="002564BE"/>
    <w:rsid w:val="002630EB"/>
    <w:rsid w:val="0026373E"/>
    <w:rsid w:val="00271C43"/>
    <w:rsid w:val="00290728"/>
    <w:rsid w:val="00295D4B"/>
    <w:rsid w:val="002978F4"/>
    <w:rsid w:val="002B028D"/>
    <w:rsid w:val="002B7497"/>
    <w:rsid w:val="002D76FA"/>
    <w:rsid w:val="002E6541"/>
    <w:rsid w:val="002F5535"/>
    <w:rsid w:val="00314DAF"/>
    <w:rsid w:val="00321384"/>
    <w:rsid w:val="00333046"/>
    <w:rsid w:val="00334924"/>
    <w:rsid w:val="003409BC"/>
    <w:rsid w:val="0034640D"/>
    <w:rsid w:val="003533B1"/>
    <w:rsid w:val="0035429C"/>
    <w:rsid w:val="00356D0C"/>
    <w:rsid w:val="00357185"/>
    <w:rsid w:val="00371017"/>
    <w:rsid w:val="00383829"/>
    <w:rsid w:val="003938DA"/>
    <w:rsid w:val="00393A8A"/>
    <w:rsid w:val="003C2B0F"/>
    <w:rsid w:val="003F4B29"/>
    <w:rsid w:val="0042686F"/>
    <w:rsid w:val="004317D8"/>
    <w:rsid w:val="00434183"/>
    <w:rsid w:val="004374AD"/>
    <w:rsid w:val="004401F8"/>
    <w:rsid w:val="00443869"/>
    <w:rsid w:val="00445FBC"/>
    <w:rsid w:val="00447F32"/>
    <w:rsid w:val="00463E0C"/>
    <w:rsid w:val="004B1DAD"/>
    <w:rsid w:val="004B26D3"/>
    <w:rsid w:val="004E11DC"/>
    <w:rsid w:val="004E2102"/>
    <w:rsid w:val="004F1394"/>
    <w:rsid w:val="00514733"/>
    <w:rsid w:val="00525DDD"/>
    <w:rsid w:val="005409AC"/>
    <w:rsid w:val="00552440"/>
    <w:rsid w:val="0055516A"/>
    <w:rsid w:val="0057385A"/>
    <w:rsid w:val="00577693"/>
    <w:rsid w:val="0058491B"/>
    <w:rsid w:val="00592EA5"/>
    <w:rsid w:val="005A1733"/>
    <w:rsid w:val="005A3170"/>
    <w:rsid w:val="005C3C46"/>
    <w:rsid w:val="005D0606"/>
    <w:rsid w:val="005D1B12"/>
    <w:rsid w:val="005D734F"/>
    <w:rsid w:val="005E04C2"/>
    <w:rsid w:val="006406DC"/>
    <w:rsid w:val="00673B72"/>
    <w:rsid w:val="006768C1"/>
    <w:rsid w:val="00677396"/>
    <w:rsid w:val="0069200F"/>
    <w:rsid w:val="006A65CB"/>
    <w:rsid w:val="006A68E9"/>
    <w:rsid w:val="006A6EDE"/>
    <w:rsid w:val="006C3242"/>
    <w:rsid w:val="006C72C0"/>
    <w:rsid w:val="006C7CC0"/>
    <w:rsid w:val="006D7912"/>
    <w:rsid w:val="006E5A11"/>
    <w:rsid w:val="006E66D0"/>
    <w:rsid w:val="006F63F7"/>
    <w:rsid w:val="007025C7"/>
    <w:rsid w:val="00706D7A"/>
    <w:rsid w:val="00722E7E"/>
    <w:rsid w:val="00722F0D"/>
    <w:rsid w:val="0073262F"/>
    <w:rsid w:val="007328DB"/>
    <w:rsid w:val="0074303B"/>
    <w:rsid w:val="00743A38"/>
    <w:rsid w:val="0074420E"/>
    <w:rsid w:val="00747EC7"/>
    <w:rsid w:val="007822B3"/>
    <w:rsid w:val="00783E26"/>
    <w:rsid w:val="007C3BC7"/>
    <w:rsid w:val="007C3BCD"/>
    <w:rsid w:val="007C49BF"/>
    <w:rsid w:val="007D4ACF"/>
    <w:rsid w:val="007F0787"/>
    <w:rsid w:val="00810B7B"/>
    <w:rsid w:val="00821628"/>
    <w:rsid w:val="008220D7"/>
    <w:rsid w:val="0082358A"/>
    <w:rsid w:val="008235CD"/>
    <w:rsid w:val="008247DE"/>
    <w:rsid w:val="0082797D"/>
    <w:rsid w:val="008339C0"/>
    <w:rsid w:val="00840B10"/>
    <w:rsid w:val="00850FC7"/>
    <w:rsid w:val="008513CB"/>
    <w:rsid w:val="008663B6"/>
    <w:rsid w:val="00866F5D"/>
    <w:rsid w:val="0087052D"/>
    <w:rsid w:val="00893011"/>
    <w:rsid w:val="008A7F84"/>
    <w:rsid w:val="008F1697"/>
    <w:rsid w:val="008F58E5"/>
    <w:rsid w:val="0091702E"/>
    <w:rsid w:val="00923B0C"/>
    <w:rsid w:val="00924AAD"/>
    <w:rsid w:val="0094021C"/>
    <w:rsid w:val="00947D21"/>
    <w:rsid w:val="00952F86"/>
    <w:rsid w:val="00954CA3"/>
    <w:rsid w:val="00981157"/>
    <w:rsid w:val="00982B28"/>
    <w:rsid w:val="009969EC"/>
    <w:rsid w:val="009A28F4"/>
    <w:rsid w:val="009C391D"/>
    <w:rsid w:val="009D313F"/>
    <w:rsid w:val="009E4A42"/>
    <w:rsid w:val="00A233E3"/>
    <w:rsid w:val="00A47A5A"/>
    <w:rsid w:val="00A5451E"/>
    <w:rsid w:val="00A6683B"/>
    <w:rsid w:val="00A97F94"/>
    <w:rsid w:val="00AA7EA2"/>
    <w:rsid w:val="00AB35CD"/>
    <w:rsid w:val="00AE44B6"/>
    <w:rsid w:val="00AF3223"/>
    <w:rsid w:val="00B03099"/>
    <w:rsid w:val="00B05BC8"/>
    <w:rsid w:val="00B36F4A"/>
    <w:rsid w:val="00B52588"/>
    <w:rsid w:val="00B64B47"/>
    <w:rsid w:val="00BA0289"/>
    <w:rsid w:val="00BA21B8"/>
    <w:rsid w:val="00BB0EC5"/>
    <w:rsid w:val="00BE33C5"/>
    <w:rsid w:val="00BE47CD"/>
    <w:rsid w:val="00BF17F7"/>
    <w:rsid w:val="00C002DE"/>
    <w:rsid w:val="00C0497F"/>
    <w:rsid w:val="00C141E7"/>
    <w:rsid w:val="00C353D6"/>
    <w:rsid w:val="00C53BF8"/>
    <w:rsid w:val="00C55198"/>
    <w:rsid w:val="00C66157"/>
    <w:rsid w:val="00C674FE"/>
    <w:rsid w:val="00C67501"/>
    <w:rsid w:val="00C73089"/>
    <w:rsid w:val="00C75633"/>
    <w:rsid w:val="00C95B0D"/>
    <w:rsid w:val="00CC629D"/>
    <w:rsid w:val="00CE2EE1"/>
    <w:rsid w:val="00CE3349"/>
    <w:rsid w:val="00CE36E5"/>
    <w:rsid w:val="00CE7613"/>
    <w:rsid w:val="00CF27F5"/>
    <w:rsid w:val="00CF3FFD"/>
    <w:rsid w:val="00D03573"/>
    <w:rsid w:val="00D10CCF"/>
    <w:rsid w:val="00D133BF"/>
    <w:rsid w:val="00D14D10"/>
    <w:rsid w:val="00D40138"/>
    <w:rsid w:val="00D4045F"/>
    <w:rsid w:val="00D77D0F"/>
    <w:rsid w:val="00D82C00"/>
    <w:rsid w:val="00D91950"/>
    <w:rsid w:val="00DA1CF0"/>
    <w:rsid w:val="00DA3607"/>
    <w:rsid w:val="00DC1E02"/>
    <w:rsid w:val="00DC24B4"/>
    <w:rsid w:val="00DC5FB0"/>
    <w:rsid w:val="00DD08F8"/>
    <w:rsid w:val="00DE29D1"/>
    <w:rsid w:val="00DF16DC"/>
    <w:rsid w:val="00DF2BFB"/>
    <w:rsid w:val="00E02EDC"/>
    <w:rsid w:val="00E05CA9"/>
    <w:rsid w:val="00E45211"/>
    <w:rsid w:val="00E473C5"/>
    <w:rsid w:val="00E57D91"/>
    <w:rsid w:val="00E92863"/>
    <w:rsid w:val="00EA04BB"/>
    <w:rsid w:val="00EA3B3B"/>
    <w:rsid w:val="00EB3839"/>
    <w:rsid w:val="00EB796D"/>
    <w:rsid w:val="00ED2B45"/>
    <w:rsid w:val="00F01061"/>
    <w:rsid w:val="00F058DC"/>
    <w:rsid w:val="00F21F04"/>
    <w:rsid w:val="00F24F0B"/>
    <w:rsid w:val="00F24FC4"/>
    <w:rsid w:val="00F2676C"/>
    <w:rsid w:val="00F84366"/>
    <w:rsid w:val="00F85089"/>
    <w:rsid w:val="00F974C5"/>
    <w:rsid w:val="00FA6F46"/>
    <w:rsid w:val="00FB71AC"/>
    <w:rsid w:val="00FC344D"/>
    <w:rsid w:val="00FC4592"/>
    <w:rsid w:val="00FE077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0C858"/>
  <w15:chartTrackingRefBased/>
  <w15:docId w15:val="{B46DDB8E-2E5E-4934-BEBA-3FA665C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445FBC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A23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07/en" TargetMode="External"/><Relationship Id="rId18" Type="http://schemas.openxmlformats.org/officeDocument/2006/relationships/hyperlink" Target="https://www.itu.int/md/S22-PP-C-0118/en" TargetMode="External"/><Relationship Id="rId26" Type="http://schemas.openxmlformats.org/officeDocument/2006/relationships/hyperlink" Target="https://www.itu.int/md/S22-PP-C-0173/en" TargetMode="External"/><Relationship Id="rId39" Type="http://schemas.openxmlformats.org/officeDocument/2006/relationships/hyperlink" Target="https://www.itu.int/md/S22-PP-C-0142/en" TargetMode="External"/><Relationship Id="rId21" Type="http://schemas.openxmlformats.org/officeDocument/2006/relationships/hyperlink" Target="https://www.itu.int/md/S22-PP-C-0141/en" TargetMode="External"/><Relationship Id="rId34" Type="http://schemas.openxmlformats.org/officeDocument/2006/relationships/hyperlink" Target="https://www.itu.int/md/S22-PP-C-0117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116/en" TargetMode="External"/><Relationship Id="rId20" Type="http://schemas.openxmlformats.org/officeDocument/2006/relationships/hyperlink" Target="https://www.itu.int/md/S22-PP-C-0140/en" TargetMode="External"/><Relationship Id="rId29" Type="http://schemas.openxmlformats.org/officeDocument/2006/relationships/hyperlink" Target="https://www.itu.int/md/S22-PP-C-0174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73/en" TargetMode="External"/><Relationship Id="rId24" Type="http://schemas.openxmlformats.org/officeDocument/2006/relationships/hyperlink" Target="https://www.itu.int/md/S22-PP-C-0167/en" TargetMode="External"/><Relationship Id="rId32" Type="http://schemas.openxmlformats.org/officeDocument/2006/relationships/hyperlink" Target="https://www.itu.int/md/S22-PP-C-0115/en" TargetMode="External"/><Relationship Id="rId37" Type="http://schemas.openxmlformats.org/officeDocument/2006/relationships/hyperlink" Target="https://www.itu.int/md/S22-PP-C-0140/en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115/en" TargetMode="External"/><Relationship Id="rId23" Type="http://schemas.openxmlformats.org/officeDocument/2006/relationships/hyperlink" Target="https://www.itu.int/md/S22-PP-C-0165/en" TargetMode="External"/><Relationship Id="rId28" Type="http://schemas.openxmlformats.org/officeDocument/2006/relationships/hyperlink" Target="https://www.itu.int/md/S22-PP-C-0174/en" TargetMode="External"/><Relationship Id="rId36" Type="http://schemas.openxmlformats.org/officeDocument/2006/relationships/hyperlink" Target="https://www.itu.int/md/S22-PP-C-0139/en" TargetMode="External"/><Relationship Id="rId10" Type="http://schemas.openxmlformats.org/officeDocument/2006/relationships/hyperlink" Target="https://www.itu.int/md/S22-PP-C-0167/en" TargetMode="External"/><Relationship Id="rId19" Type="http://schemas.openxmlformats.org/officeDocument/2006/relationships/hyperlink" Target="https://www.itu.int/md/S22-PP-C-0139/en" TargetMode="External"/><Relationship Id="rId31" Type="http://schemas.openxmlformats.org/officeDocument/2006/relationships/hyperlink" Target="https://www.itu.int/md/S22-PP-C-0108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65/en" TargetMode="External"/><Relationship Id="rId14" Type="http://schemas.openxmlformats.org/officeDocument/2006/relationships/hyperlink" Target="https://www.itu.int/md/S22-PP-C-0108/en" TargetMode="External"/><Relationship Id="rId22" Type="http://schemas.openxmlformats.org/officeDocument/2006/relationships/hyperlink" Target="https://www.itu.int/md/S22-PP-C-0142/en" TargetMode="External"/><Relationship Id="rId27" Type="http://schemas.openxmlformats.org/officeDocument/2006/relationships/hyperlink" Target="https://www.itu.int/md/S22-PP-C-0173/en" TargetMode="External"/><Relationship Id="rId30" Type="http://schemas.openxmlformats.org/officeDocument/2006/relationships/hyperlink" Target="https://www.itu.int/md/S22-PP-C-0107/en" TargetMode="External"/><Relationship Id="rId35" Type="http://schemas.openxmlformats.org/officeDocument/2006/relationships/hyperlink" Target="https://www.itu.int/md/S22-PP-C-0118/e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2-PP-C-0174/en" TargetMode="External"/><Relationship Id="rId17" Type="http://schemas.openxmlformats.org/officeDocument/2006/relationships/hyperlink" Target="https://www.itu.int/md/S22-PP-C-0117/en" TargetMode="External"/><Relationship Id="rId25" Type="http://schemas.openxmlformats.org/officeDocument/2006/relationships/hyperlink" Target="https://www.itu.int/md/S22-PP-C-0167/en" TargetMode="External"/><Relationship Id="rId33" Type="http://schemas.openxmlformats.org/officeDocument/2006/relationships/hyperlink" Target="https://www.itu.int/md/S22-PP-C-0116/en" TargetMode="External"/><Relationship Id="rId38" Type="http://schemas.openxmlformats.org/officeDocument/2006/relationships/hyperlink" Target="https://www.itu.int/md/S22-PP-C-014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Riz, Imad</cp:lastModifiedBy>
  <cp:revision>8</cp:revision>
  <dcterms:created xsi:type="dcterms:W3CDTF">2022-11-21T14:42:00Z</dcterms:created>
  <dcterms:modified xsi:type="dcterms:W3CDTF">2022-11-22T09:32:00Z</dcterms:modified>
</cp:coreProperties>
</file>