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D729D" w14:paraId="53E2F3C9" w14:textId="77777777" w:rsidTr="00682B62">
        <w:trPr>
          <w:cantSplit/>
        </w:trPr>
        <w:tc>
          <w:tcPr>
            <w:tcW w:w="6911" w:type="dxa"/>
          </w:tcPr>
          <w:p w14:paraId="1A0FEE8F" w14:textId="27F7A80E" w:rsidR="00255FA1" w:rsidRPr="00AD729D" w:rsidRDefault="00255FA1" w:rsidP="00A42041">
            <w:pPr>
              <w:tabs>
                <w:tab w:val="clear" w:pos="567"/>
                <w:tab w:val="left" w:pos="709"/>
              </w:tabs>
              <w:rPr>
                <w:b/>
                <w:bCs/>
                <w:szCs w:val="22"/>
                <w:lang w:val="es-ES"/>
              </w:rPr>
            </w:pPr>
            <w:bookmarkStart w:id="0" w:name="dbreak"/>
            <w:bookmarkStart w:id="1" w:name="dpp"/>
            <w:bookmarkEnd w:id="0"/>
            <w:bookmarkEnd w:id="1"/>
            <w:r w:rsidRPr="00AD729D">
              <w:rPr>
                <w:rStyle w:val="PageNumber"/>
                <w:rFonts w:cs="Times"/>
                <w:b/>
                <w:sz w:val="30"/>
                <w:szCs w:val="30"/>
                <w:lang w:val="es-ES"/>
              </w:rPr>
              <w:t>Conferencia de Plenipotenciarios (PP-</w:t>
            </w:r>
            <w:r w:rsidR="009D1BE0" w:rsidRPr="00AD729D">
              <w:rPr>
                <w:rStyle w:val="PageNumber"/>
                <w:rFonts w:cs="Times"/>
                <w:b/>
                <w:sz w:val="30"/>
                <w:szCs w:val="30"/>
                <w:lang w:val="es-ES"/>
              </w:rPr>
              <w:t>22</w:t>
            </w:r>
            <w:r w:rsidRPr="00AD729D">
              <w:rPr>
                <w:rStyle w:val="PageNumber"/>
                <w:rFonts w:cs="Times"/>
                <w:b/>
                <w:sz w:val="30"/>
                <w:szCs w:val="30"/>
                <w:lang w:val="es-ES"/>
              </w:rPr>
              <w:t>)</w:t>
            </w:r>
            <w:r w:rsidRPr="00AD729D">
              <w:rPr>
                <w:rStyle w:val="PageNumber"/>
                <w:rFonts w:cs="Times"/>
                <w:sz w:val="26"/>
                <w:szCs w:val="26"/>
                <w:lang w:val="es-ES"/>
              </w:rPr>
              <w:br/>
            </w:r>
            <w:r w:rsidR="009D1BE0" w:rsidRPr="00AD729D">
              <w:rPr>
                <w:b/>
                <w:bCs/>
                <w:szCs w:val="24"/>
                <w:lang w:val="es-ES"/>
              </w:rPr>
              <w:t>Bucarest</w:t>
            </w:r>
            <w:r w:rsidRPr="00AD729D">
              <w:rPr>
                <w:rStyle w:val="PageNumber"/>
                <w:b/>
                <w:bCs/>
                <w:szCs w:val="24"/>
                <w:lang w:val="es-ES"/>
              </w:rPr>
              <w:t xml:space="preserve">, </w:t>
            </w:r>
            <w:r w:rsidRPr="00AD729D">
              <w:rPr>
                <w:rStyle w:val="PageNumber"/>
                <w:b/>
                <w:szCs w:val="24"/>
                <w:lang w:val="es-ES"/>
              </w:rPr>
              <w:t>2</w:t>
            </w:r>
            <w:r w:rsidR="009D1BE0" w:rsidRPr="00AD729D">
              <w:rPr>
                <w:rStyle w:val="PageNumber"/>
                <w:b/>
                <w:szCs w:val="24"/>
                <w:lang w:val="es-ES"/>
              </w:rPr>
              <w:t>6</w:t>
            </w:r>
            <w:r w:rsidRPr="00AD729D">
              <w:rPr>
                <w:rStyle w:val="PageNumber"/>
                <w:b/>
                <w:szCs w:val="24"/>
                <w:lang w:val="es-ES"/>
              </w:rPr>
              <w:t xml:space="preserve"> de </w:t>
            </w:r>
            <w:r w:rsidR="009D1BE0" w:rsidRPr="00AD729D">
              <w:rPr>
                <w:rStyle w:val="PageNumber"/>
                <w:b/>
                <w:szCs w:val="24"/>
                <w:lang w:val="es-ES"/>
              </w:rPr>
              <w:t>septiembre</w:t>
            </w:r>
            <w:r w:rsidRPr="00AD729D">
              <w:rPr>
                <w:rStyle w:val="PageNumber"/>
                <w:b/>
                <w:szCs w:val="24"/>
                <w:lang w:val="es-ES"/>
              </w:rPr>
              <w:t xml:space="preserve"> </w:t>
            </w:r>
            <w:r w:rsidR="00491A25" w:rsidRPr="00AD729D">
              <w:rPr>
                <w:rStyle w:val="PageNumber"/>
                <w:b/>
                <w:szCs w:val="24"/>
                <w:lang w:val="es-ES"/>
              </w:rPr>
              <w:t>–</w:t>
            </w:r>
            <w:r w:rsidRPr="00AD729D">
              <w:rPr>
                <w:rStyle w:val="PageNumber"/>
                <w:b/>
                <w:szCs w:val="24"/>
                <w:lang w:val="es-ES"/>
              </w:rPr>
              <w:t xml:space="preserve"> </w:t>
            </w:r>
            <w:r w:rsidR="00C43474" w:rsidRPr="00AD729D">
              <w:rPr>
                <w:rStyle w:val="PageNumber"/>
                <w:b/>
                <w:szCs w:val="24"/>
                <w:lang w:val="es-ES"/>
              </w:rPr>
              <w:t>1</w:t>
            </w:r>
            <w:r w:rsidR="009D1BE0" w:rsidRPr="00AD729D">
              <w:rPr>
                <w:rStyle w:val="PageNumber"/>
                <w:b/>
                <w:szCs w:val="24"/>
                <w:lang w:val="es-ES"/>
              </w:rPr>
              <w:t>4</w:t>
            </w:r>
            <w:r w:rsidRPr="00AD729D">
              <w:rPr>
                <w:rStyle w:val="PageNumber"/>
                <w:b/>
                <w:szCs w:val="24"/>
                <w:lang w:val="es-ES"/>
              </w:rPr>
              <w:t xml:space="preserve"> de </w:t>
            </w:r>
            <w:r w:rsidR="009D1BE0" w:rsidRPr="00AD729D">
              <w:rPr>
                <w:rStyle w:val="PageNumber"/>
                <w:b/>
                <w:szCs w:val="24"/>
                <w:lang w:val="es-ES"/>
              </w:rPr>
              <w:t>octubre</w:t>
            </w:r>
            <w:r w:rsidRPr="00AD729D">
              <w:rPr>
                <w:rStyle w:val="PageNumber"/>
                <w:b/>
                <w:szCs w:val="24"/>
                <w:lang w:val="es-ES"/>
              </w:rPr>
              <w:t xml:space="preserve"> de 2</w:t>
            </w:r>
            <w:r w:rsidR="009D1BE0" w:rsidRPr="00AD729D">
              <w:rPr>
                <w:rStyle w:val="PageNumber"/>
                <w:b/>
                <w:szCs w:val="24"/>
                <w:lang w:val="es-ES"/>
              </w:rPr>
              <w:t>022</w:t>
            </w:r>
          </w:p>
        </w:tc>
        <w:tc>
          <w:tcPr>
            <w:tcW w:w="3120" w:type="dxa"/>
          </w:tcPr>
          <w:p w14:paraId="703F9FD0" w14:textId="5BFAFB55" w:rsidR="00255FA1" w:rsidRPr="00AD729D" w:rsidRDefault="009D1BE0" w:rsidP="00A42041">
            <w:pPr>
              <w:tabs>
                <w:tab w:val="clear" w:pos="567"/>
                <w:tab w:val="left" w:pos="709"/>
              </w:tabs>
              <w:spacing w:before="0" w:line="240" w:lineRule="atLeast"/>
              <w:rPr>
                <w:rFonts w:cstheme="minorHAnsi"/>
                <w:lang w:val="es-ES"/>
              </w:rPr>
            </w:pPr>
            <w:bookmarkStart w:id="2" w:name="ditulogo"/>
            <w:bookmarkEnd w:id="2"/>
            <w:r w:rsidRPr="00AD729D">
              <w:rPr>
                <w:noProof/>
                <w:lang w:val="es-ES"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AD729D" w14:paraId="7936D6CB" w14:textId="77777777" w:rsidTr="00682B62">
        <w:trPr>
          <w:cantSplit/>
        </w:trPr>
        <w:tc>
          <w:tcPr>
            <w:tcW w:w="6911" w:type="dxa"/>
            <w:tcBorders>
              <w:bottom w:val="single" w:sz="12" w:space="0" w:color="auto"/>
            </w:tcBorders>
          </w:tcPr>
          <w:p w14:paraId="44AF3E5C" w14:textId="77777777" w:rsidR="00255FA1" w:rsidRPr="00AD729D" w:rsidRDefault="00255FA1" w:rsidP="00A42041">
            <w:pPr>
              <w:tabs>
                <w:tab w:val="clear" w:pos="567"/>
                <w:tab w:val="left" w:pos="709"/>
              </w:tabs>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11F82F2F" w14:textId="77777777" w:rsidR="00255FA1" w:rsidRPr="00AD729D" w:rsidRDefault="00255FA1" w:rsidP="00A42041">
            <w:pPr>
              <w:tabs>
                <w:tab w:val="clear" w:pos="567"/>
                <w:tab w:val="left" w:pos="709"/>
              </w:tabs>
              <w:spacing w:before="0" w:after="48" w:line="240" w:lineRule="atLeast"/>
              <w:rPr>
                <w:rFonts w:cstheme="minorHAnsi"/>
                <w:b/>
                <w:smallCaps/>
                <w:szCs w:val="24"/>
                <w:lang w:val="es-ES"/>
              </w:rPr>
            </w:pPr>
          </w:p>
        </w:tc>
      </w:tr>
      <w:tr w:rsidR="00255FA1" w:rsidRPr="00AD729D" w14:paraId="420A698C" w14:textId="77777777" w:rsidTr="00682B62">
        <w:trPr>
          <w:cantSplit/>
        </w:trPr>
        <w:tc>
          <w:tcPr>
            <w:tcW w:w="6911" w:type="dxa"/>
            <w:tcBorders>
              <w:top w:val="single" w:sz="12" w:space="0" w:color="auto"/>
            </w:tcBorders>
          </w:tcPr>
          <w:p w14:paraId="47DB16D7" w14:textId="77777777" w:rsidR="00255FA1" w:rsidRPr="00AD729D" w:rsidRDefault="00255FA1" w:rsidP="00A70DFC">
            <w:pPr>
              <w:tabs>
                <w:tab w:val="clear" w:pos="567"/>
                <w:tab w:val="left" w:pos="709"/>
              </w:tabs>
              <w:spacing w:before="0"/>
              <w:rPr>
                <w:rFonts w:cstheme="minorHAnsi"/>
                <w:b/>
                <w:smallCaps/>
                <w:szCs w:val="24"/>
                <w:lang w:val="es-ES"/>
              </w:rPr>
            </w:pPr>
          </w:p>
        </w:tc>
        <w:tc>
          <w:tcPr>
            <w:tcW w:w="3120" w:type="dxa"/>
            <w:tcBorders>
              <w:top w:val="single" w:sz="12" w:space="0" w:color="auto"/>
            </w:tcBorders>
          </w:tcPr>
          <w:p w14:paraId="3B0821EE" w14:textId="77777777" w:rsidR="00255FA1" w:rsidRPr="00AD729D" w:rsidRDefault="00255FA1" w:rsidP="00A42041">
            <w:pPr>
              <w:tabs>
                <w:tab w:val="clear" w:pos="567"/>
                <w:tab w:val="left" w:pos="709"/>
              </w:tabs>
              <w:spacing w:before="0"/>
              <w:rPr>
                <w:rFonts w:cstheme="minorHAnsi"/>
                <w:szCs w:val="24"/>
                <w:lang w:val="es-ES"/>
              </w:rPr>
            </w:pPr>
          </w:p>
        </w:tc>
      </w:tr>
      <w:tr w:rsidR="00255FA1" w:rsidRPr="00AD729D" w14:paraId="6E5D99D3" w14:textId="77777777" w:rsidTr="00682B62">
        <w:trPr>
          <w:cantSplit/>
        </w:trPr>
        <w:tc>
          <w:tcPr>
            <w:tcW w:w="6911" w:type="dxa"/>
          </w:tcPr>
          <w:p w14:paraId="248001A5" w14:textId="6D21E375" w:rsidR="00255FA1" w:rsidRPr="00AD729D" w:rsidRDefault="009A443B" w:rsidP="00A70DFC">
            <w:pPr>
              <w:pStyle w:val="Committee"/>
              <w:framePr w:hSpace="0" w:wrap="auto" w:hAnchor="text" w:yAlign="inline"/>
              <w:tabs>
                <w:tab w:val="left" w:pos="709"/>
              </w:tabs>
              <w:spacing w:after="0"/>
              <w:rPr>
                <w:lang w:val="es-ES"/>
              </w:rPr>
            </w:pPr>
            <w:r w:rsidRPr="00AD729D">
              <w:rPr>
                <w:lang w:val="es-ES"/>
              </w:rPr>
              <w:t>SESIÓN PLENARIA</w:t>
            </w:r>
          </w:p>
        </w:tc>
        <w:tc>
          <w:tcPr>
            <w:tcW w:w="3120" w:type="dxa"/>
          </w:tcPr>
          <w:p w14:paraId="5DCBCBFD" w14:textId="4410A24C" w:rsidR="00255FA1" w:rsidRPr="00AD729D" w:rsidRDefault="009A443B" w:rsidP="00A42041">
            <w:pPr>
              <w:tabs>
                <w:tab w:val="clear" w:pos="567"/>
                <w:tab w:val="left" w:pos="709"/>
              </w:tabs>
              <w:spacing w:before="0"/>
              <w:rPr>
                <w:rFonts w:cstheme="minorHAnsi"/>
                <w:szCs w:val="24"/>
                <w:lang w:val="es-ES"/>
              </w:rPr>
            </w:pPr>
            <w:r w:rsidRPr="00AD729D">
              <w:rPr>
                <w:rFonts w:cstheme="minorHAnsi"/>
                <w:b/>
                <w:szCs w:val="24"/>
                <w:lang w:val="es-ES"/>
              </w:rPr>
              <w:t xml:space="preserve">Documento </w:t>
            </w:r>
            <w:r w:rsidR="0053616D" w:rsidRPr="00AD729D">
              <w:rPr>
                <w:rFonts w:cstheme="minorHAnsi"/>
                <w:b/>
                <w:szCs w:val="24"/>
                <w:lang w:val="es-ES"/>
              </w:rPr>
              <w:t>152</w:t>
            </w:r>
            <w:r w:rsidRPr="00AD729D">
              <w:rPr>
                <w:rFonts w:cstheme="minorHAnsi"/>
                <w:b/>
                <w:szCs w:val="24"/>
                <w:lang w:val="es-ES"/>
              </w:rPr>
              <w:t>-S</w:t>
            </w:r>
          </w:p>
        </w:tc>
      </w:tr>
      <w:tr w:rsidR="00255FA1" w:rsidRPr="00AD729D" w14:paraId="483D078B" w14:textId="77777777" w:rsidTr="00682B62">
        <w:trPr>
          <w:cantSplit/>
        </w:trPr>
        <w:tc>
          <w:tcPr>
            <w:tcW w:w="6911" w:type="dxa"/>
          </w:tcPr>
          <w:p w14:paraId="17E32998" w14:textId="03E0A90A" w:rsidR="00255FA1" w:rsidRPr="00AD729D" w:rsidRDefault="00255FA1" w:rsidP="00A42041">
            <w:pPr>
              <w:tabs>
                <w:tab w:val="clear" w:pos="567"/>
                <w:tab w:val="left" w:pos="709"/>
              </w:tabs>
              <w:spacing w:before="0"/>
              <w:rPr>
                <w:rFonts w:cstheme="minorHAnsi"/>
                <w:b/>
                <w:szCs w:val="24"/>
                <w:lang w:val="es-ES"/>
              </w:rPr>
            </w:pPr>
          </w:p>
        </w:tc>
        <w:tc>
          <w:tcPr>
            <w:tcW w:w="3120" w:type="dxa"/>
          </w:tcPr>
          <w:p w14:paraId="00BF5C1A" w14:textId="6925E408" w:rsidR="00255FA1" w:rsidRPr="00AD729D" w:rsidRDefault="0053616D" w:rsidP="00A42041">
            <w:pPr>
              <w:tabs>
                <w:tab w:val="clear" w:pos="567"/>
                <w:tab w:val="left" w:pos="709"/>
              </w:tabs>
              <w:spacing w:before="0"/>
              <w:rPr>
                <w:rFonts w:cstheme="minorHAnsi"/>
                <w:b/>
                <w:szCs w:val="24"/>
                <w:lang w:val="es-ES"/>
              </w:rPr>
            </w:pPr>
            <w:r w:rsidRPr="00AD729D">
              <w:rPr>
                <w:rStyle w:val="PageNumber"/>
                <w:b/>
                <w:szCs w:val="24"/>
                <w:lang w:val="es-ES"/>
              </w:rPr>
              <w:t>7</w:t>
            </w:r>
            <w:r w:rsidR="009A443B" w:rsidRPr="00AD729D">
              <w:rPr>
                <w:rStyle w:val="PageNumber"/>
                <w:b/>
                <w:szCs w:val="24"/>
                <w:lang w:val="es-ES"/>
              </w:rPr>
              <w:t xml:space="preserve"> de </w:t>
            </w:r>
            <w:r w:rsidRPr="00AD729D">
              <w:rPr>
                <w:rStyle w:val="PageNumber"/>
                <w:b/>
                <w:szCs w:val="24"/>
                <w:lang w:val="es-ES"/>
              </w:rPr>
              <w:t>octubre</w:t>
            </w:r>
            <w:r w:rsidR="009A443B" w:rsidRPr="00AD729D">
              <w:rPr>
                <w:rStyle w:val="PageNumber"/>
                <w:b/>
                <w:szCs w:val="24"/>
                <w:lang w:val="es-ES"/>
              </w:rPr>
              <w:t xml:space="preserve"> </w:t>
            </w:r>
            <w:r w:rsidR="009A443B" w:rsidRPr="00AD729D">
              <w:rPr>
                <w:rFonts w:cstheme="minorHAnsi"/>
                <w:b/>
                <w:szCs w:val="24"/>
                <w:lang w:val="es-ES"/>
              </w:rPr>
              <w:t>de 202</w:t>
            </w:r>
            <w:r w:rsidRPr="00AD729D">
              <w:rPr>
                <w:rFonts w:cstheme="minorHAnsi"/>
                <w:b/>
                <w:szCs w:val="24"/>
                <w:lang w:val="es-ES"/>
              </w:rPr>
              <w:t>2</w:t>
            </w:r>
          </w:p>
        </w:tc>
      </w:tr>
      <w:tr w:rsidR="00255FA1" w:rsidRPr="00AD729D" w14:paraId="7EE17784" w14:textId="77777777" w:rsidTr="00682B62">
        <w:trPr>
          <w:cantSplit/>
        </w:trPr>
        <w:tc>
          <w:tcPr>
            <w:tcW w:w="6911" w:type="dxa"/>
          </w:tcPr>
          <w:p w14:paraId="68573EE1" w14:textId="77777777" w:rsidR="00255FA1" w:rsidRPr="00AD729D" w:rsidRDefault="00255FA1" w:rsidP="00A42041">
            <w:pPr>
              <w:tabs>
                <w:tab w:val="clear" w:pos="567"/>
                <w:tab w:val="left" w:pos="709"/>
              </w:tabs>
              <w:spacing w:before="0"/>
              <w:rPr>
                <w:rFonts w:cstheme="minorHAnsi"/>
                <w:b/>
                <w:smallCaps/>
                <w:szCs w:val="24"/>
                <w:lang w:val="es-ES"/>
              </w:rPr>
            </w:pPr>
          </w:p>
        </w:tc>
        <w:tc>
          <w:tcPr>
            <w:tcW w:w="3120" w:type="dxa"/>
          </w:tcPr>
          <w:p w14:paraId="76142BCE" w14:textId="3C72C0F4" w:rsidR="00255FA1" w:rsidRPr="00AD729D" w:rsidRDefault="009A443B" w:rsidP="00A42041">
            <w:pPr>
              <w:tabs>
                <w:tab w:val="clear" w:pos="567"/>
                <w:tab w:val="left" w:pos="709"/>
              </w:tabs>
              <w:spacing w:before="0"/>
              <w:rPr>
                <w:rFonts w:cstheme="minorHAnsi"/>
                <w:b/>
                <w:szCs w:val="24"/>
                <w:lang w:val="es-ES"/>
              </w:rPr>
            </w:pPr>
            <w:r w:rsidRPr="00AD729D">
              <w:rPr>
                <w:rFonts w:cstheme="minorHAnsi"/>
                <w:b/>
                <w:szCs w:val="24"/>
                <w:lang w:val="es-ES"/>
              </w:rPr>
              <w:t>Original: inglés</w:t>
            </w:r>
          </w:p>
        </w:tc>
      </w:tr>
      <w:tr w:rsidR="00255FA1" w:rsidRPr="00AD729D" w14:paraId="3075E850" w14:textId="77777777" w:rsidTr="00682B62">
        <w:trPr>
          <w:cantSplit/>
        </w:trPr>
        <w:tc>
          <w:tcPr>
            <w:tcW w:w="10031" w:type="dxa"/>
            <w:gridSpan w:val="2"/>
          </w:tcPr>
          <w:p w14:paraId="2AB3028F" w14:textId="77777777" w:rsidR="00255FA1" w:rsidRPr="00AD729D" w:rsidRDefault="00255FA1" w:rsidP="00A42041">
            <w:pPr>
              <w:tabs>
                <w:tab w:val="clear" w:pos="567"/>
                <w:tab w:val="left" w:pos="709"/>
              </w:tabs>
              <w:spacing w:before="0" w:line="240" w:lineRule="atLeast"/>
              <w:rPr>
                <w:rFonts w:cstheme="minorHAnsi"/>
                <w:b/>
                <w:szCs w:val="24"/>
                <w:lang w:val="es-ES"/>
              </w:rPr>
            </w:pPr>
          </w:p>
        </w:tc>
      </w:tr>
      <w:tr w:rsidR="00255FA1" w:rsidRPr="00AD729D" w14:paraId="53FF73A6" w14:textId="77777777" w:rsidTr="00682B62">
        <w:trPr>
          <w:cantSplit/>
        </w:trPr>
        <w:tc>
          <w:tcPr>
            <w:tcW w:w="10031" w:type="dxa"/>
            <w:gridSpan w:val="2"/>
          </w:tcPr>
          <w:p w14:paraId="1A7EE99F" w14:textId="38672AF1" w:rsidR="0053616D" w:rsidRPr="001C12EF" w:rsidRDefault="0053616D" w:rsidP="001C12EF">
            <w:pPr>
              <w:pStyle w:val="Title1"/>
            </w:pPr>
            <w:bookmarkStart w:id="4" w:name="dsource" w:colFirst="0" w:colLast="0"/>
            <w:bookmarkEnd w:id="3"/>
            <w:r w:rsidRPr="001C12EF">
              <w:t>ACTA</w:t>
            </w:r>
            <w:r w:rsidR="00816703">
              <w:t>s</w:t>
            </w:r>
          </w:p>
          <w:p w14:paraId="11D53FCC" w14:textId="77777777" w:rsidR="0053616D" w:rsidRPr="001C12EF" w:rsidRDefault="0053616D" w:rsidP="001C12EF">
            <w:pPr>
              <w:pStyle w:val="Title1"/>
            </w:pPr>
            <w:r w:rsidRPr="001C12EF">
              <w:t>DE LA</w:t>
            </w:r>
          </w:p>
          <w:p w14:paraId="365E2007" w14:textId="3CFD3014" w:rsidR="00255FA1" w:rsidRPr="00AD729D" w:rsidRDefault="0053616D" w:rsidP="001C12EF">
            <w:pPr>
              <w:pStyle w:val="Title1"/>
            </w:pPr>
            <w:r w:rsidRPr="001C12EF">
              <w:t>UNDÉCIMA SESIÓN PLENARIA</w:t>
            </w:r>
          </w:p>
        </w:tc>
      </w:tr>
      <w:tr w:rsidR="000B5164" w:rsidRPr="00AD729D" w14:paraId="6C060127" w14:textId="77777777" w:rsidTr="00682B62">
        <w:trPr>
          <w:cantSplit/>
        </w:trPr>
        <w:tc>
          <w:tcPr>
            <w:tcW w:w="10031" w:type="dxa"/>
            <w:gridSpan w:val="2"/>
          </w:tcPr>
          <w:p w14:paraId="0A048F9C" w14:textId="1879D883" w:rsidR="000B5164" w:rsidRPr="001C12EF" w:rsidRDefault="00816703" w:rsidP="001C12EF">
            <w:pPr>
              <w:pStyle w:val="Title2"/>
              <w:rPr>
                <w:lang w:val="es-ES"/>
              </w:rPr>
            </w:pPr>
            <w:bookmarkStart w:id="5" w:name="dtitle1" w:colFirst="0" w:colLast="0"/>
            <w:bookmarkEnd w:id="4"/>
            <w:r>
              <w:rPr>
                <w:caps w:val="0"/>
                <w:lang w:val="es-ES"/>
              </w:rPr>
              <w:t>Martes</w:t>
            </w:r>
            <w:r w:rsidR="001C12EF" w:rsidRPr="001C12EF">
              <w:rPr>
                <w:caps w:val="0"/>
                <w:lang w:val="es-ES"/>
              </w:rPr>
              <w:t xml:space="preserve"> </w:t>
            </w:r>
            <w:r w:rsidR="000B5164" w:rsidRPr="001C12EF">
              <w:rPr>
                <w:lang w:val="es-ES"/>
              </w:rPr>
              <w:t xml:space="preserve">4 </w:t>
            </w:r>
            <w:r w:rsidR="001C12EF" w:rsidRPr="001C12EF">
              <w:rPr>
                <w:caps w:val="0"/>
                <w:lang w:val="es-ES"/>
              </w:rPr>
              <w:t xml:space="preserve">de octubre de </w:t>
            </w:r>
            <w:r w:rsidR="000B5164" w:rsidRPr="001C12EF">
              <w:rPr>
                <w:lang w:val="es-ES"/>
              </w:rPr>
              <w:t xml:space="preserve">2022, </w:t>
            </w:r>
            <w:r w:rsidR="001C12EF" w:rsidRPr="001C12EF">
              <w:rPr>
                <w:caps w:val="0"/>
                <w:lang w:val="es-ES"/>
              </w:rPr>
              <w:t xml:space="preserve">a las </w:t>
            </w:r>
            <w:r w:rsidR="001C12EF">
              <w:rPr>
                <w:caps w:val="0"/>
                <w:lang w:val="es-ES"/>
              </w:rPr>
              <w:t>0</w:t>
            </w:r>
            <w:r w:rsidR="000B5164" w:rsidRPr="001C12EF">
              <w:rPr>
                <w:lang w:val="es-ES"/>
              </w:rPr>
              <w:t xml:space="preserve">9.40 </w:t>
            </w:r>
            <w:r w:rsidR="001C12EF" w:rsidRPr="001C12EF">
              <w:rPr>
                <w:caps w:val="0"/>
                <w:lang w:val="es-ES"/>
              </w:rPr>
              <w:t>horas</w:t>
            </w:r>
          </w:p>
        </w:tc>
      </w:tr>
      <w:tr w:rsidR="000B5164" w:rsidRPr="00AD729D" w14:paraId="3730209C" w14:textId="77777777" w:rsidTr="00682B62">
        <w:trPr>
          <w:cantSplit/>
        </w:trPr>
        <w:tc>
          <w:tcPr>
            <w:tcW w:w="10031" w:type="dxa"/>
            <w:gridSpan w:val="2"/>
          </w:tcPr>
          <w:p w14:paraId="3D6718D3" w14:textId="6ED0310A" w:rsidR="000B5164" w:rsidRPr="001C12EF" w:rsidRDefault="000B5164" w:rsidP="001C12EF">
            <w:pPr>
              <w:tabs>
                <w:tab w:val="clear" w:pos="567"/>
                <w:tab w:val="left" w:pos="709"/>
              </w:tabs>
              <w:jc w:val="center"/>
              <w:rPr>
                <w:lang w:val="es-ES"/>
              </w:rPr>
            </w:pPr>
            <w:bookmarkStart w:id="6" w:name="dtitle2" w:colFirst="0" w:colLast="0"/>
            <w:bookmarkEnd w:id="5"/>
            <w:r w:rsidRPr="001C12EF">
              <w:rPr>
                <w:b/>
                <w:bCs/>
                <w:lang w:val="es-ES"/>
              </w:rPr>
              <w:t>Presidente</w:t>
            </w:r>
            <w:r w:rsidRPr="001C12EF">
              <w:rPr>
                <w:lang w:val="es-ES"/>
              </w:rPr>
              <w:t>: Sr. S. SĂRMAȘ (Rumania)</w:t>
            </w:r>
          </w:p>
        </w:tc>
      </w:tr>
    </w:tbl>
    <w:p w14:paraId="70D114F4" w14:textId="77777777" w:rsidR="000B5164" w:rsidRPr="00AD729D" w:rsidRDefault="000B5164" w:rsidP="00A42041">
      <w:pPr>
        <w:tabs>
          <w:tab w:val="clear" w:pos="567"/>
          <w:tab w:val="left" w:pos="709"/>
        </w:tabs>
        <w:rPr>
          <w:lang w:val="es-ES"/>
        </w:rPr>
      </w:pPr>
    </w:p>
    <w:bookmarkEnd w:id="6"/>
    <w:tbl>
      <w:tblPr>
        <w:tblW w:w="5218" w:type="pct"/>
        <w:tblLook w:val="0000" w:firstRow="0" w:lastRow="0" w:firstColumn="0" w:lastColumn="0" w:noHBand="0" w:noVBand="0"/>
      </w:tblPr>
      <w:tblGrid>
        <w:gridCol w:w="461"/>
        <w:gridCol w:w="6636"/>
        <w:gridCol w:w="2969"/>
      </w:tblGrid>
      <w:tr w:rsidR="000B5164" w:rsidRPr="00AD729D" w14:paraId="0EE33755" w14:textId="77777777" w:rsidTr="000B5164">
        <w:tc>
          <w:tcPr>
            <w:tcW w:w="229" w:type="pct"/>
          </w:tcPr>
          <w:p w14:paraId="7832FE72" w14:textId="77777777" w:rsidR="000B5164" w:rsidRPr="001C12EF" w:rsidRDefault="000B5164" w:rsidP="001C12EF">
            <w:pPr>
              <w:tabs>
                <w:tab w:val="clear" w:pos="567"/>
                <w:tab w:val="left" w:pos="709"/>
              </w:tabs>
              <w:rPr>
                <w:b/>
                <w:bCs/>
                <w:lang w:val="es-ES"/>
              </w:rPr>
            </w:pPr>
            <w:r w:rsidRPr="001C12EF">
              <w:rPr>
                <w:b/>
                <w:bCs/>
                <w:lang w:val="es-ES"/>
              </w:rPr>
              <w:br w:type="page"/>
            </w:r>
            <w:r w:rsidRPr="001C12EF">
              <w:rPr>
                <w:b/>
                <w:bCs/>
                <w:lang w:val="es-ES"/>
              </w:rPr>
              <w:br w:type="page"/>
            </w:r>
          </w:p>
        </w:tc>
        <w:tc>
          <w:tcPr>
            <w:tcW w:w="3296" w:type="pct"/>
          </w:tcPr>
          <w:p w14:paraId="57585A91" w14:textId="77777777" w:rsidR="000B5164" w:rsidRPr="001C12EF" w:rsidRDefault="000B5164" w:rsidP="001C12EF">
            <w:pPr>
              <w:tabs>
                <w:tab w:val="clear" w:pos="567"/>
                <w:tab w:val="left" w:pos="709"/>
              </w:tabs>
              <w:rPr>
                <w:b/>
                <w:bCs/>
                <w:lang w:val="es-ES"/>
              </w:rPr>
            </w:pPr>
            <w:r w:rsidRPr="001C12EF">
              <w:rPr>
                <w:b/>
                <w:bCs/>
                <w:lang w:val="es-ES"/>
              </w:rPr>
              <w:t>Asuntos tratados</w:t>
            </w:r>
          </w:p>
        </w:tc>
        <w:tc>
          <w:tcPr>
            <w:tcW w:w="1475" w:type="pct"/>
          </w:tcPr>
          <w:p w14:paraId="73974FF4" w14:textId="77777777" w:rsidR="000B5164" w:rsidRPr="001C12EF" w:rsidRDefault="000B5164" w:rsidP="001C12EF">
            <w:pPr>
              <w:tabs>
                <w:tab w:val="clear" w:pos="567"/>
                <w:tab w:val="left" w:pos="709"/>
              </w:tabs>
              <w:jc w:val="center"/>
              <w:rPr>
                <w:b/>
                <w:bCs/>
                <w:lang w:val="es-ES"/>
              </w:rPr>
            </w:pPr>
            <w:r w:rsidRPr="001C12EF">
              <w:rPr>
                <w:b/>
                <w:bCs/>
                <w:lang w:val="es-ES"/>
              </w:rPr>
              <w:t>Documentos</w:t>
            </w:r>
          </w:p>
        </w:tc>
      </w:tr>
      <w:tr w:rsidR="000B5164" w:rsidRPr="00AD729D" w14:paraId="0C3E1B6C" w14:textId="77777777" w:rsidTr="00F11816">
        <w:tc>
          <w:tcPr>
            <w:tcW w:w="229" w:type="pct"/>
          </w:tcPr>
          <w:p w14:paraId="3DCE7CBD" w14:textId="77777777" w:rsidR="000B5164" w:rsidRPr="001C12EF" w:rsidRDefault="000B5164" w:rsidP="001C12EF">
            <w:pPr>
              <w:tabs>
                <w:tab w:val="clear" w:pos="567"/>
                <w:tab w:val="left" w:pos="709"/>
              </w:tabs>
              <w:rPr>
                <w:lang w:val="es-ES"/>
              </w:rPr>
            </w:pPr>
            <w:r w:rsidRPr="001C12EF">
              <w:rPr>
                <w:lang w:val="es-ES"/>
              </w:rPr>
              <w:t>1</w:t>
            </w:r>
          </w:p>
        </w:tc>
        <w:tc>
          <w:tcPr>
            <w:tcW w:w="3296" w:type="pct"/>
          </w:tcPr>
          <w:p w14:paraId="359435BA" w14:textId="0FD3F796" w:rsidR="000B5164" w:rsidRPr="001C12EF" w:rsidRDefault="000B5164" w:rsidP="001C12EF">
            <w:pPr>
              <w:tabs>
                <w:tab w:val="clear" w:pos="567"/>
                <w:tab w:val="left" w:pos="709"/>
              </w:tabs>
              <w:rPr>
                <w:lang w:val="es-ES"/>
              </w:rPr>
            </w:pPr>
            <w:r w:rsidRPr="001C12EF">
              <w:rPr>
                <w:lang w:val="es-ES"/>
              </w:rPr>
              <w:t>Carta del Gobierno del Estado de Qatar relativa a la Conferencia de Plenipotenciarios de 2026</w:t>
            </w:r>
          </w:p>
        </w:tc>
        <w:tc>
          <w:tcPr>
            <w:tcW w:w="1475" w:type="pct"/>
          </w:tcPr>
          <w:p w14:paraId="11DDFCF6" w14:textId="77777777" w:rsidR="000B5164" w:rsidRPr="00AD729D" w:rsidRDefault="004A3CD7" w:rsidP="001C12EF">
            <w:pPr>
              <w:jc w:val="center"/>
              <w:rPr>
                <w:rFonts w:eastAsia="SimSun"/>
                <w:szCs w:val="24"/>
                <w:lang w:val="es-ES"/>
              </w:rPr>
            </w:pPr>
            <w:hyperlink r:id="rId9" w:history="1">
              <w:r w:rsidR="000B5164" w:rsidRPr="00AD729D">
                <w:rPr>
                  <w:rStyle w:val="Hyperlink"/>
                  <w:rFonts w:asciiTheme="minorHAnsi" w:hAnsiTheme="minorHAnsi" w:cstheme="minorBidi"/>
                  <w:szCs w:val="24"/>
                  <w:lang w:val="es-ES"/>
                </w:rPr>
                <w:t>58</w:t>
              </w:r>
            </w:hyperlink>
          </w:p>
        </w:tc>
      </w:tr>
      <w:tr w:rsidR="000B5164" w:rsidRPr="00AD729D" w14:paraId="65B4C707" w14:textId="77777777" w:rsidTr="00F11816">
        <w:tc>
          <w:tcPr>
            <w:tcW w:w="229" w:type="pct"/>
          </w:tcPr>
          <w:p w14:paraId="45AEBE99" w14:textId="77777777" w:rsidR="000B5164" w:rsidRPr="001C12EF" w:rsidRDefault="000B5164" w:rsidP="001C12EF">
            <w:pPr>
              <w:tabs>
                <w:tab w:val="clear" w:pos="567"/>
                <w:tab w:val="left" w:pos="709"/>
              </w:tabs>
              <w:rPr>
                <w:lang w:val="es-ES"/>
              </w:rPr>
            </w:pPr>
            <w:r w:rsidRPr="001C12EF">
              <w:rPr>
                <w:lang w:val="es-ES"/>
              </w:rPr>
              <w:t>2</w:t>
            </w:r>
          </w:p>
        </w:tc>
        <w:tc>
          <w:tcPr>
            <w:tcW w:w="3296" w:type="pct"/>
          </w:tcPr>
          <w:p w14:paraId="5BD2CE8B" w14:textId="77777777" w:rsidR="000B5164" w:rsidRPr="001C12EF" w:rsidRDefault="000B5164" w:rsidP="001C12EF">
            <w:pPr>
              <w:tabs>
                <w:tab w:val="clear" w:pos="567"/>
                <w:tab w:val="left" w:pos="709"/>
              </w:tabs>
              <w:rPr>
                <w:lang w:val="es-ES"/>
              </w:rPr>
            </w:pPr>
            <w:r w:rsidRPr="001C12EF">
              <w:rPr>
                <w:lang w:val="es-ES"/>
              </w:rPr>
              <w:t>Fecha de toma de posesión del cargo de los funcionarios electos y ceremonia de juramento</w:t>
            </w:r>
          </w:p>
        </w:tc>
        <w:tc>
          <w:tcPr>
            <w:tcW w:w="1475" w:type="pct"/>
          </w:tcPr>
          <w:p w14:paraId="414A97F7" w14:textId="0D46C12A" w:rsidR="000B5164" w:rsidRPr="001C12EF" w:rsidRDefault="001C12EF" w:rsidP="001C12EF">
            <w:pPr>
              <w:tabs>
                <w:tab w:val="clear" w:pos="567"/>
                <w:tab w:val="left" w:pos="709"/>
              </w:tabs>
              <w:jc w:val="center"/>
              <w:rPr>
                <w:lang w:val="es-ES"/>
              </w:rPr>
            </w:pPr>
            <w:r w:rsidRPr="001C12EF">
              <w:rPr>
                <w:lang w:val="es-ES"/>
              </w:rPr>
              <w:t>–</w:t>
            </w:r>
          </w:p>
        </w:tc>
      </w:tr>
      <w:tr w:rsidR="000B5164" w:rsidRPr="00AD729D" w14:paraId="69A41A1B" w14:textId="77777777" w:rsidTr="00F11816">
        <w:tc>
          <w:tcPr>
            <w:tcW w:w="229" w:type="pct"/>
          </w:tcPr>
          <w:p w14:paraId="634451C0" w14:textId="77777777" w:rsidR="000B5164" w:rsidRPr="001C12EF" w:rsidRDefault="000B5164" w:rsidP="001C12EF">
            <w:pPr>
              <w:tabs>
                <w:tab w:val="clear" w:pos="567"/>
                <w:tab w:val="left" w:pos="709"/>
              </w:tabs>
              <w:rPr>
                <w:lang w:val="es-ES"/>
              </w:rPr>
            </w:pPr>
            <w:r w:rsidRPr="001C12EF">
              <w:rPr>
                <w:lang w:val="es-ES"/>
              </w:rPr>
              <w:t>3</w:t>
            </w:r>
          </w:p>
        </w:tc>
        <w:tc>
          <w:tcPr>
            <w:tcW w:w="3296" w:type="pct"/>
          </w:tcPr>
          <w:p w14:paraId="4F011667" w14:textId="77777777" w:rsidR="000B5164" w:rsidRPr="001C12EF" w:rsidRDefault="000B5164" w:rsidP="001C12EF">
            <w:pPr>
              <w:tabs>
                <w:tab w:val="clear" w:pos="567"/>
                <w:tab w:val="left" w:pos="709"/>
              </w:tabs>
              <w:rPr>
                <w:lang w:val="es-ES"/>
              </w:rPr>
            </w:pPr>
            <w:r w:rsidRPr="001C12EF">
              <w:rPr>
                <w:lang w:val="es-ES"/>
              </w:rPr>
              <w:t>Fecha de toma de posesión del cargo de los miembros electos de la Junta del Reglamento de Radiocomunicaciones</w:t>
            </w:r>
          </w:p>
        </w:tc>
        <w:tc>
          <w:tcPr>
            <w:tcW w:w="1475" w:type="pct"/>
          </w:tcPr>
          <w:p w14:paraId="77C55D95" w14:textId="7D68A037" w:rsidR="000B5164" w:rsidRPr="001C12EF" w:rsidRDefault="001C12EF" w:rsidP="001C12EF">
            <w:pPr>
              <w:tabs>
                <w:tab w:val="clear" w:pos="567"/>
                <w:tab w:val="left" w:pos="709"/>
              </w:tabs>
              <w:jc w:val="center"/>
              <w:rPr>
                <w:lang w:val="es-ES"/>
              </w:rPr>
            </w:pPr>
            <w:r w:rsidRPr="001C12EF">
              <w:rPr>
                <w:lang w:val="es-ES"/>
              </w:rPr>
              <w:t>–</w:t>
            </w:r>
          </w:p>
        </w:tc>
      </w:tr>
      <w:tr w:rsidR="000B5164" w:rsidRPr="00AD729D" w14:paraId="1739474E" w14:textId="77777777" w:rsidTr="00F11816">
        <w:tc>
          <w:tcPr>
            <w:tcW w:w="229" w:type="pct"/>
          </w:tcPr>
          <w:p w14:paraId="578A7D1C" w14:textId="77777777" w:rsidR="000B5164" w:rsidRPr="001C12EF" w:rsidRDefault="000B5164" w:rsidP="001C12EF">
            <w:pPr>
              <w:tabs>
                <w:tab w:val="clear" w:pos="567"/>
                <w:tab w:val="left" w:pos="709"/>
              </w:tabs>
              <w:rPr>
                <w:lang w:val="es-ES"/>
              </w:rPr>
            </w:pPr>
            <w:r w:rsidRPr="001C12EF">
              <w:rPr>
                <w:lang w:val="es-ES"/>
              </w:rPr>
              <w:t>4</w:t>
            </w:r>
          </w:p>
        </w:tc>
        <w:tc>
          <w:tcPr>
            <w:tcW w:w="3296" w:type="pct"/>
          </w:tcPr>
          <w:p w14:paraId="76EE8C50" w14:textId="77777777" w:rsidR="000B5164" w:rsidRPr="001C12EF" w:rsidRDefault="000B5164" w:rsidP="001C12EF">
            <w:pPr>
              <w:tabs>
                <w:tab w:val="clear" w:pos="567"/>
                <w:tab w:val="left" w:pos="709"/>
              </w:tabs>
              <w:rPr>
                <w:lang w:val="es-ES"/>
              </w:rPr>
            </w:pPr>
            <w:r w:rsidRPr="001C12EF">
              <w:rPr>
                <w:lang w:val="es-ES"/>
              </w:rPr>
              <w:t>Entrega de medallas de plata de la UIT a los miembros salientes de la Junta del Reglamento de Radiocomunicaciones</w:t>
            </w:r>
          </w:p>
        </w:tc>
        <w:tc>
          <w:tcPr>
            <w:tcW w:w="1475" w:type="pct"/>
          </w:tcPr>
          <w:p w14:paraId="3889BD8B" w14:textId="3010EE21" w:rsidR="000B5164" w:rsidRPr="001C12EF" w:rsidRDefault="001C12EF" w:rsidP="001C12EF">
            <w:pPr>
              <w:tabs>
                <w:tab w:val="clear" w:pos="567"/>
                <w:tab w:val="left" w:pos="709"/>
              </w:tabs>
              <w:jc w:val="center"/>
              <w:rPr>
                <w:lang w:val="es-ES"/>
              </w:rPr>
            </w:pPr>
            <w:r w:rsidRPr="001C12EF">
              <w:rPr>
                <w:lang w:val="es-ES"/>
              </w:rPr>
              <w:t>–</w:t>
            </w:r>
          </w:p>
        </w:tc>
      </w:tr>
      <w:tr w:rsidR="000B5164" w:rsidRPr="00AD729D" w14:paraId="43942CF2" w14:textId="77777777" w:rsidTr="00F11816">
        <w:tc>
          <w:tcPr>
            <w:tcW w:w="229" w:type="pct"/>
          </w:tcPr>
          <w:p w14:paraId="0B712B98" w14:textId="77777777" w:rsidR="000B5164" w:rsidRPr="001C12EF" w:rsidRDefault="000B5164" w:rsidP="001C12EF">
            <w:pPr>
              <w:tabs>
                <w:tab w:val="clear" w:pos="567"/>
                <w:tab w:val="left" w:pos="709"/>
              </w:tabs>
              <w:rPr>
                <w:lang w:val="es-ES"/>
              </w:rPr>
            </w:pPr>
            <w:r w:rsidRPr="001C12EF">
              <w:rPr>
                <w:lang w:val="es-ES"/>
              </w:rPr>
              <w:t>5</w:t>
            </w:r>
          </w:p>
        </w:tc>
        <w:tc>
          <w:tcPr>
            <w:tcW w:w="3296" w:type="pct"/>
          </w:tcPr>
          <w:p w14:paraId="0FA218CC" w14:textId="77777777" w:rsidR="000B5164" w:rsidRPr="001C12EF" w:rsidRDefault="000B5164" w:rsidP="001C12EF">
            <w:pPr>
              <w:tabs>
                <w:tab w:val="clear" w:pos="567"/>
                <w:tab w:val="left" w:pos="709"/>
              </w:tabs>
              <w:rPr>
                <w:lang w:val="es-ES"/>
              </w:rPr>
            </w:pPr>
            <w:r w:rsidRPr="001C12EF">
              <w:rPr>
                <w:lang w:val="es-ES"/>
              </w:rPr>
              <w:t xml:space="preserve">Primera serie de textos sometidos por la Comisión de Redacción en primera lectura (B1) </w:t>
            </w:r>
          </w:p>
        </w:tc>
        <w:tc>
          <w:tcPr>
            <w:tcW w:w="1475" w:type="pct"/>
          </w:tcPr>
          <w:p w14:paraId="589E14E3" w14:textId="77777777" w:rsidR="000B5164" w:rsidRPr="00AD729D" w:rsidRDefault="004A3CD7" w:rsidP="00A42041">
            <w:pPr>
              <w:tabs>
                <w:tab w:val="clear" w:pos="567"/>
                <w:tab w:val="left" w:pos="709"/>
              </w:tabs>
              <w:jc w:val="center"/>
              <w:rPr>
                <w:rFonts w:eastAsia="SimSun"/>
                <w:szCs w:val="24"/>
                <w:lang w:val="es-ES"/>
              </w:rPr>
            </w:pPr>
            <w:hyperlink r:id="rId10" w:history="1">
              <w:r w:rsidR="000B5164" w:rsidRPr="00AD729D">
                <w:rPr>
                  <w:rStyle w:val="Hyperlink"/>
                  <w:rFonts w:asciiTheme="minorHAnsi" w:hAnsiTheme="minorHAnsi" w:cstheme="minorBidi"/>
                  <w:szCs w:val="24"/>
                  <w:lang w:val="es-ES"/>
                </w:rPr>
                <w:t>123</w:t>
              </w:r>
            </w:hyperlink>
          </w:p>
        </w:tc>
      </w:tr>
      <w:tr w:rsidR="000B5164" w:rsidRPr="00AD729D" w14:paraId="540928C6" w14:textId="77777777" w:rsidTr="00F11816">
        <w:tc>
          <w:tcPr>
            <w:tcW w:w="229" w:type="pct"/>
          </w:tcPr>
          <w:p w14:paraId="268D09A5" w14:textId="77777777" w:rsidR="000B5164" w:rsidRPr="001C12EF" w:rsidRDefault="000B5164" w:rsidP="001C12EF">
            <w:pPr>
              <w:tabs>
                <w:tab w:val="clear" w:pos="567"/>
                <w:tab w:val="left" w:pos="709"/>
              </w:tabs>
              <w:rPr>
                <w:lang w:val="es-ES"/>
              </w:rPr>
            </w:pPr>
            <w:r w:rsidRPr="001C12EF">
              <w:rPr>
                <w:lang w:val="es-ES"/>
              </w:rPr>
              <w:t>6</w:t>
            </w:r>
          </w:p>
        </w:tc>
        <w:tc>
          <w:tcPr>
            <w:tcW w:w="3296" w:type="pct"/>
          </w:tcPr>
          <w:p w14:paraId="0BB7CE98" w14:textId="68420623" w:rsidR="000B5164" w:rsidRPr="001C12EF" w:rsidRDefault="000B5164" w:rsidP="001C12EF">
            <w:pPr>
              <w:tabs>
                <w:tab w:val="clear" w:pos="567"/>
                <w:tab w:val="left" w:pos="709"/>
              </w:tabs>
              <w:rPr>
                <w:lang w:val="es-ES"/>
              </w:rPr>
            </w:pPr>
            <w:r w:rsidRPr="001C12EF">
              <w:rPr>
                <w:lang w:val="es-ES"/>
              </w:rPr>
              <w:t>Primera serie de textos sometidos por la Comisión de Redacción</w:t>
            </w:r>
            <w:r w:rsidR="00407C03" w:rsidRPr="001C12EF">
              <w:rPr>
                <w:lang w:val="es-ES"/>
              </w:rPr>
              <w:t> </w:t>
            </w:r>
            <w:r w:rsidRPr="001C12EF">
              <w:rPr>
                <w:lang w:val="es-ES"/>
              </w:rPr>
              <w:t>– segunda lectura</w:t>
            </w:r>
          </w:p>
        </w:tc>
        <w:tc>
          <w:tcPr>
            <w:tcW w:w="1475" w:type="pct"/>
          </w:tcPr>
          <w:p w14:paraId="257D53EB" w14:textId="77777777" w:rsidR="000B5164" w:rsidRPr="00AD729D" w:rsidRDefault="004A3CD7" w:rsidP="00A42041">
            <w:pPr>
              <w:tabs>
                <w:tab w:val="clear" w:pos="567"/>
                <w:tab w:val="left" w:pos="709"/>
              </w:tabs>
              <w:jc w:val="center"/>
              <w:rPr>
                <w:rFonts w:eastAsia="SimSun"/>
                <w:szCs w:val="24"/>
                <w:lang w:val="es-ES"/>
              </w:rPr>
            </w:pPr>
            <w:hyperlink r:id="rId11" w:history="1">
              <w:r w:rsidR="000B5164" w:rsidRPr="00AD729D">
                <w:rPr>
                  <w:rStyle w:val="Hyperlink"/>
                  <w:rFonts w:asciiTheme="minorHAnsi" w:hAnsiTheme="minorHAnsi" w:cstheme="minorBidi"/>
                  <w:szCs w:val="24"/>
                  <w:lang w:val="es-ES"/>
                </w:rPr>
                <w:t>123</w:t>
              </w:r>
            </w:hyperlink>
          </w:p>
        </w:tc>
      </w:tr>
      <w:tr w:rsidR="000B5164" w:rsidRPr="00AD729D" w14:paraId="4DCE7EA4" w14:textId="77777777" w:rsidTr="00F11816">
        <w:tc>
          <w:tcPr>
            <w:tcW w:w="229" w:type="pct"/>
          </w:tcPr>
          <w:p w14:paraId="7E6E1BED" w14:textId="77777777" w:rsidR="000B5164" w:rsidRPr="001C12EF" w:rsidRDefault="000B5164" w:rsidP="001C12EF">
            <w:pPr>
              <w:tabs>
                <w:tab w:val="clear" w:pos="567"/>
                <w:tab w:val="left" w:pos="709"/>
              </w:tabs>
              <w:rPr>
                <w:lang w:val="es-ES"/>
              </w:rPr>
            </w:pPr>
            <w:r w:rsidRPr="001C12EF">
              <w:rPr>
                <w:lang w:val="es-ES"/>
              </w:rPr>
              <w:t>7</w:t>
            </w:r>
          </w:p>
        </w:tc>
        <w:tc>
          <w:tcPr>
            <w:tcW w:w="3296" w:type="pct"/>
          </w:tcPr>
          <w:p w14:paraId="613257CB" w14:textId="77777777" w:rsidR="000B5164" w:rsidRPr="001C12EF" w:rsidRDefault="000B5164" w:rsidP="001C12EF">
            <w:pPr>
              <w:tabs>
                <w:tab w:val="clear" w:pos="567"/>
                <w:tab w:val="left" w:pos="709"/>
              </w:tabs>
              <w:rPr>
                <w:lang w:val="es-ES"/>
              </w:rPr>
            </w:pPr>
            <w:r w:rsidRPr="001C12EF">
              <w:rPr>
                <w:lang w:val="es-ES"/>
              </w:rPr>
              <w:t>Segunda serie de textos sometidos por la Comisión de Redacción en primera lectura (B2)</w:t>
            </w:r>
          </w:p>
        </w:tc>
        <w:tc>
          <w:tcPr>
            <w:tcW w:w="1475" w:type="pct"/>
          </w:tcPr>
          <w:p w14:paraId="635EFAF5" w14:textId="77777777" w:rsidR="000B5164" w:rsidRPr="00AD729D" w:rsidRDefault="004A3CD7" w:rsidP="00A42041">
            <w:pPr>
              <w:tabs>
                <w:tab w:val="clear" w:pos="567"/>
                <w:tab w:val="left" w:pos="709"/>
              </w:tabs>
              <w:jc w:val="center"/>
              <w:rPr>
                <w:szCs w:val="24"/>
                <w:lang w:val="es-ES"/>
              </w:rPr>
            </w:pPr>
            <w:hyperlink r:id="rId12" w:history="1">
              <w:r w:rsidR="000B5164" w:rsidRPr="00AD729D">
                <w:rPr>
                  <w:rStyle w:val="Hyperlink"/>
                  <w:rFonts w:asciiTheme="minorHAnsi" w:hAnsiTheme="minorHAnsi" w:cstheme="minorBidi"/>
                  <w:szCs w:val="24"/>
                  <w:lang w:val="es-ES"/>
                </w:rPr>
                <w:t>124</w:t>
              </w:r>
            </w:hyperlink>
          </w:p>
        </w:tc>
      </w:tr>
      <w:tr w:rsidR="000B5164" w:rsidRPr="00AD729D" w14:paraId="51B006F0" w14:textId="77777777" w:rsidTr="00F11816">
        <w:tc>
          <w:tcPr>
            <w:tcW w:w="229" w:type="pct"/>
          </w:tcPr>
          <w:p w14:paraId="05DD3A2A" w14:textId="77777777" w:rsidR="000B5164" w:rsidRPr="001C12EF" w:rsidRDefault="000B5164" w:rsidP="001C12EF">
            <w:pPr>
              <w:tabs>
                <w:tab w:val="clear" w:pos="567"/>
                <w:tab w:val="left" w:pos="709"/>
              </w:tabs>
              <w:rPr>
                <w:lang w:val="es-ES"/>
              </w:rPr>
            </w:pPr>
            <w:r w:rsidRPr="001C12EF">
              <w:rPr>
                <w:lang w:val="es-ES"/>
              </w:rPr>
              <w:t>8</w:t>
            </w:r>
          </w:p>
        </w:tc>
        <w:tc>
          <w:tcPr>
            <w:tcW w:w="3296" w:type="pct"/>
          </w:tcPr>
          <w:p w14:paraId="130D15E8" w14:textId="69738DD0" w:rsidR="000B5164" w:rsidRPr="001C12EF" w:rsidRDefault="000B5164" w:rsidP="001C12EF">
            <w:pPr>
              <w:tabs>
                <w:tab w:val="clear" w:pos="567"/>
                <w:tab w:val="left" w:pos="709"/>
              </w:tabs>
              <w:rPr>
                <w:lang w:val="es-ES"/>
              </w:rPr>
            </w:pPr>
            <w:r w:rsidRPr="001C12EF">
              <w:rPr>
                <w:lang w:val="es-ES"/>
              </w:rPr>
              <w:t>Segunda serie de textos sometidos por la Comisión de Redacción</w:t>
            </w:r>
            <w:r w:rsidR="00407C03" w:rsidRPr="001C12EF">
              <w:rPr>
                <w:lang w:val="es-ES"/>
              </w:rPr>
              <w:t> </w:t>
            </w:r>
            <w:r w:rsidRPr="001C12EF">
              <w:rPr>
                <w:lang w:val="es-ES"/>
              </w:rPr>
              <w:t>– segunda lectura</w:t>
            </w:r>
          </w:p>
        </w:tc>
        <w:tc>
          <w:tcPr>
            <w:tcW w:w="1475" w:type="pct"/>
          </w:tcPr>
          <w:p w14:paraId="780E250B" w14:textId="77777777" w:rsidR="000B5164" w:rsidRPr="00AD729D" w:rsidRDefault="004A3CD7" w:rsidP="00A42041">
            <w:pPr>
              <w:tabs>
                <w:tab w:val="clear" w:pos="567"/>
                <w:tab w:val="left" w:pos="709"/>
              </w:tabs>
              <w:jc w:val="center"/>
              <w:rPr>
                <w:szCs w:val="24"/>
                <w:lang w:val="es-ES"/>
              </w:rPr>
            </w:pPr>
            <w:hyperlink r:id="rId13" w:history="1">
              <w:r w:rsidR="000B5164" w:rsidRPr="00AD729D">
                <w:rPr>
                  <w:rStyle w:val="Hyperlink"/>
                  <w:rFonts w:asciiTheme="minorHAnsi" w:hAnsiTheme="minorHAnsi" w:cstheme="minorBidi"/>
                  <w:szCs w:val="24"/>
                  <w:lang w:val="es-ES"/>
                </w:rPr>
                <w:t>124</w:t>
              </w:r>
            </w:hyperlink>
          </w:p>
        </w:tc>
      </w:tr>
      <w:tr w:rsidR="000B5164" w:rsidRPr="00AD729D" w14:paraId="5A8ED5AB" w14:textId="77777777" w:rsidTr="00F11816">
        <w:tc>
          <w:tcPr>
            <w:tcW w:w="229" w:type="pct"/>
          </w:tcPr>
          <w:p w14:paraId="69070D69" w14:textId="77777777" w:rsidR="000B5164" w:rsidRPr="001C12EF" w:rsidRDefault="000B5164" w:rsidP="001C12EF">
            <w:pPr>
              <w:tabs>
                <w:tab w:val="clear" w:pos="567"/>
                <w:tab w:val="left" w:pos="709"/>
              </w:tabs>
              <w:rPr>
                <w:lang w:val="es-ES"/>
              </w:rPr>
            </w:pPr>
            <w:r w:rsidRPr="001C12EF">
              <w:rPr>
                <w:lang w:val="es-ES"/>
              </w:rPr>
              <w:t>9</w:t>
            </w:r>
          </w:p>
        </w:tc>
        <w:tc>
          <w:tcPr>
            <w:tcW w:w="3296" w:type="pct"/>
          </w:tcPr>
          <w:p w14:paraId="4E9A6862" w14:textId="77777777" w:rsidR="000B5164" w:rsidRPr="001C12EF" w:rsidRDefault="000B5164" w:rsidP="001C12EF">
            <w:pPr>
              <w:tabs>
                <w:tab w:val="clear" w:pos="567"/>
                <w:tab w:val="left" w:pos="709"/>
              </w:tabs>
              <w:rPr>
                <w:lang w:val="es-ES"/>
              </w:rPr>
            </w:pPr>
            <w:r w:rsidRPr="001C12EF">
              <w:rPr>
                <w:lang w:val="es-ES"/>
              </w:rPr>
              <w:t>Tercera serie de textos sometidos por la Comisión de Redacción en primera lectura (B3)</w:t>
            </w:r>
          </w:p>
        </w:tc>
        <w:tc>
          <w:tcPr>
            <w:tcW w:w="1475" w:type="pct"/>
          </w:tcPr>
          <w:p w14:paraId="14A35F61" w14:textId="77777777" w:rsidR="000B5164" w:rsidRPr="00AD729D" w:rsidRDefault="004A3CD7" w:rsidP="00A42041">
            <w:pPr>
              <w:tabs>
                <w:tab w:val="clear" w:pos="567"/>
                <w:tab w:val="left" w:pos="709"/>
              </w:tabs>
              <w:jc w:val="center"/>
              <w:rPr>
                <w:szCs w:val="24"/>
                <w:lang w:val="es-ES"/>
              </w:rPr>
            </w:pPr>
            <w:hyperlink r:id="rId14" w:history="1">
              <w:r w:rsidR="000B5164" w:rsidRPr="00AD729D">
                <w:rPr>
                  <w:rStyle w:val="Hyperlink"/>
                  <w:rFonts w:asciiTheme="minorHAnsi" w:hAnsiTheme="minorHAnsi" w:cstheme="minorBidi"/>
                  <w:szCs w:val="24"/>
                  <w:lang w:val="es-ES"/>
                </w:rPr>
                <w:t>125</w:t>
              </w:r>
            </w:hyperlink>
          </w:p>
        </w:tc>
      </w:tr>
      <w:tr w:rsidR="000B5164" w:rsidRPr="00AD729D" w14:paraId="0E77F338" w14:textId="77777777" w:rsidTr="00F11816">
        <w:tc>
          <w:tcPr>
            <w:tcW w:w="229" w:type="pct"/>
          </w:tcPr>
          <w:p w14:paraId="34A7DB43" w14:textId="77777777" w:rsidR="000B5164" w:rsidRPr="001C12EF" w:rsidRDefault="000B5164" w:rsidP="001C12EF">
            <w:pPr>
              <w:tabs>
                <w:tab w:val="clear" w:pos="567"/>
                <w:tab w:val="left" w:pos="709"/>
              </w:tabs>
              <w:rPr>
                <w:lang w:val="es-ES"/>
              </w:rPr>
            </w:pPr>
            <w:r w:rsidRPr="001C12EF">
              <w:rPr>
                <w:lang w:val="es-ES"/>
              </w:rPr>
              <w:t>10</w:t>
            </w:r>
          </w:p>
        </w:tc>
        <w:tc>
          <w:tcPr>
            <w:tcW w:w="3296" w:type="pct"/>
          </w:tcPr>
          <w:p w14:paraId="26936086" w14:textId="4464E38A" w:rsidR="000B5164" w:rsidRPr="001C12EF" w:rsidRDefault="000B5164" w:rsidP="001C12EF">
            <w:pPr>
              <w:tabs>
                <w:tab w:val="clear" w:pos="567"/>
                <w:tab w:val="left" w:pos="709"/>
              </w:tabs>
              <w:rPr>
                <w:lang w:val="es-ES"/>
              </w:rPr>
            </w:pPr>
            <w:r w:rsidRPr="001C12EF">
              <w:rPr>
                <w:lang w:val="es-ES"/>
              </w:rPr>
              <w:t>Tercera serie de textos sometidos por la Comisión de Redacción</w:t>
            </w:r>
            <w:r w:rsidR="00407C03" w:rsidRPr="001C12EF">
              <w:rPr>
                <w:lang w:val="es-ES"/>
              </w:rPr>
              <w:t> </w:t>
            </w:r>
            <w:r w:rsidRPr="001C12EF">
              <w:rPr>
                <w:lang w:val="es-ES"/>
              </w:rPr>
              <w:t>–</w:t>
            </w:r>
            <w:r w:rsidR="00407C03" w:rsidRPr="001C12EF">
              <w:rPr>
                <w:lang w:val="es-ES"/>
              </w:rPr>
              <w:t> </w:t>
            </w:r>
            <w:r w:rsidRPr="001C12EF">
              <w:rPr>
                <w:lang w:val="es-ES"/>
              </w:rPr>
              <w:t>segunda lectura</w:t>
            </w:r>
          </w:p>
        </w:tc>
        <w:tc>
          <w:tcPr>
            <w:tcW w:w="1475" w:type="pct"/>
          </w:tcPr>
          <w:p w14:paraId="7EEABD95" w14:textId="77777777" w:rsidR="000B5164" w:rsidRPr="00AD729D" w:rsidRDefault="004A3CD7" w:rsidP="00A42041">
            <w:pPr>
              <w:tabs>
                <w:tab w:val="clear" w:pos="567"/>
                <w:tab w:val="left" w:pos="709"/>
              </w:tabs>
              <w:jc w:val="center"/>
              <w:rPr>
                <w:szCs w:val="24"/>
                <w:lang w:val="es-ES"/>
              </w:rPr>
            </w:pPr>
            <w:hyperlink r:id="rId15" w:history="1">
              <w:r w:rsidR="000B5164" w:rsidRPr="00AD729D">
                <w:rPr>
                  <w:rStyle w:val="Hyperlink"/>
                  <w:rFonts w:asciiTheme="minorHAnsi" w:hAnsiTheme="minorHAnsi" w:cstheme="minorBidi"/>
                  <w:szCs w:val="24"/>
                  <w:lang w:val="es-ES"/>
                </w:rPr>
                <w:t>125</w:t>
              </w:r>
            </w:hyperlink>
          </w:p>
        </w:tc>
      </w:tr>
      <w:tr w:rsidR="000B5164" w:rsidRPr="00AD729D" w14:paraId="0585C148" w14:textId="77777777" w:rsidTr="00F11816">
        <w:tc>
          <w:tcPr>
            <w:tcW w:w="229" w:type="pct"/>
          </w:tcPr>
          <w:p w14:paraId="2ABA6903" w14:textId="77777777" w:rsidR="000B5164" w:rsidRPr="001C12EF" w:rsidRDefault="000B5164" w:rsidP="001C12EF">
            <w:pPr>
              <w:tabs>
                <w:tab w:val="clear" w:pos="567"/>
                <w:tab w:val="left" w:pos="709"/>
              </w:tabs>
              <w:rPr>
                <w:lang w:val="es-ES"/>
              </w:rPr>
            </w:pPr>
            <w:r w:rsidRPr="001C12EF">
              <w:rPr>
                <w:lang w:val="es-ES"/>
              </w:rPr>
              <w:t>11</w:t>
            </w:r>
          </w:p>
        </w:tc>
        <w:tc>
          <w:tcPr>
            <w:tcW w:w="3296" w:type="pct"/>
          </w:tcPr>
          <w:p w14:paraId="4C5B5E5F" w14:textId="142EFCC3" w:rsidR="000B5164" w:rsidRPr="001C12EF" w:rsidRDefault="000B5164" w:rsidP="001C12EF">
            <w:pPr>
              <w:tabs>
                <w:tab w:val="clear" w:pos="567"/>
                <w:tab w:val="left" w:pos="709"/>
              </w:tabs>
              <w:rPr>
                <w:lang w:val="es-ES"/>
              </w:rPr>
            </w:pPr>
            <w:bookmarkStart w:id="7" w:name="_Hlk116049246"/>
            <w:r w:rsidRPr="001C12EF">
              <w:rPr>
                <w:lang w:val="es-ES"/>
              </w:rPr>
              <w:t>Anuncio del delegado de Rwanda relativo a la Conferencia Mundial de Radiocomunicaciones de 2027</w:t>
            </w:r>
            <w:bookmarkEnd w:id="7"/>
          </w:p>
        </w:tc>
        <w:tc>
          <w:tcPr>
            <w:tcW w:w="1475" w:type="pct"/>
          </w:tcPr>
          <w:p w14:paraId="68404AE2" w14:textId="63AC54D9" w:rsidR="000B5164" w:rsidRPr="001C12EF" w:rsidRDefault="001C12EF" w:rsidP="001C12EF">
            <w:pPr>
              <w:tabs>
                <w:tab w:val="clear" w:pos="567"/>
                <w:tab w:val="left" w:pos="709"/>
              </w:tabs>
              <w:jc w:val="center"/>
              <w:rPr>
                <w:lang w:val="es-ES"/>
              </w:rPr>
            </w:pPr>
            <w:r w:rsidRPr="001C12EF">
              <w:rPr>
                <w:lang w:val="es-ES"/>
              </w:rPr>
              <w:t>–</w:t>
            </w:r>
          </w:p>
        </w:tc>
      </w:tr>
    </w:tbl>
    <w:p w14:paraId="1C621A1C" w14:textId="77777777" w:rsidR="001C12EF" w:rsidRPr="001C12EF" w:rsidRDefault="00255FA1" w:rsidP="001C12EF">
      <w:pPr>
        <w:tabs>
          <w:tab w:val="clear" w:pos="567"/>
          <w:tab w:val="left" w:pos="709"/>
        </w:tabs>
      </w:pPr>
      <w:r w:rsidRPr="001C12EF">
        <w:br w:type="page"/>
      </w:r>
    </w:p>
    <w:p w14:paraId="6E0A63B9" w14:textId="07E448B6" w:rsidR="000B5164" w:rsidRPr="00AD729D" w:rsidRDefault="000B5164" w:rsidP="00A42041">
      <w:pPr>
        <w:pStyle w:val="Heading1"/>
        <w:tabs>
          <w:tab w:val="clear" w:pos="567"/>
          <w:tab w:val="left" w:pos="709"/>
        </w:tabs>
        <w:rPr>
          <w:lang w:val="es-ES"/>
        </w:rPr>
      </w:pPr>
      <w:r w:rsidRPr="00AD729D">
        <w:rPr>
          <w:lang w:val="es-ES"/>
        </w:rPr>
        <w:lastRenderedPageBreak/>
        <w:t>1</w:t>
      </w:r>
      <w:r w:rsidRPr="00AD729D">
        <w:rPr>
          <w:lang w:val="es-ES"/>
        </w:rPr>
        <w:tab/>
        <w:t>Carta del Gobierno del Estado de Qatar relativa a la Conferencia de Plenipotenciarios de 2026 (Documento</w:t>
      </w:r>
      <w:r w:rsidR="000806E2">
        <w:rPr>
          <w:lang w:val="es-ES"/>
        </w:rPr>
        <w:t> </w:t>
      </w:r>
      <w:hyperlink r:id="rId16" w:history="1">
        <w:r w:rsidRPr="00AD729D">
          <w:rPr>
            <w:rStyle w:val="Hyperlink"/>
            <w:sz w:val="26"/>
            <w:szCs w:val="26"/>
            <w:lang w:val="es-ES"/>
          </w:rPr>
          <w:t>58</w:t>
        </w:r>
      </w:hyperlink>
      <w:r w:rsidRPr="00AD729D">
        <w:rPr>
          <w:lang w:val="es-ES"/>
        </w:rPr>
        <w:t>)</w:t>
      </w:r>
    </w:p>
    <w:p w14:paraId="1FA09C1B" w14:textId="77777777" w:rsidR="000B5164" w:rsidRPr="001C12EF" w:rsidRDefault="000B5164" w:rsidP="001C12EF">
      <w:pPr>
        <w:tabs>
          <w:tab w:val="clear" w:pos="567"/>
          <w:tab w:val="left" w:pos="709"/>
        </w:tabs>
      </w:pPr>
      <w:r w:rsidRPr="001C12EF">
        <w:t>1.1</w:t>
      </w:r>
      <w:r w:rsidRPr="001C12EF">
        <w:tab/>
        <w:t xml:space="preserve">El </w:t>
      </w:r>
      <w:r w:rsidRPr="001C12EF">
        <w:rPr>
          <w:b/>
          <w:bCs/>
        </w:rPr>
        <w:t>delegado de Qatar</w:t>
      </w:r>
      <w:r w:rsidRPr="001C12EF">
        <w:t xml:space="preserve"> anuncia que el Gobierno de Qatar presentó una oferta oficial para acoger la Conferencia de Plenipotenciarios en 2026 (PP-26) (Documento 58). Al cierre de su intervención, reproduce una presentación en vídeo sobre Qatar como sede de conferencias internacionales.</w:t>
      </w:r>
    </w:p>
    <w:p w14:paraId="6F9180DC" w14:textId="68977826" w:rsidR="000B5164" w:rsidRPr="00AD729D" w:rsidRDefault="000B5164" w:rsidP="001C12EF">
      <w:pPr>
        <w:rPr>
          <w:bCs/>
          <w:lang w:val="es-ES"/>
        </w:rPr>
      </w:pPr>
      <w:r w:rsidRPr="00AD729D">
        <w:rPr>
          <w:lang w:val="es-ES"/>
        </w:rPr>
        <w:t>1.2</w:t>
      </w:r>
      <w:r w:rsidRPr="00AD729D">
        <w:rPr>
          <w:lang w:val="es-ES"/>
        </w:rPr>
        <w:tab/>
        <w:t xml:space="preserve">Los </w:t>
      </w:r>
      <w:r w:rsidRPr="001C12EF">
        <w:rPr>
          <w:b/>
          <w:bCs/>
          <w:lang w:val="es-ES"/>
        </w:rPr>
        <w:t>delegados del Brasil, Omán y Arabia Saudita</w:t>
      </w:r>
      <w:r w:rsidRPr="00AD729D">
        <w:rPr>
          <w:lang w:val="es-ES"/>
        </w:rPr>
        <w:t xml:space="preserve">, hablando en nombre del Grupo Árabe, la </w:t>
      </w:r>
      <w:r w:rsidRPr="006D00E6">
        <w:rPr>
          <w:b/>
          <w:bCs/>
          <w:lang w:val="es-ES"/>
        </w:rPr>
        <w:t xml:space="preserve">Federación </w:t>
      </w:r>
      <w:r w:rsidR="006D00E6" w:rsidRPr="006D00E6">
        <w:rPr>
          <w:b/>
          <w:bCs/>
          <w:lang w:val="es-ES"/>
        </w:rPr>
        <w:t xml:space="preserve">de </w:t>
      </w:r>
      <w:r w:rsidRPr="006D00E6">
        <w:rPr>
          <w:b/>
          <w:bCs/>
          <w:lang w:val="es-ES"/>
        </w:rPr>
        <w:t>Rus</w:t>
      </w:r>
      <w:r w:rsidR="006D00E6" w:rsidRPr="006D00E6">
        <w:rPr>
          <w:b/>
          <w:bCs/>
          <w:lang w:val="es-ES"/>
        </w:rPr>
        <w:t>i</w:t>
      </w:r>
      <w:r w:rsidRPr="006D00E6">
        <w:rPr>
          <w:b/>
          <w:bCs/>
          <w:lang w:val="es-ES"/>
        </w:rPr>
        <w:t>a</w:t>
      </w:r>
      <w:r w:rsidRPr="00AD729D">
        <w:rPr>
          <w:lang w:val="es-ES"/>
        </w:rPr>
        <w:t xml:space="preserve">, hablando en nombre de la Comunidad Regional de Comunicaciones (CRC), </w:t>
      </w:r>
      <w:r w:rsidRPr="001C12EF">
        <w:rPr>
          <w:b/>
          <w:bCs/>
          <w:lang w:val="es-ES"/>
        </w:rPr>
        <w:t xml:space="preserve">la India, Sudáfrica, Gambia, Samoa, Azerbaiyán, Tanzanía, México </w:t>
      </w:r>
      <w:r w:rsidRPr="006D00E6">
        <w:rPr>
          <w:lang w:val="es-ES"/>
        </w:rPr>
        <w:t>y</w:t>
      </w:r>
      <w:r w:rsidRPr="001C12EF">
        <w:rPr>
          <w:b/>
          <w:bCs/>
          <w:lang w:val="es-ES"/>
        </w:rPr>
        <w:t xml:space="preserve"> Zimbabwe</w:t>
      </w:r>
      <w:r w:rsidRPr="00AD729D">
        <w:rPr>
          <w:lang w:val="es-ES"/>
        </w:rPr>
        <w:t xml:space="preserve"> acogen con satisfacción la oferta de Qatar de acoger la PP-26.</w:t>
      </w:r>
    </w:p>
    <w:p w14:paraId="3C097BF2" w14:textId="77777777" w:rsidR="000B5164" w:rsidRPr="001C12EF" w:rsidRDefault="000B5164" w:rsidP="00A42041">
      <w:pPr>
        <w:tabs>
          <w:tab w:val="clear" w:pos="567"/>
          <w:tab w:val="left" w:pos="709"/>
        </w:tabs>
      </w:pPr>
      <w:r w:rsidRPr="001C12EF">
        <w:t>1.3</w:t>
      </w:r>
      <w:r w:rsidRPr="001C12EF">
        <w:tab/>
        <w:t xml:space="preserve">El </w:t>
      </w:r>
      <w:r w:rsidRPr="001C12EF">
        <w:rPr>
          <w:b/>
          <w:bCs/>
        </w:rPr>
        <w:t>Presidente</w:t>
      </w:r>
      <w:r w:rsidRPr="001C12EF">
        <w:t xml:space="preserve"> dice que entiende que la Plenaria aprueba la propuesta de que la próxima Conferencia de Plenipotenciarios se celebre en Doha (Qatar) en 2026, y que esta información se incluirá en la revisión de la Resolución 77 (Rev. Dubái, 2018).</w:t>
      </w:r>
    </w:p>
    <w:p w14:paraId="52E4CEDA" w14:textId="77777777" w:rsidR="000B5164" w:rsidRPr="001C12EF" w:rsidRDefault="000B5164" w:rsidP="00A42041">
      <w:pPr>
        <w:tabs>
          <w:tab w:val="clear" w:pos="567"/>
          <w:tab w:val="left" w:pos="709"/>
        </w:tabs>
      </w:pPr>
      <w:r w:rsidRPr="001C12EF">
        <w:t>1.4</w:t>
      </w:r>
      <w:r w:rsidRPr="001C12EF">
        <w:tab/>
        <w:t xml:space="preserve">Así </w:t>
      </w:r>
      <w:r w:rsidRPr="001C12EF">
        <w:rPr>
          <w:b/>
          <w:bCs/>
        </w:rPr>
        <w:t>se acuerda</w:t>
      </w:r>
      <w:r w:rsidRPr="001C12EF">
        <w:t>.</w:t>
      </w:r>
    </w:p>
    <w:p w14:paraId="2EE0562A" w14:textId="15E94391" w:rsidR="000B5164" w:rsidRPr="001C12EF" w:rsidRDefault="000B5164" w:rsidP="00A42041">
      <w:pPr>
        <w:tabs>
          <w:tab w:val="clear" w:pos="567"/>
          <w:tab w:val="left" w:pos="709"/>
        </w:tabs>
      </w:pPr>
      <w:r w:rsidRPr="001C12EF">
        <w:t>1.5</w:t>
      </w:r>
      <w:r w:rsidRPr="001C12EF">
        <w:tab/>
        <w:t xml:space="preserve">El </w:t>
      </w:r>
      <w:r w:rsidRPr="001C12EF">
        <w:rPr>
          <w:b/>
          <w:bCs/>
        </w:rPr>
        <w:t>Secretario General</w:t>
      </w:r>
      <w:r w:rsidRPr="001C12EF">
        <w:t xml:space="preserve"> acoge con satisfacción la decisión unánime de la Plenaria de aceptar la propuesta de Qatar de acoger la Conferencia de Plenipotenciarios en 2026, que es un año clave en el camino hacia la consecución de los objetivos de la Agenda Conectar 2030. Está seguro de que el Gobierno de Qatar, gracias a su amplia experiencia acogiendo conferencias internacionales, incluidos eventos de la UIT, llevará la Conferencia a buen puerto.</w:t>
      </w:r>
    </w:p>
    <w:p w14:paraId="6F566258" w14:textId="77777777" w:rsidR="000B5164" w:rsidRPr="00660F81" w:rsidRDefault="000B5164" w:rsidP="00A42041">
      <w:pPr>
        <w:pStyle w:val="Heading1"/>
        <w:tabs>
          <w:tab w:val="clear" w:pos="567"/>
          <w:tab w:val="left" w:pos="709"/>
        </w:tabs>
      </w:pPr>
      <w:r w:rsidRPr="00AD729D">
        <w:rPr>
          <w:lang w:val="es-ES"/>
        </w:rPr>
        <w:t>2</w:t>
      </w:r>
      <w:r w:rsidRPr="00AD729D">
        <w:rPr>
          <w:lang w:val="es-ES"/>
        </w:rPr>
        <w:tab/>
        <w:t>Fecha de toma de posesión del cargo de los funcionarios electos y ceremonia de juramento</w:t>
      </w:r>
    </w:p>
    <w:p w14:paraId="6007C90C" w14:textId="77777777" w:rsidR="000B5164" w:rsidRPr="001C12EF" w:rsidRDefault="000B5164" w:rsidP="00A42041">
      <w:pPr>
        <w:tabs>
          <w:tab w:val="clear" w:pos="567"/>
          <w:tab w:val="left" w:pos="709"/>
        </w:tabs>
      </w:pPr>
      <w:r w:rsidRPr="001C12EF">
        <w:t>2.1</w:t>
      </w:r>
      <w:r w:rsidRPr="001C12EF">
        <w:tab/>
      </w:r>
      <w:bookmarkStart w:id="8" w:name="_Hlk116046066"/>
      <w:r w:rsidRPr="001C12EF">
        <w:t xml:space="preserve">El </w:t>
      </w:r>
      <w:r w:rsidRPr="001C12EF">
        <w:rPr>
          <w:b/>
          <w:bCs/>
        </w:rPr>
        <w:t>Presidente</w:t>
      </w:r>
      <w:r w:rsidRPr="001C12EF">
        <w:t>, haciendo referencia al número 13 del Convenio, dice que se propone que los funcionarios electos tomen posesión de su cargo el 1 de enero de 2023</w:t>
      </w:r>
      <w:bookmarkEnd w:id="8"/>
      <w:r w:rsidRPr="001C12EF">
        <w:t>.</w:t>
      </w:r>
    </w:p>
    <w:p w14:paraId="25B8AD99" w14:textId="5C33A515" w:rsidR="000B5164" w:rsidRPr="001C12EF" w:rsidRDefault="000B5164" w:rsidP="00A42041">
      <w:pPr>
        <w:tabs>
          <w:tab w:val="clear" w:pos="567"/>
          <w:tab w:val="left" w:pos="709"/>
        </w:tabs>
      </w:pPr>
      <w:r w:rsidRPr="001C12EF">
        <w:t>2.2</w:t>
      </w:r>
      <w:r w:rsidRPr="001C12EF">
        <w:tab/>
        <w:t xml:space="preserve">Así </w:t>
      </w:r>
      <w:r w:rsidRPr="001C12EF">
        <w:rPr>
          <w:b/>
          <w:bCs/>
        </w:rPr>
        <w:t>se acuerda</w:t>
      </w:r>
      <w:r w:rsidRPr="001C12EF">
        <w:t>.</w:t>
      </w:r>
    </w:p>
    <w:p w14:paraId="38E89110" w14:textId="77777777" w:rsidR="000B5164" w:rsidRPr="001C12EF" w:rsidRDefault="000B5164" w:rsidP="00A42041">
      <w:pPr>
        <w:tabs>
          <w:tab w:val="clear" w:pos="567"/>
          <w:tab w:val="left" w:pos="709"/>
        </w:tabs>
      </w:pPr>
      <w:r w:rsidRPr="001C12EF">
        <w:t>2.3</w:t>
      </w:r>
      <w:r w:rsidRPr="001C12EF">
        <w:tab/>
        <w:t xml:space="preserve">El </w:t>
      </w:r>
      <w:r w:rsidRPr="001C12EF">
        <w:rPr>
          <w:b/>
          <w:bCs/>
        </w:rPr>
        <w:t>Presidente</w:t>
      </w:r>
      <w:r w:rsidRPr="001C12EF">
        <w:t xml:space="preserve"> invita a la Secretaria General electa, al Vicesecretario General electo, al Director de la BR y a los Directores electos de la TSB y la BDT a prestar juramento.</w:t>
      </w:r>
    </w:p>
    <w:p w14:paraId="4D11DB6B" w14:textId="6584C6C9" w:rsidR="000B5164" w:rsidRPr="001C12EF" w:rsidRDefault="000B5164" w:rsidP="00A42041">
      <w:pPr>
        <w:tabs>
          <w:tab w:val="clear" w:pos="567"/>
          <w:tab w:val="left" w:pos="709"/>
        </w:tabs>
      </w:pPr>
      <w:r w:rsidRPr="001C12EF">
        <w:t>2.4</w:t>
      </w:r>
      <w:r w:rsidRPr="001C12EF">
        <w:tab/>
        <w:t xml:space="preserve">La </w:t>
      </w:r>
      <w:r w:rsidRPr="001C12EF">
        <w:rPr>
          <w:b/>
          <w:bCs/>
        </w:rPr>
        <w:t>Secretaria General electa</w:t>
      </w:r>
      <w:r w:rsidRPr="001C12EF">
        <w:t xml:space="preserve">, </w:t>
      </w:r>
      <w:r w:rsidR="009017C7">
        <w:t>e</w:t>
      </w:r>
      <w:r w:rsidRPr="001C12EF">
        <w:t xml:space="preserve">l </w:t>
      </w:r>
      <w:r w:rsidRPr="001C12EF">
        <w:rPr>
          <w:b/>
          <w:bCs/>
        </w:rPr>
        <w:t>Vicesecretario General electo</w:t>
      </w:r>
      <w:r w:rsidRPr="001C12EF">
        <w:t xml:space="preserve">, </w:t>
      </w:r>
      <w:r w:rsidR="009017C7">
        <w:t>e</w:t>
      </w:r>
      <w:r w:rsidRPr="001C12EF">
        <w:t xml:space="preserve">l </w:t>
      </w:r>
      <w:r w:rsidRPr="001C12EF">
        <w:rPr>
          <w:b/>
          <w:bCs/>
        </w:rPr>
        <w:t>Director de la BR</w:t>
      </w:r>
      <w:r w:rsidRPr="001C12EF">
        <w:t xml:space="preserve"> y los </w:t>
      </w:r>
      <w:r w:rsidRPr="001C12EF">
        <w:rPr>
          <w:b/>
          <w:bCs/>
        </w:rPr>
        <w:t>Directores electos de la TSB</w:t>
      </w:r>
      <w:r w:rsidRPr="001C12EF">
        <w:t xml:space="preserve"> y </w:t>
      </w:r>
      <w:r w:rsidRPr="009017C7">
        <w:rPr>
          <w:b/>
          <w:bCs/>
        </w:rPr>
        <w:t xml:space="preserve">la </w:t>
      </w:r>
      <w:r w:rsidRPr="001C12EF">
        <w:rPr>
          <w:b/>
          <w:bCs/>
        </w:rPr>
        <w:t>BDT</w:t>
      </w:r>
      <w:r w:rsidRPr="001C12EF">
        <w:t xml:space="preserve"> prestan el siguiente juramento del cargo:</w:t>
      </w:r>
    </w:p>
    <w:p w14:paraId="411B7216" w14:textId="0EB7781C" w:rsidR="000B5164" w:rsidRPr="00AD729D" w:rsidRDefault="00407C03" w:rsidP="009017C7">
      <w:pPr>
        <w:tabs>
          <w:tab w:val="clear" w:pos="567"/>
          <w:tab w:val="left" w:pos="709"/>
        </w:tabs>
        <w:ind w:left="709"/>
        <w:rPr>
          <w:lang w:val="es-ES"/>
        </w:rPr>
      </w:pPr>
      <w:r w:rsidRPr="00AD729D">
        <w:rPr>
          <w:lang w:val="es-ES"/>
        </w:rPr>
        <w:t>"</w:t>
      </w:r>
      <w:r w:rsidR="000B5164" w:rsidRPr="00AD729D">
        <w:rPr>
          <w:lang w:val="es-ES"/>
        </w:rPr>
        <w:t>Me comprometo solemnemente a ejercer con toda lealtad, discreción y conciencia las funciones que se me confían como funcionario de la Unión Internacional de Telecomunicaciones, desempeñar estas funciones y ajustar mi conducta teniendo en cuenta exclusivamente los intereses de la Unión, y no solicitar ni aceptar instrucciones de ningún gobierno u otra autoridad ajena a la Unión, en lo que concierne al cumplimiento de mis deberes</w:t>
      </w:r>
      <w:r w:rsidRPr="00AD729D">
        <w:rPr>
          <w:lang w:val="es-ES"/>
        </w:rPr>
        <w:t>"</w:t>
      </w:r>
      <w:r w:rsidR="009017C7">
        <w:rPr>
          <w:lang w:val="es-ES"/>
        </w:rPr>
        <w:t>.</w:t>
      </w:r>
    </w:p>
    <w:p w14:paraId="54F48424" w14:textId="55785FEB" w:rsidR="000B5164" w:rsidRPr="001C12EF" w:rsidRDefault="000B5164" w:rsidP="00A42041">
      <w:pPr>
        <w:tabs>
          <w:tab w:val="clear" w:pos="567"/>
          <w:tab w:val="left" w:pos="709"/>
        </w:tabs>
      </w:pPr>
      <w:r w:rsidRPr="001C12EF">
        <w:t>2.5</w:t>
      </w:r>
      <w:r w:rsidRPr="001C12EF">
        <w:tab/>
        <w:t xml:space="preserve">El </w:t>
      </w:r>
      <w:r w:rsidRPr="001C12EF">
        <w:rPr>
          <w:b/>
          <w:bCs/>
        </w:rPr>
        <w:t>Presidente</w:t>
      </w:r>
      <w:r w:rsidRPr="001C12EF">
        <w:t xml:space="preserve"> entrega a la Secretaria General, al Vicesecretario General, al Director de la</w:t>
      </w:r>
      <w:r w:rsidR="001C12EF">
        <w:t> </w:t>
      </w:r>
      <w:r w:rsidRPr="001C12EF">
        <w:t>BDT y al Director de la TSB electos sus correspondientes cartas de nombramiento, y al Director de la BR su carta de nuevo nombramiento.</w:t>
      </w:r>
    </w:p>
    <w:p w14:paraId="437E443A" w14:textId="77777777" w:rsidR="000B5164" w:rsidRPr="00660F81" w:rsidRDefault="000B5164" w:rsidP="00A42041">
      <w:pPr>
        <w:pStyle w:val="Heading1"/>
        <w:tabs>
          <w:tab w:val="clear" w:pos="567"/>
          <w:tab w:val="left" w:pos="709"/>
        </w:tabs>
      </w:pPr>
      <w:r w:rsidRPr="00AD729D">
        <w:rPr>
          <w:lang w:val="es-ES"/>
        </w:rPr>
        <w:lastRenderedPageBreak/>
        <w:t>3</w:t>
      </w:r>
      <w:r w:rsidRPr="00AD729D">
        <w:rPr>
          <w:lang w:val="es-ES"/>
        </w:rPr>
        <w:tab/>
        <w:t>Fecha de toma de posesión del cargo de los miembros electos de la Junta del Reglamento de Radiocomunicaciones</w:t>
      </w:r>
    </w:p>
    <w:p w14:paraId="5E0C352B" w14:textId="77777777" w:rsidR="000B5164" w:rsidRPr="001C12EF" w:rsidRDefault="000B5164" w:rsidP="00A42041">
      <w:pPr>
        <w:tabs>
          <w:tab w:val="clear" w:pos="567"/>
          <w:tab w:val="left" w:pos="709"/>
        </w:tabs>
      </w:pPr>
      <w:r w:rsidRPr="001C12EF">
        <w:t>3.1</w:t>
      </w:r>
      <w:r w:rsidRPr="001C12EF">
        <w:tab/>
        <w:t xml:space="preserve">El </w:t>
      </w:r>
      <w:r w:rsidRPr="001C12EF">
        <w:rPr>
          <w:b/>
          <w:bCs/>
        </w:rPr>
        <w:t>Presidente</w:t>
      </w:r>
      <w:r w:rsidRPr="001C12EF">
        <w:t>, haciendo referencia al número 20 del Convenio, dice que se propone que los miembros electos de la RRB tomen posesión de su cargo el 1 de enero de 2023.</w:t>
      </w:r>
    </w:p>
    <w:p w14:paraId="15609322" w14:textId="77777777" w:rsidR="000B5164" w:rsidRPr="001C12EF" w:rsidRDefault="000B5164" w:rsidP="00A42041">
      <w:pPr>
        <w:tabs>
          <w:tab w:val="clear" w:pos="567"/>
          <w:tab w:val="left" w:pos="709"/>
        </w:tabs>
      </w:pPr>
      <w:r w:rsidRPr="001C12EF">
        <w:t>3.2</w:t>
      </w:r>
      <w:r w:rsidRPr="001C12EF">
        <w:tab/>
        <w:t xml:space="preserve">Así </w:t>
      </w:r>
      <w:r w:rsidRPr="001C12EF">
        <w:rPr>
          <w:b/>
          <w:bCs/>
        </w:rPr>
        <w:t>se acuerda</w:t>
      </w:r>
      <w:r w:rsidRPr="001C12EF">
        <w:t>.</w:t>
      </w:r>
    </w:p>
    <w:p w14:paraId="34F93108" w14:textId="77777777" w:rsidR="000B5164" w:rsidRPr="00660F81" w:rsidRDefault="000B5164" w:rsidP="00A42041">
      <w:pPr>
        <w:pStyle w:val="Heading1"/>
        <w:tabs>
          <w:tab w:val="clear" w:pos="567"/>
          <w:tab w:val="left" w:pos="709"/>
        </w:tabs>
      </w:pPr>
      <w:r w:rsidRPr="00AD729D">
        <w:rPr>
          <w:lang w:val="es-ES"/>
        </w:rPr>
        <w:t>4</w:t>
      </w:r>
      <w:r w:rsidRPr="00AD729D">
        <w:rPr>
          <w:lang w:val="es-ES"/>
        </w:rPr>
        <w:tab/>
        <w:t>Entrega de medallas de plata de la UIT a los miembros salientes de la Junta del Reglamento de Radiocomunicaciones</w:t>
      </w:r>
    </w:p>
    <w:p w14:paraId="56DAC3CA" w14:textId="32256574" w:rsidR="000B5164" w:rsidRPr="001C12EF" w:rsidRDefault="000B5164" w:rsidP="001C12EF">
      <w:pPr>
        <w:tabs>
          <w:tab w:val="clear" w:pos="567"/>
          <w:tab w:val="left" w:pos="709"/>
        </w:tabs>
      </w:pPr>
      <w:r w:rsidRPr="001C12EF">
        <w:t>4.1</w:t>
      </w:r>
      <w:r w:rsidRPr="001C12EF">
        <w:tab/>
        <w:t xml:space="preserve">El </w:t>
      </w:r>
      <w:r w:rsidRPr="001C12EF">
        <w:rPr>
          <w:b/>
          <w:bCs/>
        </w:rPr>
        <w:t>Secretario General</w:t>
      </w:r>
      <w:r w:rsidRPr="001C12EF">
        <w:t xml:space="preserve"> entrega un certificado de reconocimiento y la medalla de plata de la</w:t>
      </w:r>
      <w:r w:rsidR="001C12EF">
        <w:t> </w:t>
      </w:r>
      <w:r w:rsidRPr="001C12EF">
        <w:t>UIT a los siguientes miembros salientes de la RRB presentes en la Conferencia, en reconocimiento de su ardua labor y su dedicación: Sr. Tariq Alamri (Arabia Saudita), Sra.</w:t>
      </w:r>
      <w:r w:rsidR="000806E2">
        <w:t> </w:t>
      </w:r>
      <w:r w:rsidRPr="001C12EF">
        <w:t>Lilian Jeanty (Países Bajos), Sr.</w:t>
      </w:r>
      <w:r w:rsidR="000806E2">
        <w:t> </w:t>
      </w:r>
      <w:r w:rsidRPr="001C12EF">
        <w:t>Samuel Mandla Mchunu (Sudáfrica), Sr.</w:t>
      </w:r>
      <w:r w:rsidR="000806E2">
        <w:t> </w:t>
      </w:r>
      <w:r w:rsidRPr="001C12EF">
        <w:t>Doan Quang Hoan (Viet</w:t>
      </w:r>
      <w:r w:rsidR="000806E2">
        <w:t> </w:t>
      </w:r>
      <w:r w:rsidRPr="001C12EF">
        <w:t>Nam) y Sr.</w:t>
      </w:r>
      <w:r w:rsidR="000806E2">
        <w:t> </w:t>
      </w:r>
      <w:r w:rsidRPr="001C12EF">
        <w:t>Nikolay Varlamov (Federación de Rusia). Asimismo, se entregarán certificados de reconocimiento y medallas de plata al Sr.</w:t>
      </w:r>
      <w:r w:rsidR="000806E2">
        <w:t> </w:t>
      </w:r>
      <w:r w:rsidRPr="001C12EF">
        <w:t>Luis Fernando Borjón Figueroa (México) y al Sr.</w:t>
      </w:r>
      <w:r w:rsidR="000806E2">
        <w:t> </w:t>
      </w:r>
      <w:r w:rsidRPr="001C12EF">
        <w:t>Akira Hashimoto (Japón) al final de la reunión en curso de la Junta.</w:t>
      </w:r>
    </w:p>
    <w:p w14:paraId="21960BF4" w14:textId="2C6A9AD1" w:rsidR="000B5164" w:rsidRPr="00660F81" w:rsidRDefault="000B5164" w:rsidP="00A42041">
      <w:pPr>
        <w:pStyle w:val="Heading1"/>
        <w:tabs>
          <w:tab w:val="clear" w:pos="567"/>
          <w:tab w:val="left" w:pos="709"/>
        </w:tabs>
      </w:pPr>
      <w:r w:rsidRPr="00AD729D">
        <w:rPr>
          <w:lang w:val="es-ES"/>
        </w:rPr>
        <w:t>5</w:t>
      </w:r>
      <w:r w:rsidRPr="00AD729D">
        <w:rPr>
          <w:lang w:val="es-ES"/>
        </w:rPr>
        <w:tab/>
        <w:t xml:space="preserve">Primera serie de textos sometidos por la Comisión de Redacción en primera lectura (B1) </w:t>
      </w:r>
      <w:bookmarkStart w:id="9" w:name="_Hlk116048848"/>
      <w:r w:rsidRPr="00AD729D">
        <w:rPr>
          <w:lang w:val="es-ES"/>
        </w:rPr>
        <w:t>(Documento</w:t>
      </w:r>
      <w:r w:rsidR="000806E2">
        <w:rPr>
          <w:lang w:val="es-ES"/>
        </w:rPr>
        <w:t> </w:t>
      </w:r>
      <w:hyperlink r:id="rId17" w:history="1">
        <w:r w:rsidRPr="00AD729D">
          <w:rPr>
            <w:rStyle w:val="Hyperlink"/>
            <w:sz w:val="26"/>
            <w:szCs w:val="26"/>
            <w:lang w:val="es-ES"/>
          </w:rPr>
          <w:t>12</w:t>
        </w:r>
        <w:r w:rsidRPr="00AD729D">
          <w:rPr>
            <w:rStyle w:val="Hyperlink"/>
            <w:sz w:val="26"/>
            <w:szCs w:val="26"/>
            <w:lang w:val="es-ES"/>
          </w:rPr>
          <w:t>3</w:t>
        </w:r>
      </w:hyperlink>
      <w:r w:rsidRPr="00AD729D">
        <w:rPr>
          <w:lang w:val="es-ES"/>
        </w:rPr>
        <w:t>)</w:t>
      </w:r>
    </w:p>
    <w:p w14:paraId="145554E1" w14:textId="00AC6903" w:rsidR="000B5164" w:rsidRPr="000806E2" w:rsidRDefault="000B5164" w:rsidP="000806E2">
      <w:pPr>
        <w:tabs>
          <w:tab w:val="clear" w:pos="567"/>
          <w:tab w:val="left" w:pos="709"/>
        </w:tabs>
        <w:rPr>
          <w:b/>
          <w:bCs/>
        </w:rPr>
      </w:pPr>
      <w:bookmarkStart w:id="10" w:name="_Hlk115860693"/>
      <w:bookmarkEnd w:id="9"/>
      <w:r w:rsidRPr="000806E2">
        <w:rPr>
          <w:b/>
          <w:bCs/>
        </w:rPr>
        <w:t>Proyecto de Resolución</w:t>
      </w:r>
      <w:r w:rsidR="000806E2">
        <w:rPr>
          <w:b/>
          <w:bCs/>
        </w:rPr>
        <w:t> </w:t>
      </w:r>
      <w:r w:rsidRPr="000806E2">
        <w:rPr>
          <w:b/>
          <w:bCs/>
        </w:rPr>
        <w:t xml:space="preserve">135 (Rev. Bucarest, 2022) </w:t>
      </w:r>
      <w:r w:rsidR="000F68AB" w:rsidRPr="000806E2">
        <w:rPr>
          <w:b/>
          <w:bCs/>
        </w:rPr>
        <w:t>–</w:t>
      </w:r>
      <w:r w:rsidRPr="000806E2">
        <w:rPr>
          <w:b/>
          <w:bCs/>
        </w:rPr>
        <w:t xml:space="preserve"> Función de la UIT en el desarrollo duradero y sostenible de las telecomunicaciones/tecnologías de la información y la comunicación, en la prestación de asistencia y asesoramiento técnicos a los países en desarrollo y en la ejecución de proyectos nacionales, regionales e interregionales pertinentes</w:t>
      </w:r>
    </w:p>
    <w:bookmarkEnd w:id="10"/>
    <w:p w14:paraId="28A5E8EC" w14:textId="77777777" w:rsidR="000B5164" w:rsidRPr="001C12EF" w:rsidRDefault="000B5164" w:rsidP="001C12EF">
      <w:pPr>
        <w:tabs>
          <w:tab w:val="clear" w:pos="567"/>
          <w:tab w:val="left" w:pos="709"/>
        </w:tabs>
      </w:pPr>
      <w:r w:rsidRPr="001C12EF">
        <w:t>5.1</w:t>
      </w:r>
      <w:r w:rsidRPr="001C12EF">
        <w:tab/>
      </w:r>
      <w:r w:rsidRPr="001C12EF">
        <w:rPr>
          <w:b/>
          <w:bCs/>
        </w:rPr>
        <w:t>Se adopta</w:t>
      </w:r>
      <w:r w:rsidRPr="001C12EF">
        <w:t>.</w:t>
      </w:r>
    </w:p>
    <w:p w14:paraId="7FE56D83" w14:textId="77777777" w:rsidR="000B5164" w:rsidRPr="001C12EF" w:rsidRDefault="000B5164" w:rsidP="001C12EF">
      <w:pPr>
        <w:tabs>
          <w:tab w:val="clear" w:pos="567"/>
          <w:tab w:val="left" w:pos="709"/>
        </w:tabs>
      </w:pPr>
      <w:r w:rsidRPr="001C12EF">
        <w:t>5.2</w:t>
      </w:r>
      <w:r w:rsidRPr="001C12EF">
        <w:tab/>
      </w:r>
      <w:r w:rsidRPr="001C12EF">
        <w:rPr>
          <w:b/>
          <w:bCs/>
        </w:rPr>
        <w:t>Se aprueba</w:t>
      </w:r>
      <w:r w:rsidRPr="001C12EF">
        <w:t xml:space="preserve"> en primera lectura la primera serie de textos sometidos por la Comisión de Redacción (B1) (Documento 123).</w:t>
      </w:r>
    </w:p>
    <w:p w14:paraId="1FA73B3E" w14:textId="2207C276" w:rsidR="000B5164" w:rsidRPr="00660F81" w:rsidRDefault="000B5164" w:rsidP="00A42041">
      <w:pPr>
        <w:pStyle w:val="Heading1"/>
        <w:tabs>
          <w:tab w:val="clear" w:pos="567"/>
          <w:tab w:val="left" w:pos="709"/>
        </w:tabs>
      </w:pPr>
      <w:r w:rsidRPr="00AD729D">
        <w:rPr>
          <w:lang w:val="es-ES"/>
        </w:rPr>
        <w:t>6</w:t>
      </w:r>
      <w:r w:rsidRPr="00AD729D">
        <w:rPr>
          <w:lang w:val="es-ES"/>
        </w:rPr>
        <w:tab/>
        <w:t>Primera serie de textos sometidos por la Comisión de Redacción – segunda lectura (Documento</w:t>
      </w:r>
      <w:r w:rsidR="000806E2">
        <w:rPr>
          <w:lang w:val="es-ES"/>
        </w:rPr>
        <w:t> </w:t>
      </w:r>
      <w:hyperlink r:id="rId18" w:history="1">
        <w:r w:rsidRPr="00AD729D">
          <w:rPr>
            <w:rStyle w:val="Hyperlink"/>
            <w:sz w:val="26"/>
            <w:szCs w:val="26"/>
            <w:lang w:val="es-ES"/>
          </w:rPr>
          <w:t>123</w:t>
        </w:r>
      </w:hyperlink>
      <w:r w:rsidRPr="00AD729D">
        <w:rPr>
          <w:lang w:val="es-ES"/>
        </w:rPr>
        <w:t>)</w:t>
      </w:r>
    </w:p>
    <w:p w14:paraId="6D988EB7" w14:textId="77777777" w:rsidR="000B5164" w:rsidRPr="001C12EF" w:rsidRDefault="000B5164" w:rsidP="00A42041">
      <w:pPr>
        <w:tabs>
          <w:tab w:val="clear" w:pos="567"/>
          <w:tab w:val="left" w:pos="709"/>
        </w:tabs>
      </w:pPr>
      <w:r w:rsidRPr="001C12EF">
        <w:t>6.1</w:t>
      </w:r>
      <w:r w:rsidRPr="001C12EF">
        <w:tab/>
      </w:r>
      <w:r w:rsidRPr="001C12EF">
        <w:rPr>
          <w:b/>
          <w:bCs/>
        </w:rPr>
        <w:t>Se aprueba</w:t>
      </w:r>
      <w:r w:rsidRPr="001C12EF">
        <w:t xml:space="preserve"> en segunda lectura la primera serie de textos sometidos por la Comisión de Redacción (Documento 123).</w:t>
      </w:r>
    </w:p>
    <w:p w14:paraId="10A7F07A" w14:textId="3FB1A589" w:rsidR="000B5164" w:rsidRPr="00660F81" w:rsidRDefault="000B5164" w:rsidP="00A42041">
      <w:pPr>
        <w:pStyle w:val="Heading1"/>
        <w:tabs>
          <w:tab w:val="clear" w:pos="567"/>
          <w:tab w:val="left" w:pos="709"/>
        </w:tabs>
      </w:pPr>
      <w:r w:rsidRPr="00AD729D">
        <w:rPr>
          <w:lang w:val="es-ES"/>
        </w:rPr>
        <w:t>7</w:t>
      </w:r>
      <w:r w:rsidRPr="00AD729D">
        <w:rPr>
          <w:lang w:val="es-ES"/>
        </w:rPr>
        <w:tab/>
        <w:t>Segunda serie de textos sometidos por la Comisión de Redacción en primera lectura (B2) (Documento</w:t>
      </w:r>
      <w:r w:rsidR="000806E2">
        <w:rPr>
          <w:lang w:val="es-ES"/>
        </w:rPr>
        <w:t> </w:t>
      </w:r>
      <w:hyperlink r:id="rId19" w:history="1">
        <w:r w:rsidRPr="00AD729D">
          <w:rPr>
            <w:rStyle w:val="Hyperlink"/>
            <w:sz w:val="26"/>
            <w:szCs w:val="26"/>
            <w:lang w:val="es-ES"/>
          </w:rPr>
          <w:t>124</w:t>
        </w:r>
      </w:hyperlink>
      <w:r w:rsidRPr="00AD729D">
        <w:rPr>
          <w:lang w:val="es-ES"/>
        </w:rPr>
        <w:t>)</w:t>
      </w:r>
    </w:p>
    <w:p w14:paraId="15C144AD" w14:textId="441FF5EC" w:rsidR="000B5164" w:rsidRPr="001C12EF" w:rsidRDefault="000B5164" w:rsidP="001C12EF">
      <w:pPr>
        <w:tabs>
          <w:tab w:val="clear" w:pos="567"/>
          <w:tab w:val="left" w:pos="709"/>
        </w:tabs>
        <w:rPr>
          <w:b/>
          <w:bCs/>
        </w:rPr>
      </w:pPr>
      <w:r w:rsidRPr="001C12EF">
        <w:rPr>
          <w:b/>
          <w:bCs/>
        </w:rPr>
        <w:t>Proyecto de Resolución</w:t>
      </w:r>
      <w:r w:rsidR="000806E2">
        <w:rPr>
          <w:b/>
          <w:bCs/>
        </w:rPr>
        <w:t> </w:t>
      </w:r>
      <w:r w:rsidRPr="001C12EF">
        <w:rPr>
          <w:b/>
          <w:bCs/>
        </w:rPr>
        <w:t>169 (Rev. Bucarest, 2022) – Admisión de instituciones académicas para participar en los trabajos de la Unión</w:t>
      </w:r>
    </w:p>
    <w:p w14:paraId="327457D9" w14:textId="0267A0FC" w:rsidR="000B5164" w:rsidRPr="001C12EF" w:rsidRDefault="000B5164" w:rsidP="001C12EF">
      <w:pPr>
        <w:rPr>
          <w:b/>
          <w:bCs/>
          <w:lang w:val="es-ES"/>
        </w:rPr>
      </w:pPr>
      <w:r w:rsidRPr="001C12EF">
        <w:rPr>
          <w:b/>
          <w:bCs/>
          <w:lang w:val="es-ES"/>
        </w:rPr>
        <w:t>Proyecto de Resolución</w:t>
      </w:r>
      <w:r w:rsidR="000806E2">
        <w:rPr>
          <w:b/>
          <w:bCs/>
          <w:lang w:val="es-ES"/>
        </w:rPr>
        <w:t> </w:t>
      </w:r>
      <w:r w:rsidRPr="001C12EF">
        <w:rPr>
          <w:b/>
          <w:bCs/>
          <w:lang w:val="es-ES"/>
        </w:rPr>
        <w:t>184 (Rev. Bucarest, 2022) – Facilitación de iniciativas de integración digital de los pueblos indígenas</w:t>
      </w:r>
    </w:p>
    <w:p w14:paraId="345ADFBF" w14:textId="77777777" w:rsidR="000B5164" w:rsidRPr="001C12EF" w:rsidRDefault="000B5164" w:rsidP="001C12EF">
      <w:pPr>
        <w:tabs>
          <w:tab w:val="clear" w:pos="567"/>
          <w:tab w:val="left" w:pos="709"/>
        </w:tabs>
      </w:pPr>
      <w:r w:rsidRPr="001C12EF">
        <w:t>7.1</w:t>
      </w:r>
      <w:r w:rsidRPr="001C12EF">
        <w:tab/>
      </w:r>
      <w:r w:rsidRPr="001C12EF">
        <w:rPr>
          <w:b/>
          <w:bCs/>
        </w:rPr>
        <w:t>Se adoptan</w:t>
      </w:r>
      <w:r w:rsidRPr="001C12EF">
        <w:t>.</w:t>
      </w:r>
    </w:p>
    <w:p w14:paraId="1D4679E8" w14:textId="77777777" w:rsidR="000B5164" w:rsidRPr="001C12EF" w:rsidRDefault="000B5164" w:rsidP="001C12EF">
      <w:pPr>
        <w:tabs>
          <w:tab w:val="clear" w:pos="567"/>
          <w:tab w:val="left" w:pos="709"/>
        </w:tabs>
      </w:pPr>
      <w:r w:rsidRPr="001C12EF">
        <w:lastRenderedPageBreak/>
        <w:t>7.2</w:t>
      </w:r>
      <w:r w:rsidRPr="001C12EF">
        <w:tab/>
      </w:r>
      <w:r w:rsidRPr="001C12EF">
        <w:rPr>
          <w:b/>
          <w:bCs/>
        </w:rPr>
        <w:t>Se aprueba</w:t>
      </w:r>
      <w:r w:rsidRPr="001C12EF">
        <w:t xml:space="preserve"> en primera lectura la segunda serie de textos sometidos por la Comisión de Redacción (B2) (Documento 124).</w:t>
      </w:r>
    </w:p>
    <w:p w14:paraId="33BF72C1" w14:textId="77777777" w:rsidR="000B5164" w:rsidRPr="00660F81" w:rsidRDefault="000B5164" w:rsidP="00A42041">
      <w:pPr>
        <w:pStyle w:val="Heading1"/>
        <w:tabs>
          <w:tab w:val="clear" w:pos="567"/>
          <w:tab w:val="left" w:pos="709"/>
        </w:tabs>
      </w:pPr>
      <w:r w:rsidRPr="00AD729D">
        <w:rPr>
          <w:lang w:val="es-ES"/>
        </w:rPr>
        <w:t>8</w:t>
      </w:r>
      <w:r w:rsidRPr="00AD729D">
        <w:rPr>
          <w:lang w:val="es-ES"/>
        </w:rPr>
        <w:tab/>
        <w:t>Segunda serie de textos sometidos por la Comisión de Redacción – segunda lectura (Documento </w:t>
      </w:r>
      <w:hyperlink r:id="rId20" w:history="1">
        <w:r w:rsidRPr="00AD729D">
          <w:rPr>
            <w:rStyle w:val="Hyperlink"/>
            <w:sz w:val="26"/>
            <w:szCs w:val="26"/>
            <w:lang w:val="es-ES"/>
          </w:rPr>
          <w:t>124</w:t>
        </w:r>
      </w:hyperlink>
      <w:r w:rsidRPr="00AD729D">
        <w:rPr>
          <w:lang w:val="es-ES"/>
        </w:rPr>
        <w:t>)</w:t>
      </w:r>
    </w:p>
    <w:p w14:paraId="52A215CD" w14:textId="77777777" w:rsidR="000B5164" w:rsidRPr="001C12EF" w:rsidRDefault="000B5164" w:rsidP="00A42041">
      <w:pPr>
        <w:tabs>
          <w:tab w:val="clear" w:pos="567"/>
          <w:tab w:val="left" w:pos="709"/>
        </w:tabs>
      </w:pPr>
      <w:r w:rsidRPr="001C12EF">
        <w:t>8.1</w:t>
      </w:r>
      <w:r w:rsidRPr="001C12EF">
        <w:tab/>
      </w:r>
      <w:r w:rsidRPr="001C12EF">
        <w:rPr>
          <w:b/>
          <w:bCs/>
        </w:rPr>
        <w:t>Se aprueba</w:t>
      </w:r>
      <w:r w:rsidRPr="001C12EF">
        <w:t xml:space="preserve"> en segunda lectura la segunda serie de textos sometidos por la Comisión de Redacción (Documento 124).</w:t>
      </w:r>
    </w:p>
    <w:p w14:paraId="2F2B4273" w14:textId="2C389BE7" w:rsidR="000B5164" w:rsidRPr="00660F81" w:rsidRDefault="000B5164" w:rsidP="00A42041">
      <w:pPr>
        <w:pStyle w:val="Heading1"/>
        <w:tabs>
          <w:tab w:val="clear" w:pos="567"/>
          <w:tab w:val="left" w:pos="709"/>
        </w:tabs>
      </w:pPr>
      <w:r w:rsidRPr="00AD729D">
        <w:rPr>
          <w:lang w:val="es-ES"/>
        </w:rPr>
        <w:t>9</w:t>
      </w:r>
      <w:r w:rsidRPr="00AD729D">
        <w:rPr>
          <w:lang w:val="es-ES"/>
        </w:rPr>
        <w:tab/>
        <w:t>Tercera serie de textos sometidos por la Comisión de Redacción en primera lectura</w:t>
      </w:r>
      <w:r w:rsidR="006D00E6">
        <w:rPr>
          <w:lang w:val="es-ES"/>
        </w:rPr>
        <w:t xml:space="preserve"> (B3)</w:t>
      </w:r>
      <w:r w:rsidRPr="00AD729D">
        <w:rPr>
          <w:lang w:val="es-ES"/>
        </w:rPr>
        <w:t xml:space="preserve"> </w:t>
      </w:r>
      <w:bookmarkStart w:id="11" w:name="_Hlk116049206"/>
      <w:r w:rsidRPr="00AD729D">
        <w:rPr>
          <w:lang w:val="es-ES"/>
        </w:rPr>
        <w:t>(Documento</w:t>
      </w:r>
      <w:r w:rsidR="000806E2">
        <w:rPr>
          <w:lang w:val="es-ES"/>
        </w:rPr>
        <w:t> </w:t>
      </w:r>
      <w:hyperlink r:id="rId21" w:history="1">
        <w:r w:rsidRPr="00AD729D">
          <w:rPr>
            <w:rStyle w:val="Hyperlink"/>
            <w:sz w:val="26"/>
            <w:szCs w:val="26"/>
            <w:lang w:val="es-ES"/>
          </w:rPr>
          <w:t>125</w:t>
        </w:r>
      </w:hyperlink>
      <w:r w:rsidRPr="00AD729D">
        <w:rPr>
          <w:lang w:val="es-ES"/>
        </w:rPr>
        <w:t>)</w:t>
      </w:r>
      <w:bookmarkEnd w:id="11"/>
    </w:p>
    <w:p w14:paraId="29A0FB9D" w14:textId="38EB3A41" w:rsidR="000B5164" w:rsidRPr="001C12EF" w:rsidRDefault="000B5164" w:rsidP="001C12EF">
      <w:pPr>
        <w:rPr>
          <w:b/>
          <w:bCs/>
          <w:lang w:val="es-ES"/>
        </w:rPr>
      </w:pPr>
      <w:r w:rsidRPr="001C12EF">
        <w:rPr>
          <w:b/>
          <w:bCs/>
          <w:lang w:val="es-ES"/>
        </w:rPr>
        <w:t>Proyecto de Resolución</w:t>
      </w:r>
      <w:r w:rsidR="000806E2">
        <w:rPr>
          <w:b/>
          <w:bCs/>
          <w:lang w:val="es-ES"/>
        </w:rPr>
        <w:t> </w:t>
      </w:r>
      <w:r w:rsidRPr="001C12EF">
        <w:rPr>
          <w:b/>
          <w:bCs/>
          <w:lang w:val="es-ES"/>
        </w:rPr>
        <w:t>94 (Rev. Bucarest, 2022) – Verificación de las cuentas de la Unión</w:t>
      </w:r>
    </w:p>
    <w:p w14:paraId="1FE1749A" w14:textId="6ECC46F7" w:rsidR="000B5164" w:rsidRPr="001C12EF" w:rsidRDefault="000B5164" w:rsidP="001C12EF">
      <w:pPr>
        <w:rPr>
          <w:b/>
          <w:bCs/>
          <w:lang w:val="es-ES"/>
        </w:rPr>
      </w:pPr>
      <w:r w:rsidRPr="001C12EF">
        <w:rPr>
          <w:b/>
          <w:bCs/>
          <w:lang w:val="es-ES"/>
        </w:rPr>
        <w:t>Proyecto de Resolución</w:t>
      </w:r>
      <w:r w:rsidR="000806E2">
        <w:rPr>
          <w:b/>
          <w:bCs/>
          <w:lang w:val="es-ES"/>
        </w:rPr>
        <w:t> </w:t>
      </w:r>
      <w:r w:rsidRPr="001C12EF">
        <w:rPr>
          <w:b/>
          <w:bCs/>
          <w:lang w:val="es-ES"/>
        </w:rPr>
        <w:t>150 (Rev. Bucarest, 2022) – Aprobación de las Cuentas de la Unión correspondientes a los años 2018 a 2021</w:t>
      </w:r>
    </w:p>
    <w:p w14:paraId="27430520" w14:textId="6C1066EC" w:rsidR="000B5164" w:rsidRPr="001C12EF" w:rsidRDefault="000B5164" w:rsidP="001C12EF">
      <w:pPr>
        <w:rPr>
          <w:b/>
          <w:bCs/>
          <w:lang w:val="es-ES"/>
        </w:rPr>
      </w:pPr>
      <w:r w:rsidRPr="001C12EF">
        <w:rPr>
          <w:b/>
          <w:bCs/>
          <w:lang w:val="es-ES"/>
        </w:rPr>
        <w:t>Proyecto de Resolución</w:t>
      </w:r>
      <w:r w:rsidR="000806E2">
        <w:rPr>
          <w:b/>
          <w:bCs/>
          <w:lang w:val="es-ES"/>
        </w:rPr>
        <w:t> </w:t>
      </w:r>
      <w:r w:rsidRPr="001C12EF">
        <w:rPr>
          <w:b/>
          <w:bCs/>
          <w:lang w:val="es-ES"/>
        </w:rPr>
        <w:t>151</w:t>
      </w:r>
      <w:r w:rsidR="000F68AB" w:rsidRPr="001C12EF">
        <w:rPr>
          <w:b/>
          <w:bCs/>
          <w:lang w:val="es-ES"/>
        </w:rPr>
        <w:t xml:space="preserve"> </w:t>
      </w:r>
      <w:r w:rsidRPr="001C12EF">
        <w:rPr>
          <w:b/>
          <w:bCs/>
          <w:lang w:val="es-ES"/>
        </w:rPr>
        <w:t>(Rev. Bucarest, 2022) – Mejora de la gestión basada en los resultados en la UIT</w:t>
      </w:r>
    </w:p>
    <w:p w14:paraId="5128538C" w14:textId="6F51926F" w:rsidR="000B5164" w:rsidRPr="001C12EF" w:rsidRDefault="000B5164" w:rsidP="001C12EF">
      <w:pPr>
        <w:tabs>
          <w:tab w:val="clear" w:pos="567"/>
          <w:tab w:val="left" w:pos="709"/>
        </w:tabs>
      </w:pPr>
      <w:r w:rsidRPr="001C12EF">
        <w:t>9.1</w:t>
      </w:r>
      <w:r w:rsidRPr="001C12EF">
        <w:tab/>
      </w:r>
      <w:r w:rsidRPr="001C12EF">
        <w:rPr>
          <w:b/>
          <w:bCs/>
        </w:rPr>
        <w:t>Se adoptan</w:t>
      </w:r>
      <w:r w:rsidRPr="001C12EF">
        <w:t>.</w:t>
      </w:r>
    </w:p>
    <w:p w14:paraId="131A012C" w14:textId="77777777" w:rsidR="000B5164" w:rsidRPr="001C12EF" w:rsidRDefault="000B5164" w:rsidP="001C12EF">
      <w:pPr>
        <w:tabs>
          <w:tab w:val="clear" w:pos="567"/>
          <w:tab w:val="left" w:pos="709"/>
        </w:tabs>
      </w:pPr>
      <w:r w:rsidRPr="001C12EF">
        <w:t>9.2</w:t>
      </w:r>
      <w:r w:rsidRPr="001C12EF">
        <w:tab/>
      </w:r>
      <w:r w:rsidRPr="001C12EF">
        <w:rPr>
          <w:b/>
          <w:bCs/>
        </w:rPr>
        <w:t>Se aprueba</w:t>
      </w:r>
      <w:r w:rsidRPr="001C12EF">
        <w:t xml:space="preserve"> en primera lectura la tercera serie de textos sometidos por la Comisión de Redacción (B3).</w:t>
      </w:r>
    </w:p>
    <w:p w14:paraId="67ABAA42" w14:textId="2A58472C" w:rsidR="000B5164" w:rsidRPr="00AD729D" w:rsidRDefault="000B5164" w:rsidP="00A42041">
      <w:pPr>
        <w:pStyle w:val="Heading1"/>
        <w:tabs>
          <w:tab w:val="clear" w:pos="567"/>
          <w:tab w:val="left" w:pos="709"/>
        </w:tabs>
        <w:rPr>
          <w:bCs/>
          <w:szCs w:val="28"/>
          <w:lang w:val="es-ES"/>
        </w:rPr>
      </w:pPr>
      <w:r w:rsidRPr="00AD729D">
        <w:rPr>
          <w:lang w:val="es-ES"/>
        </w:rPr>
        <w:t>10</w:t>
      </w:r>
      <w:r w:rsidRPr="00AD729D">
        <w:rPr>
          <w:lang w:val="es-ES"/>
        </w:rPr>
        <w:tab/>
        <w:t>Tercera serie de textos sometidos por la Comisión de Redacción – segunda lectura (Documento</w:t>
      </w:r>
      <w:r w:rsidR="000806E2">
        <w:rPr>
          <w:lang w:val="es-ES"/>
        </w:rPr>
        <w:t> </w:t>
      </w:r>
      <w:hyperlink r:id="rId22" w:history="1">
        <w:r w:rsidRPr="00AD729D">
          <w:rPr>
            <w:rStyle w:val="Hyperlink"/>
            <w:sz w:val="26"/>
            <w:szCs w:val="26"/>
            <w:lang w:val="es-ES"/>
          </w:rPr>
          <w:t>125</w:t>
        </w:r>
      </w:hyperlink>
      <w:r w:rsidRPr="00AD729D">
        <w:rPr>
          <w:lang w:val="es-ES"/>
        </w:rPr>
        <w:t>)</w:t>
      </w:r>
    </w:p>
    <w:p w14:paraId="3FAF8570" w14:textId="77777777" w:rsidR="000B5164" w:rsidRPr="001C12EF" w:rsidRDefault="000B5164" w:rsidP="001C12EF">
      <w:pPr>
        <w:tabs>
          <w:tab w:val="clear" w:pos="567"/>
          <w:tab w:val="left" w:pos="709"/>
        </w:tabs>
      </w:pPr>
      <w:r w:rsidRPr="001C12EF">
        <w:t>10.1</w:t>
      </w:r>
      <w:r w:rsidRPr="001C12EF">
        <w:tab/>
      </w:r>
      <w:r w:rsidRPr="001C12EF">
        <w:rPr>
          <w:b/>
          <w:bCs/>
        </w:rPr>
        <w:t>Se aprueba</w:t>
      </w:r>
      <w:r w:rsidRPr="001C12EF">
        <w:t xml:space="preserve"> en segunda lectura la tercera serie de textos sometidos por la Comisión de Redacción (Documento 125).</w:t>
      </w:r>
    </w:p>
    <w:p w14:paraId="4B9EDCE6" w14:textId="3E3075EC" w:rsidR="000B5164" w:rsidRPr="00660F81" w:rsidRDefault="000B5164" w:rsidP="00A42041">
      <w:pPr>
        <w:pStyle w:val="Heading1"/>
      </w:pPr>
      <w:r w:rsidRPr="00AD729D">
        <w:rPr>
          <w:lang w:val="es-ES"/>
        </w:rPr>
        <w:t>11</w:t>
      </w:r>
      <w:r w:rsidRPr="00AD729D">
        <w:rPr>
          <w:lang w:val="es-ES"/>
        </w:rPr>
        <w:tab/>
        <w:t>Anuncio del delegado de Rwanda relativo a la Conferencia Mundial de Radiocomunicaciones de 2027</w:t>
      </w:r>
    </w:p>
    <w:p w14:paraId="288D3AC6" w14:textId="77777777" w:rsidR="000B5164" w:rsidRPr="001C12EF" w:rsidRDefault="000B5164" w:rsidP="001C12EF">
      <w:pPr>
        <w:tabs>
          <w:tab w:val="clear" w:pos="567"/>
          <w:tab w:val="left" w:pos="709"/>
        </w:tabs>
      </w:pPr>
      <w:r w:rsidRPr="001C12EF">
        <w:t>11.1</w:t>
      </w:r>
      <w:r w:rsidRPr="001C12EF">
        <w:tab/>
        <w:t xml:space="preserve">El </w:t>
      </w:r>
      <w:r w:rsidRPr="001C12EF">
        <w:rPr>
          <w:b/>
          <w:bCs/>
        </w:rPr>
        <w:t>delegado de Rwanda</w:t>
      </w:r>
      <w:r w:rsidRPr="001C12EF">
        <w:t xml:space="preserve"> anuncia que Rwanda presentó una manifestación de interés en acoger la Conferencia Mundial de Radiocomunicaciones de 2027 (CMR-27) y solicita el apoyo de los delegados al respecto.</w:t>
      </w:r>
    </w:p>
    <w:p w14:paraId="4D1481E4" w14:textId="5E0DF9A3" w:rsidR="000B5164" w:rsidRPr="001C12EF" w:rsidRDefault="000B5164" w:rsidP="001C12EF">
      <w:pPr>
        <w:tabs>
          <w:tab w:val="clear" w:pos="567"/>
          <w:tab w:val="left" w:pos="709"/>
        </w:tabs>
      </w:pPr>
      <w:r w:rsidRPr="001C12EF">
        <w:t>11.2</w:t>
      </w:r>
      <w:r w:rsidRPr="001C12EF">
        <w:tab/>
      </w:r>
      <w:r w:rsidRPr="001C12EF">
        <w:rPr>
          <w:b/>
          <w:bCs/>
        </w:rPr>
        <w:t>Se toma nota</w:t>
      </w:r>
      <w:r w:rsidRPr="001C12EF">
        <w:t xml:space="preserve"> de esta declaración.</w:t>
      </w:r>
    </w:p>
    <w:p w14:paraId="26C7D801" w14:textId="32D68087" w:rsidR="000B5164" w:rsidRPr="001C12EF" w:rsidRDefault="000B5164" w:rsidP="001C12EF">
      <w:pPr>
        <w:tabs>
          <w:tab w:val="clear" w:pos="567"/>
          <w:tab w:val="left" w:pos="709"/>
        </w:tabs>
      </w:pPr>
      <w:r w:rsidRPr="001C12EF">
        <w:rPr>
          <w:b/>
          <w:bCs/>
        </w:rPr>
        <w:t>Se levanta la sesión a las 11.00</w:t>
      </w:r>
      <w:r w:rsidR="000806E2">
        <w:rPr>
          <w:b/>
          <w:bCs/>
        </w:rPr>
        <w:t> </w:t>
      </w:r>
      <w:r w:rsidRPr="001C12EF">
        <w:rPr>
          <w:b/>
          <w:bCs/>
        </w:rPr>
        <w:t>horas.</w:t>
      </w:r>
    </w:p>
    <w:p w14:paraId="7E799F3D" w14:textId="12D945C8" w:rsidR="000B5164" w:rsidRPr="00AD729D" w:rsidRDefault="000B5164" w:rsidP="00660F81">
      <w:pPr>
        <w:tabs>
          <w:tab w:val="clear" w:pos="567"/>
          <w:tab w:val="clear" w:pos="1134"/>
          <w:tab w:val="clear" w:pos="1701"/>
          <w:tab w:val="clear" w:pos="2268"/>
          <w:tab w:val="clear" w:pos="2835"/>
          <w:tab w:val="left" w:pos="6946"/>
        </w:tabs>
        <w:spacing w:before="1080"/>
        <w:rPr>
          <w:lang w:val="es-ES"/>
        </w:rPr>
      </w:pPr>
      <w:r w:rsidRPr="00AD729D">
        <w:rPr>
          <w:lang w:val="es-ES"/>
        </w:rPr>
        <w:t>El Secretario General:</w:t>
      </w:r>
      <w:r w:rsidRPr="00AD729D">
        <w:rPr>
          <w:lang w:val="es-ES"/>
        </w:rPr>
        <w:tab/>
        <w:t>El Presidente:</w:t>
      </w:r>
      <w:r w:rsidR="001C12EF">
        <w:rPr>
          <w:lang w:val="es-ES"/>
        </w:rPr>
        <w:br/>
      </w:r>
      <w:r w:rsidRPr="00AD729D">
        <w:rPr>
          <w:lang w:val="es-ES"/>
        </w:rPr>
        <w:t>H. ZHAO</w:t>
      </w:r>
      <w:r w:rsidRPr="00AD729D">
        <w:rPr>
          <w:lang w:val="es-ES"/>
        </w:rPr>
        <w:tab/>
        <w:t>S. SĂRMAŞ</w:t>
      </w:r>
    </w:p>
    <w:sectPr w:rsidR="000B5164" w:rsidRPr="00AD729D" w:rsidSect="00A70E95">
      <w:headerReference w:type="default" r:id="rId23"/>
      <w:footerReference w:type="default" r:id="rId24"/>
      <w:footerReference w:type="first" r:id="rId2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A966" w14:textId="6D524C5E" w:rsidR="000B5164" w:rsidRDefault="004A3CD7" w:rsidP="000B5164">
    <w:pPr>
      <w:pStyle w:val="Footer"/>
    </w:pPr>
    <w:r>
      <w:fldChar w:fldCharType="begin"/>
    </w:r>
    <w:r>
      <w:instrText xml:space="preserve"> FILENAME \p  \* MERGEFORMAT </w:instrText>
    </w:r>
    <w:r>
      <w:fldChar w:fldCharType="separate"/>
    </w:r>
    <w:r w:rsidR="000B5164">
      <w:t>P:\ESP\SG\CONF-SG\PP22\100\152S.docx</w:t>
    </w:r>
    <w:r>
      <w:fldChar w:fldCharType="end"/>
    </w:r>
    <w:r w:rsidR="000B5164">
      <w:t xml:space="preserve"> (514149)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23D7F2C1"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0B5164" w:rsidRPr="000B5164">
        <w:rPr>
          <w:rStyle w:val="Hyperlink"/>
          <w:sz w:val="22"/>
          <w:szCs w:val="22"/>
          <w:lang w:val="en-GB"/>
        </w:rPr>
        <w:t>www.itu.int/plenipotentiary/</w:t>
      </w:r>
    </w:hyperlink>
    <w:r w:rsidRPr="000B5164">
      <w:rPr>
        <w:rFonts w:ascii="Symbol" w:hAnsi="Symbol"/>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1C2EE1E2" w:rsidR="00255FA1" w:rsidRDefault="00255FA1" w:rsidP="00C43474">
    <w:pPr>
      <w:pStyle w:val="Header"/>
    </w:pPr>
    <w:r>
      <w:rPr>
        <w:lang w:val="en-US"/>
      </w:rPr>
      <w:t>PP</w:t>
    </w:r>
    <w:r w:rsidR="009D1BE0">
      <w:rPr>
        <w:lang w:val="en-US"/>
      </w:rPr>
      <w:t>22</w:t>
    </w:r>
    <w:r>
      <w:t>/</w:t>
    </w:r>
    <w:r w:rsidR="000B5164">
      <w:t>152</w:t>
    </w:r>
    <w:r w:rsidR="009A443B">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06E2"/>
    <w:rsid w:val="000863AB"/>
    <w:rsid w:val="000A1523"/>
    <w:rsid w:val="000B1752"/>
    <w:rsid w:val="000B5164"/>
    <w:rsid w:val="000F68AB"/>
    <w:rsid w:val="0010546D"/>
    <w:rsid w:val="00135F93"/>
    <w:rsid w:val="001632E3"/>
    <w:rsid w:val="001C12EF"/>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07C0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6FB4"/>
    <w:rsid w:val="00523448"/>
    <w:rsid w:val="005359B6"/>
    <w:rsid w:val="0053616D"/>
    <w:rsid w:val="005470E8"/>
    <w:rsid w:val="00550FCF"/>
    <w:rsid w:val="00556958"/>
    <w:rsid w:val="00567ED5"/>
    <w:rsid w:val="005D1164"/>
    <w:rsid w:val="005D6488"/>
    <w:rsid w:val="005F6278"/>
    <w:rsid w:val="00601280"/>
    <w:rsid w:val="00641DBD"/>
    <w:rsid w:val="006426C0"/>
    <w:rsid w:val="006455D2"/>
    <w:rsid w:val="006537F3"/>
    <w:rsid w:val="00660F81"/>
    <w:rsid w:val="006B5512"/>
    <w:rsid w:val="006C190D"/>
    <w:rsid w:val="006D00E6"/>
    <w:rsid w:val="00720686"/>
    <w:rsid w:val="00737EFF"/>
    <w:rsid w:val="00750806"/>
    <w:rsid w:val="007875D2"/>
    <w:rsid w:val="007D61E2"/>
    <w:rsid w:val="007F6EBC"/>
    <w:rsid w:val="00816703"/>
    <w:rsid w:val="00861EF3"/>
    <w:rsid w:val="00882773"/>
    <w:rsid w:val="008B4706"/>
    <w:rsid w:val="008B6676"/>
    <w:rsid w:val="008C3FA8"/>
    <w:rsid w:val="008E51C5"/>
    <w:rsid w:val="008F7109"/>
    <w:rsid w:val="009017C7"/>
    <w:rsid w:val="009107B0"/>
    <w:rsid w:val="009220DE"/>
    <w:rsid w:val="00930E84"/>
    <w:rsid w:val="0099270D"/>
    <w:rsid w:val="0099551E"/>
    <w:rsid w:val="009A1A86"/>
    <w:rsid w:val="009A443B"/>
    <w:rsid w:val="009D1BE0"/>
    <w:rsid w:val="009E0C42"/>
    <w:rsid w:val="00A42041"/>
    <w:rsid w:val="00A70DFC"/>
    <w:rsid w:val="00A70E95"/>
    <w:rsid w:val="00AA1F73"/>
    <w:rsid w:val="00AB34CA"/>
    <w:rsid w:val="00AD400E"/>
    <w:rsid w:val="00AD729D"/>
    <w:rsid w:val="00AF0DC5"/>
    <w:rsid w:val="00B012B7"/>
    <w:rsid w:val="00B30C52"/>
    <w:rsid w:val="00B501AB"/>
    <w:rsid w:val="00B73978"/>
    <w:rsid w:val="00B77C4D"/>
    <w:rsid w:val="00BB13FE"/>
    <w:rsid w:val="00BC7EE2"/>
    <w:rsid w:val="00BF5475"/>
    <w:rsid w:val="00C20ED7"/>
    <w:rsid w:val="00C42D2D"/>
    <w:rsid w:val="00C43474"/>
    <w:rsid w:val="00C618B2"/>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1816"/>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Title">
    <w:name w:val="Title"/>
    <w:basedOn w:val="Normal"/>
    <w:link w:val="TitleChar"/>
    <w:qFormat/>
    <w:rsid w:val="000B516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0B5164"/>
    <w:rPr>
      <w:rFonts w:ascii="Arial" w:hAnsi="Arial"/>
      <w:b/>
      <w:bCs/>
      <w:sz w:val="22"/>
      <w:szCs w:val="24"/>
      <w:lang w:eastAsia="en-US"/>
    </w:rPr>
  </w:style>
  <w:style w:type="character" w:styleId="FollowedHyperlink">
    <w:name w:val="FollowedHyperlink"/>
    <w:basedOn w:val="DefaultParagraphFont"/>
    <w:semiHidden/>
    <w:unhideWhenUsed/>
    <w:rsid w:val="000B5164"/>
    <w:rPr>
      <w:color w:val="800080" w:themeColor="followedHyperlink"/>
      <w:u w:val="single"/>
    </w:rPr>
  </w:style>
  <w:style w:type="character" w:styleId="UnresolvedMention">
    <w:name w:val="Unresolved Mention"/>
    <w:basedOn w:val="DefaultParagraphFont"/>
    <w:uiPriority w:val="99"/>
    <w:semiHidden/>
    <w:unhideWhenUsed/>
    <w:rsid w:val="000B5164"/>
    <w:rPr>
      <w:color w:val="605E5C"/>
      <w:shd w:val="clear" w:color="auto" w:fill="E1DFDD"/>
    </w:rPr>
  </w:style>
  <w:style w:type="paragraph" w:styleId="Revision">
    <w:name w:val="Revision"/>
    <w:hidden/>
    <w:uiPriority w:val="99"/>
    <w:semiHidden/>
    <w:rsid w:val="00F1181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PP-C-0124/es" TargetMode="External"/><Relationship Id="rId18" Type="http://schemas.openxmlformats.org/officeDocument/2006/relationships/hyperlink" Target="https://www.itu.int/md/S22-PP-C-0123/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2-PP-C-0125/es" TargetMode="External"/><Relationship Id="rId7" Type="http://schemas.openxmlformats.org/officeDocument/2006/relationships/endnotes" Target="endnotes.xml"/><Relationship Id="rId12" Type="http://schemas.openxmlformats.org/officeDocument/2006/relationships/hyperlink" Target="https://www.itu.int/md/S22-PP-C-0124/es" TargetMode="External"/><Relationship Id="rId17" Type="http://schemas.openxmlformats.org/officeDocument/2006/relationships/hyperlink" Target="https://www.itu.int/md/S22-PP-C-0123/es"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itu.int/md/S22-PP-C-0058/es" TargetMode="External"/><Relationship Id="rId20" Type="http://schemas.openxmlformats.org/officeDocument/2006/relationships/hyperlink" Target="https://www.itu.int/md/S22-PP-C-0124/e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23/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2-PP-C-0125/es" TargetMode="External"/><Relationship Id="rId23" Type="http://schemas.openxmlformats.org/officeDocument/2006/relationships/header" Target="header1.xml"/><Relationship Id="rId10" Type="http://schemas.openxmlformats.org/officeDocument/2006/relationships/hyperlink" Target="https://www.itu.int/md/S22-PP-C-0123/es" TargetMode="External"/><Relationship Id="rId19" Type="http://schemas.openxmlformats.org/officeDocument/2006/relationships/hyperlink" Target="https://www.itu.int/md/S22-PP-C-0124/es" TargetMode="External"/><Relationship Id="rId4" Type="http://schemas.openxmlformats.org/officeDocument/2006/relationships/settings" Target="settings.xml"/><Relationship Id="rId9" Type="http://schemas.openxmlformats.org/officeDocument/2006/relationships/hyperlink" Target="https://www.itu.int/md/S22-PP-C-0058/es" TargetMode="External"/><Relationship Id="rId14" Type="http://schemas.openxmlformats.org/officeDocument/2006/relationships/hyperlink" Target="https://www.itu.int/md/S22-PP-C-0125/es" TargetMode="External"/><Relationship Id="rId22" Type="http://schemas.openxmlformats.org/officeDocument/2006/relationships/hyperlink" Target="https://www.itu.int/md/S22-PP-C-0125/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1471-7DB4-4A2E-9499-5B3B8575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1275</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8686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Spanish83</cp:lastModifiedBy>
  <cp:revision>12</cp:revision>
  <dcterms:created xsi:type="dcterms:W3CDTF">2022-10-10T22:16:00Z</dcterms:created>
  <dcterms:modified xsi:type="dcterms:W3CDTF">2022-10-10T23:54:00Z</dcterms:modified>
  <cp:category>Conference document</cp:category>
</cp:coreProperties>
</file>