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BD14F8" w14:paraId="4484B0C5" w14:textId="77777777" w:rsidTr="006359EF">
        <w:trPr>
          <w:cantSplit/>
          <w:jc w:val="center"/>
        </w:trPr>
        <w:tc>
          <w:tcPr>
            <w:tcW w:w="6911" w:type="dxa"/>
          </w:tcPr>
          <w:p w14:paraId="706F5501" w14:textId="3E73A757" w:rsidR="00BD1614" w:rsidRPr="00BD14F8" w:rsidRDefault="00BD1614" w:rsidP="006341CE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BD14F8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BD14F8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BD14F8">
              <w:rPr>
                <w:b/>
                <w:smallCaps/>
                <w:sz w:val="30"/>
                <w:szCs w:val="30"/>
              </w:rPr>
              <w:t>22</w:t>
            </w:r>
            <w:r w:rsidRPr="00BD14F8">
              <w:rPr>
                <w:b/>
                <w:smallCaps/>
                <w:sz w:val="30"/>
                <w:szCs w:val="30"/>
              </w:rPr>
              <w:t>)</w:t>
            </w:r>
            <w:r w:rsidRPr="00BD14F8">
              <w:rPr>
                <w:b/>
                <w:smallCaps/>
                <w:sz w:val="36"/>
              </w:rPr>
              <w:br/>
            </w:r>
            <w:r w:rsidR="002A7A1D" w:rsidRPr="00BD14F8">
              <w:rPr>
                <w:rFonts w:cs="Times New Roman Bold"/>
                <w:b/>
                <w:bCs/>
                <w:szCs w:val="24"/>
              </w:rPr>
              <w:t>Bucarest</w:t>
            </w:r>
            <w:r w:rsidRPr="00BD14F8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BD14F8">
              <w:rPr>
                <w:rFonts w:cs="Times New Roman Bold"/>
                <w:b/>
                <w:bCs/>
                <w:szCs w:val="24"/>
              </w:rPr>
              <w:t>6</w:t>
            </w:r>
            <w:r w:rsidRPr="00BD14F8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BD14F8">
              <w:rPr>
                <w:rFonts w:cs="Times New Roman Bold"/>
                <w:b/>
                <w:bCs/>
                <w:szCs w:val="24"/>
              </w:rPr>
              <w:t>septembre</w:t>
            </w:r>
            <w:r w:rsidRPr="00BD14F8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BD14F8">
              <w:rPr>
                <w:rFonts w:cs="Times New Roman Bold"/>
                <w:b/>
                <w:bCs/>
                <w:szCs w:val="24"/>
              </w:rPr>
              <w:t>–</w:t>
            </w:r>
            <w:r w:rsidRPr="00BD14F8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BD14F8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BD14F8">
              <w:rPr>
                <w:rFonts w:cs="Times New Roman Bold"/>
                <w:b/>
                <w:bCs/>
                <w:szCs w:val="24"/>
              </w:rPr>
              <w:t>4</w:t>
            </w:r>
            <w:r w:rsidRPr="00BD14F8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BD14F8">
              <w:rPr>
                <w:rFonts w:cs="Times New Roman Bold"/>
                <w:b/>
                <w:bCs/>
                <w:szCs w:val="24"/>
              </w:rPr>
              <w:t>octobre</w:t>
            </w:r>
            <w:r w:rsidRPr="00BD14F8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BD14F8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7A1CF8E0" w14:textId="6FB7D25A" w:rsidR="00BD1614" w:rsidRPr="00BD14F8" w:rsidRDefault="002A7A1D" w:rsidP="006341CE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BD14F8">
              <w:rPr>
                <w:noProof/>
                <w:lang w:val="en-US"/>
              </w:rPr>
              <w:drawing>
                <wp:inline distT="0" distB="0" distL="0" distR="0" wp14:anchorId="7A0DC28C" wp14:editId="7CED7EC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BD14F8" w14:paraId="3120A8D9" w14:textId="77777777" w:rsidTr="006359EF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7E5819" w14:textId="77777777" w:rsidR="00BD1614" w:rsidRPr="00BD14F8" w:rsidRDefault="00BD1614" w:rsidP="006341CE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068B73" w14:textId="77777777" w:rsidR="00BD1614" w:rsidRPr="00BD14F8" w:rsidRDefault="00BD1614" w:rsidP="006341CE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BD14F8" w14:paraId="20A2296F" w14:textId="77777777" w:rsidTr="006359EF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4CFA6027" w14:textId="77777777" w:rsidR="00BD1614" w:rsidRPr="00BD14F8" w:rsidRDefault="00BD1614" w:rsidP="006341CE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479168" w14:textId="77777777" w:rsidR="00BD1614" w:rsidRPr="00BD14F8" w:rsidRDefault="00BD1614" w:rsidP="006341CE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BD14F8" w14:paraId="5EBA9561" w14:textId="77777777" w:rsidTr="006359EF">
        <w:trPr>
          <w:cantSplit/>
          <w:jc w:val="center"/>
        </w:trPr>
        <w:tc>
          <w:tcPr>
            <w:tcW w:w="6911" w:type="dxa"/>
          </w:tcPr>
          <w:p w14:paraId="081C5B53" w14:textId="5ADEACCC" w:rsidR="00BD1614" w:rsidRPr="00BD14F8" w:rsidRDefault="00420EF8" w:rsidP="006341C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BD14F8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2E82404" w14:textId="20D9944D" w:rsidR="00BD1614" w:rsidRPr="00BD14F8" w:rsidRDefault="00420EF8" w:rsidP="006341CE">
            <w:pPr>
              <w:spacing w:before="0"/>
              <w:rPr>
                <w:rFonts w:cstheme="minorHAnsi"/>
                <w:szCs w:val="24"/>
              </w:rPr>
            </w:pPr>
            <w:r w:rsidRPr="00BD14F8">
              <w:rPr>
                <w:rFonts w:cstheme="minorHAnsi"/>
                <w:b/>
                <w:szCs w:val="24"/>
              </w:rPr>
              <w:t xml:space="preserve">Document </w:t>
            </w:r>
            <w:r w:rsidR="00E47C1E" w:rsidRPr="00BD14F8">
              <w:rPr>
                <w:rFonts w:cstheme="minorHAnsi"/>
                <w:b/>
                <w:szCs w:val="24"/>
              </w:rPr>
              <w:t>140</w:t>
            </w:r>
            <w:r w:rsidRPr="00BD14F8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BD14F8" w14:paraId="5C605E2F" w14:textId="77777777" w:rsidTr="006359EF">
        <w:trPr>
          <w:cantSplit/>
          <w:jc w:val="center"/>
        </w:trPr>
        <w:tc>
          <w:tcPr>
            <w:tcW w:w="6911" w:type="dxa"/>
          </w:tcPr>
          <w:p w14:paraId="3701819B" w14:textId="20A8E30E" w:rsidR="00BD1614" w:rsidRPr="00BD14F8" w:rsidRDefault="00BD1614" w:rsidP="006341CE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4FD5E934" w14:textId="7AB47292" w:rsidR="00BD1614" w:rsidRPr="00BD14F8" w:rsidRDefault="00E47C1E" w:rsidP="006341CE">
            <w:pPr>
              <w:spacing w:before="0"/>
              <w:rPr>
                <w:rFonts w:cstheme="minorHAnsi"/>
                <w:b/>
                <w:szCs w:val="24"/>
              </w:rPr>
            </w:pPr>
            <w:r w:rsidRPr="00BD14F8">
              <w:rPr>
                <w:rFonts w:cstheme="minorHAnsi"/>
                <w:b/>
                <w:szCs w:val="24"/>
              </w:rPr>
              <w:t>6 octo</w:t>
            </w:r>
            <w:r w:rsidR="00420EF8" w:rsidRPr="00BD14F8">
              <w:rPr>
                <w:rFonts w:cstheme="minorHAnsi"/>
                <w:b/>
                <w:szCs w:val="24"/>
              </w:rPr>
              <w:t>bre 202</w:t>
            </w:r>
            <w:r w:rsidRPr="00BD14F8">
              <w:rPr>
                <w:rFonts w:cstheme="minorHAnsi"/>
                <w:b/>
                <w:szCs w:val="24"/>
              </w:rPr>
              <w:t>2</w:t>
            </w:r>
          </w:p>
        </w:tc>
      </w:tr>
      <w:tr w:rsidR="00BD1614" w:rsidRPr="00BD14F8" w14:paraId="6B2B4BC1" w14:textId="77777777" w:rsidTr="006359EF">
        <w:trPr>
          <w:cantSplit/>
          <w:jc w:val="center"/>
        </w:trPr>
        <w:tc>
          <w:tcPr>
            <w:tcW w:w="6911" w:type="dxa"/>
          </w:tcPr>
          <w:p w14:paraId="780A194C" w14:textId="77777777" w:rsidR="00BD1614" w:rsidRPr="00BD14F8" w:rsidRDefault="00BD1614" w:rsidP="006341CE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36796BDA" w14:textId="3D9C6896" w:rsidR="00BD1614" w:rsidRPr="00BD14F8" w:rsidRDefault="00420EF8" w:rsidP="006341CE">
            <w:pPr>
              <w:spacing w:before="0"/>
              <w:rPr>
                <w:rFonts w:cstheme="minorHAnsi"/>
                <w:b/>
                <w:szCs w:val="24"/>
              </w:rPr>
            </w:pPr>
            <w:r w:rsidRPr="00BD14F8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BD14F8" w14:paraId="4259B884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770628D7" w14:textId="77777777" w:rsidR="00BD1614" w:rsidRPr="00BD14F8" w:rsidRDefault="00BD1614" w:rsidP="006341CE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BD14F8" w14:paraId="6A9FB924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4E1E08D8" w14:textId="77777777" w:rsidR="00E47C1E" w:rsidRPr="00BD14F8" w:rsidRDefault="00E47C1E" w:rsidP="007D2F1C">
            <w:pPr>
              <w:pStyle w:val="Title1"/>
              <w:rPr>
                <w:b/>
              </w:rPr>
            </w:pPr>
            <w:bookmarkStart w:id="4" w:name="dsource" w:colFirst="0" w:colLast="0"/>
            <w:bookmarkEnd w:id="3"/>
            <w:r w:rsidRPr="00BD14F8">
              <w:t>PROCÈS-VERBAL</w:t>
            </w:r>
          </w:p>
          <w:p w14:paraId="71461A89" w14:textId="77777777" w:rsidR="00E47C1E" w:rsidRPr="00BD14F8" w:rsidRDefault="00E47C1E" w:rsidP="007D2F1C">
            <w:pPr>
              <w:pStyle w:val="Title1"/>
              <w:rPr>
                <w:b/>
              </w:rPr>
            </w:pPr>
            <w:r w:rsidRPr="00BD14F8">
              <w:t>DE LA</w:t>
            </w:r>
          </w:p>
          <w:p w14:paraId="070875E6" w14:textId="18AFFE4A" w:rsidR="00BD1614" w:rsidRPr="00BD14F8" w:rsidRDefault="00E47C1E" w:rsidP="007D2F1C">
            <w:pPr>
              <w:pStyle w:val="Title1"/>
            </w:pPr>
            <w:r w:rsidRPr="00BD14F8">
              <w:t>SEPTIÈME SÉANCE PLÉNIÈRE</w:t>
            </w:r>
          </w:p>
        </w:tc>
      </w:tr>
      <w:tr w:rsidR="00BD1614" w:rsidRPr="00BD14F8" w14:paraId="534EEA05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0C8E89F3" w14:textId="1A3D7158" w:rsidR="00BD1614" w:rsidRPr="00BD14F8" w:rsidRDefault="00E47C1E" w:rsidP="006341CE">
            <w:pPr>
              <w:pStyle w:val="Title1"/>
            </w:pPr>
            <w:bookmarkStart w:id="5" w:name="dtitle1" w:colFirst="0" w:colLast="0"/>
            <w:bookmarkEnd w:id="4"/>
            <w:r w:rsidRPr="00BD14F8">
              <w:rPr>
                <w:caps w:val="0"/>
              </w:rPr>
              <w:t>Jeudi 29 septembre 2022, à 14 h 40</w:t>
            </w:r>
          </w:p>
        </w:tc>
      </w:tr>
      <w:tr w:rsidR="00BD1614" w:rsidRPr="00BD14F8" w14:paraId="37DA32CE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1574AB3E" w14:textId="56366463" w:rsidR="00BD1614" w:rsidRPr="00BD14F8" w:rsidRDefault="00E47C1E" w:rsidP="006341CE">
            <w:pPr>
              <w:pStyle w:val="Title2"/>
            </w:pPr>
            <w:bookmarkStart w:id="6" w:name="dtitle2" w:colFirst="0" w:colLast="0"/>
            <w:bookmarkEnd w:id="5"/>
            <w:r w:rsidRPr="00BD14F8">
              <w:rPr>
                <w:b/>
                <w:bCs/>
                <w:caps w:val="0"/>
              </w:rPr>
              <w:t>Président</w:t>
            </w:r>
            <w:r w:rsidRPr="00BD14F8">
              <w:rPr>
                <w:caps w:val="0"/>
              </w:rPr>
              <w:t>: M. Sabin Sărmaș (Roumanie)</w:t>
            </w:r>
          </w:p>
        </w:tc>
      </w:tr>
      <w:tr w:rsidR="00BD1614" w:rsidRPr="00BD14F8" w14:paraId="3488B00F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48DBD50A" w14:textId="2612F372" w:rsidR="00BD1614" w:rsidRPr="00BD14F8" w:rsidRDefault="00BD1614" w:rsidP="006341CE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7AD6F79A" w14:textId="1C672F0D" w:rsidR="000D15FB" w:rsidRPr="00BD14F8" w:rsidRDefault="000D15FB" w:rsidP="006341CE"/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E47C1E" w:rsidRPr="00BD14F8" w14:paraId="2AC20316" w14:textId="77777777" w:rsidTr="0028791A">
        <w:trPr>
          <w:jc w:val="center"/>
        </w:trPr>
        <w:tc>
          <w:tcPr>
            <w:tcW w:w="534" w:type="dxa"/>
          </w:tcPr>
          <w:p w14:paraId="2A17904D" w14:textId="77777777" w:rsidR="00E47C1E" w:rsidRPr="00BD14F8" w:rsidRDefault="00E47C1E" w:rsidP="006341CE">
            <w:pPr>
              <w:pStyle w:val="toc0"/>
              <w:spacing w:before="40" w:after="40"/>
              <w:ind w:right="2"/>
            </w:pPr>
          </w:p>
        </w:tc>
        <w:tc>
          <w:tcPr>
            <w:tcW w:w="7164" w:type="dxa"/>
          </w:tcPr>
          <w:p w14:paraId="6507A62C" w14:textId="77777777" w:rsidR="00E47C1E" w:rsidRPr="00BD14F8" w:rsidRDefault="00E47C1E" w:rsidP="006341CE">
            <w:pPr>
              <w:pStyle w:val="toc0"/>
              <w:spacing w:before="40" w:after="40"/>
            </w:pPr>
            <w:r w:rsidRPr="00BD14F8">
              <w:t>Sujets traités</w:t>
            </w:r>
          </w:p>
        </w:tc>
        <w:tc>
          <w:tcPr>
            <w:tcW w:w="2333" w:type="dxa"/>
          </w:tcPr>
          <w:p w14:paraId="717EDBC5" w14:textId="77777777" w:rsidR="00E47C1E" w:rsidRPr="00BD14F8" w:rsidRDefault="00E47C1E" w:rsidP="006341CE">
            <w:pPr>
              <w:pStyle w:val="toc0"/>
              <w:spacing w:before="40" w:after="40"/>
              <w:jc w:val="center"/>
            </w:pPr>
            <w:r w:rsidRPr="00BD14F8">
              <w:t>Documents</w:t>
            </w:r>
          </w:p>
        </w:tc>
      </w:tr>
      <w:tr w:rsidR="00E47C1E" w:rsidRPr="00BD14F8" w14:paraId="794E0B63" w14:textId="77777777" w:rsidTr="0028791A">
        <w:trPr>
          <w:jc w:val="center"/>
        </w:trPr>
        <w:tc>
          <w:tcPr>
            <w:tcW w:w="534" w:type="dxa"/>
          </w:tcPr>
          <w:p w14:paraId="6FFD39D5" w14:textId="77777777" w:rsidR="00E47C1E" w:rsidRPr="00BD14F8" w:rsidRDefault="00E47C1E" w:rsidP="006341CE">
            <w:pPr>
              <w:spacing w:before="40" w:after="40"/>
              <w:ind w:left="567" w:right="2" w:hanging="567"/>
            </w:pPr>
            <w:r w:rsidRPr="00BD14F8">
              <w:t>1</w:t>
            </w:r>
          </w:p>
        </w:tc>
        <w:tc>
          <w:tcPr>
            <w:tcW w:w="7164" w:type="dxa"/>
          </w:tcPr>
          <w:p w14:paraId="60A08E39" w14:textId="470D9555" w:rsidR="00E47C1E" w:rsidRPr="00BD14F8" w:rsidRDefault="00E47C1E" w:rsidP="006341CE">
            <w:pPr>
              <w:spacing w:before="40" w:after="40"/>
            </w:pPr>
            <w:r w:rsidRPr="00BD14F8">
              <w:t>Déclarations de politique générale (suite)</w:t>
            </w:r>
          </w:p>
        </w:tc>
        <w:tc>
          <w:tcPr>
            <w:tcW w:w="2333" w:type="dxa"/>
          </w:tcPr>
          <w:p w14:paraId="0A7D05A4" w14:textId="77777777" w:rsidR="00E47C1E" w:rsidRPr="00BD14F8" w:rsidRDefault="00E47C1E" w:rsidP="006341CE">
            <w:pPr>
              <w:spacing w:before="40" w:after="40"/>
              <w:jc w:val="center"/>
            </w:pPr>
            <w:r w:rsidRPr="00BD14F8">
              <w:t>–</w:t>
            </w:r>
          </w:p>
        </w:tc>
      </w:tr>
      <w:tr w:rsidR="00E47C1E" w:rsidRPr="00BD14F8" w14:paraId="6D9F9554" w14:textId="77777777" w:rsidTr="0028791A">
        <w:trPr>
          <w:jc w:val="center"/>
        </w:trPr>
        <w:tc>
          <w:tcPr>
            <w:tcW w:w="534" w:type="dxa"/>
          </w:tcPr>
          <w:p w14:paraId="23A0A6FB" w14:textId="4FF1511F" w:rsidR="00E47C1E" w:rsidRPr="00BD14F8" w:rsidRDefault="0003059A" w:rsidP="006341CE">
            <w:pPr>
              <w:spacing w:before="40" w:after="40"/>
              <w:ind w:left="567" w:right="2" w:hanging="567"/>
            </w:pPr>
            <w:r>
              <w:t>2</w:t>
            </w:r>
          </w:p>
        </w:tc>
        <w:tc>
          <w:tcPr>
            <w:tcW w:w="7164" w:type="dxa"/>
          </w:tcPr>
          <w:p w14:paraId="6532BF07" w14:textId="0C61F98F" w:rsidR="00E47C1E" w:rsidRPr="00BD14F8" w:rsidRDefault="008D121B" w:rsidP="006341CE">
            <w:pPr>
              <w:spacing w:before="40" w:after="40"/>
            </w:pPr>
            <w:r w:rsidRPr="00BD14F8">
              <w:t xml:space="preserve">Élection du </w:t>
            </w:r>
            <w:r w:rsidR="00176414" w:rsidRPr="00BD14F8">
              <w:t>Vice-</w:t>
            </w:r>
            <w:r w:rsidRPr="00BD14F8">
              <w:t>Secrétaire général</w:t>
            </w:r>
          </w:p>
        </w:tc>
        <w:tc>
          <w:tcPr>
            <w:tcW w:w="2333" w:type="dxa"/>
          </w:tcPr>
          <w:p w14:paraId="66D75332" w14:textId="4ABADAE7" w:rsidR="00E47C1E" w:rsidRPr="00BD14F8" w:rsidRDefault="00A32B2D" w:rsidP="006341CE">
            <w:pPr>
              <w:spacing w:before="40" w:after="40"/>
              <w:jc w:val="center"/>
            </w:pPr>
            <w:hyperlink r:id="rId9" w:history="1">
              <w:r w:rsidR="00E47C1E" w:rsidRPr="00BD14F8">
                <w:rPr>
                  <w:rStyle w:val="Hyperlink"/>
                </w:rPr>
                <w:t>98</w:t>
              </w:r>
            </w:hyperlink>
            <w:r w:rsidR="00E47C1E" w:rsidRPr="00BD14F8">
              <w:t xml:space="preserve">, </w:t>
            </w:r>
            <w:hyperlink r:id="rId10" w:history="1">
              <w:r w:rsidR="00E47C1E" w:rsidRPr="00BD14F8">
                <w:rPr>
                  <w:rStyle w:val="Hyperlink"/>
                </w:rPr>
                <w:t>99</w:t>
              </w:r>
            </w:hyperlink>
            <w:r w:rsidR="00E47C1E" w:rsidRPr="00BD14F8">
              <w:t xml:space="preserve">, </w:t>
            </w:r>
            <w:hyperlink r:id="rId11" w:history="1">
              <w:r w:rsidR="00E47C1E" w:rsidRPr="00BD14F8">
                <w:rPr>
                  <w:rStyle w:val="Hyperlink"/>
                </w:rPr>
                <w:t>100</w:t>
              </w:r>
            </w:hyperlink>
            <w:r w:rsidR="00E47C1E" w:rsidRPr="00BD14F8">
              <w:t xml:space="preserve">, </w:t>
            </w:r>
            <w:hyperlink r:id="rId12" w:history="1">
              <w:r w:rsidR="00E47C1E" w:rsidRPr="00BD14F8">
                <w:rPr>
                  <w:rStyle w:val="Hyperlink"/>
                </w:rPr>
                <w:t>102</w:t>
              </w:r>
            </w:hyperlink>
            <w:r w:rsidR="00E47C1E" w:rsidRPr="00BD14F8">
              <w:t xml:space="preserve">, </w:t>
            </w:r>
            <w:r w:rsidR="00E47C1E" w:rsidRPr="00BD14F8">
              <w:br/>
            </w:r>
            <w:hyperlink r:id="rId13" w:history="1">
              <w:r w:rsidR="00E47C1E" w:rsidRPr="00BD14F8">
                <w:rPr>
                  <w:rStyle w:val="Hyperlink"/>
                </w:rPr>
                <w:t>110(Rév.1)</w:t>
              </w:r>
            </w:hyperlink>
            <w:r w:rsidR="00E47C1E" w:rsidRPr="00BD14F8">
              <w:t xml:space="preserve">, </w:t>
            </w:r>
            <w:hyperlink r:id="rId14" w:history="1">
              <w:r w:rsidR="00E47C1E" w:rsidRPr="00BD14F8">
                <w:rPr>
                  <w:rStyle w:val="Hyperlink"/>
                </w:rPr>
                <w:t>113</w:t>
              </w:r>
            </w:hyperlink>
          </w:p>
        </w:tc>
      </w:tr>
    </w:tbl>
    <w:p w14:paraId="23E5CC14" w14:textId="77777777" w:rsidR="00BD1614" w:rsidRPr="00BD14F8" w:rsidRDefault="00BD1614" w:rsidP="006341C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D14F8">
        <w:br w:type="page"/>
      </w:r>
    </w:p>
    <w:p w14:paraId="5BED5B6A" w14:textId="77777777" w:rsidR="00E47C1E" w:rsidRPr="00BD14F8" w:rsidRDefault="00E47C1E" w:rsidP="006341CE">
      <w:pPr>
        <w:pStyle w:val="Heading1"/>
      </w:pPr>
      <w:r w:rsidRPr="00BD14F8">
        <w:lastRenderedPageBreak/>
        <w:t>1</w:t>
      </w:r>
      <w:r w:rsidRPr="00BD14F8">
        <w:tab/>
        <w:t>Déclarations de politique générale (suite)</w:t>
      </w:r>
    </w:p>
    <w:p w14:paraId="41D2DBEE" w14:textId="6F26C6DA" w:rsidR="00BD1614" w:rsidRPr="00BD14F8" w:rsidRDefault="00E47C1E" w:rsidP="006341CE">
      <w:r w:rsidRPr="00BD14F8">
        <w:t>1.1</w:t>
      </w:r>
      <w:r w:rsidRPr="00BD14F8">
        <w:tab/>
        <w:t>Les orateurs ci-après font une déclaration de politique générale:</w:t>
      </w:r>
    </w:p>
    <w:p w14:paraId="3DA78564" w14:textId="18FBF81C" w:rsidR="00E47C1E" w:rsidRPr="00BD14F8" w:rsidRDefault="00E47C1E" w:rsidP="006341CE">
      <w:pPr>
        <w:pStyle w:val="enumlev1"/>
      </w:pPr>
      <w:r w:rsidRPr="00BD14F8">
        <w:t>–</w:t>
      </w:r>
      <w:r w:rsidRPr="00BD14F8">
        <w:tab/>
        <w:t xml:space="preserve">Mme Paula INGABIRE, Ministre, Ministère des </w:t>
      </w:r>
      <w:r w:rsidR="0070060C" w:rsidRPr="00BD14F8">
        <w:t>technologies de l</w:t>
      </w:r>
      <w:r w:rsidR="007D2F1C">
        <w:t>'</w:t>
      </w:r>
      <w:r w:rsidR="0070060C" w:rsidRPr="00BD14F8">
        <w:t>information et de la communication (TIC)</w:t>
      </w:r>
      <w:r w:rsidRPr="00BD14F8">
        <w:t xml:space="preserve"> et de l</w:t>
      </w:r>
      <w:r w:rsidR="007D2F1C">
        <w:t>'</w:t>
      </w:r>
      <w:r w:rsidRPr="00BD14F8">
        <w:t xml:space="preserve">innovation (Rwanda) (voir: </w:t>
      </w:r>
      <w:hyperlink r:id="rId15" w:history="1">
        <w:r w:rsidRPr="00BD14F8">
          <w:rPr>
            <w:rStyle w:val="Hyperlink"/>
          </w:rPr>
          <w:t>https://pp22.itu.int/en/itu_policy_statements/paula-ingabire-rwanda/</w:t>
        </w:r>
      </w:hyperlink>
      <w:r w:rsidRPr="00BD14F8">
        <w:t>);</w:t>
      </w:r>
    </w:p>
    <w:p w14:paraId="5904161A" w14:textId="57231E25" w:rsidR="00E47C1E" w:rsidRPr="00BD14F8" w:rsidRDefault="00E47C1E" w:rsidP="006341CE">
      <w:pPr>
        <w:pStyle w:val="enumlev1"/>
      </w:pPr>
      <w:r w:rsidRPr="00BD14F8">
        <w:t>–</w:t>
      </w:r>
      <w:r w:rsidRPr="00BD14F8">
        <w:tab/>
        <w:t>M</w:t>
      </w:r>
      <w:r w:rsidR="00E1544C" w:rsidRPr="00BD14F8">
        <w:t>.</w:t>
      </w:r>
      <w:r w:rsidRPr="00BD14F8">
        <w:t xml:space="preserve"> Felix MUTATI, Minist</w:t>
      </w:r>
      <w:r w:rsidR="00E1544C" w:rsidRPr="00BD14F8">
        <w:t>re</w:t>
      </w:r>
      <w:r w:rsidRPr="00BD14F8">
        <w:t xml:space="preserve">, </w:t>
      </w:r>
      <w:r w:rsidR="00E1544C" w:rsidRPr="00BD14F8">
        <w:t>Ministère de la technologie et de la science</w:t>
      </w:r>
      <w:r w:rsidRPr="00BD14F8">
        <w:t xml:space="preserve"> (Zambi</w:t>
      </w:r>
      <w:r w:rsidR="00E1544C" w:rsidRPr="00BD14F8">
        <w:t>e</w:t>
      </w:r>
      <w:r w:rsidRPr="00BD14F8">
        <w:t>) (</w:t>
      </w:r>
      <w:r w:rsidR="00E1544C" w:rsidRPr="00BD14F8">
        <w:t>voir:</w:t>
      </w:r>
      <w:r w:rsidRPr="00BD14F8">
        <w:t xml:space="preserve"> </w:t>
      </w:r>
      <w:hyperlink r:id="rId16" w:history="1">
        <w:r w:rsidRPr="00BD14F8">
          <w:rPr>
            <w:rStyle w:val="Hyperlink"/>
          </w:rPr>
          <w:t>https://pp22.itu.int/en/itu_policy_statements/felix-mutati-zambia/</w:t>
        </w:r>
      </w:hyperlink>
      <w:r w:rsidRPr="00BD14F8">
        <w:t>);</w:t>
      </w:r>
    </w:p>
    <w:p w14:paraId="0CD0B977" w14:textId="6EE8B766" w:rsidR="00E47C1E" w:rsidRPr="00BD14F8" w:rsidRDefault="00E47C1E" w:rsidP="006341CE">
      <w:pPr>
        <w:pStyle w:val="enumlev1"/>
      </w:pPr>
      <w:r w:rsidRPr="00BD14F8">
        <w:t>–</w:t>
      </w:r>
      <w:r w:rsidRPr="00BD14F8">
        <w:tab/>
        <w:t>M</w:t>
      </w:r>
      <w:r w:rsidR="00E1544C" w:rsidRPr="00BD14F8">
        <w:t>.</w:t>
      </w:r>
      <w:r w:rsidRPr="00BD14F8">
        <w:t xml:space="preserve"> Nape NNAUYE, </w:t>
      </w:r>
      <w:r w:rsidR="00E1544C" w:rsidRPr="00BD14F8">
        <w:t>Ministre</w:t>
      </w:r>
      <w:r w:rsidRPr="00BD14F8">
        <w:t xml:space="preserve">, </w:t>
      </w:r>
      <w:r w:rsidR="000B0CD9" w:rsidRPr="00BD14F8">
        <w:rPr>
          <w:color w:val="000000"/>
        </w:rPr>
        <w:t>Ministère de l</w:t>
      </w:r>
      <w:r w:rsidR="007D2F1C">
        <w:rPr>
          <w:color w:val="000000"/>
        </w:rPr>
        <w:t>'</w:t>
      </w:r>
      <w:r w:rsidR="000B0CD9" w:rsidRPr="00BD14F8">
        <w:rPr>
          <w:color w:val="000000"/>
        </w:rPr>
        <w:t>information et des technologies de la communication et de l</w:t>
      </w:r>
      <w:r w:rsidR="007D2F1C">
        <w:rPr>
          <w:color w:val="000000"/>
        </w:rPr>
        <w:t>'</w:t>
      </w:r>
      <w:r w:rsidR="000B0CD9" w:rsidRPr="00BD14F8">
        <w:rPr>
          <w:color w:val="000000"/>
        </w:rPr>
        <w:t>information</w:t>
      </w:r>
      <w:r w:rsidRPr="00BD14F8">
        <w:t xml:space="preserve"> (Tanzani</w:t>
      </w:r>
      <w:r w:rsidR="000B0CD9" w:rsidRPr="00BD14F8">
        <w:t>e</w:t>
      </w:r>
      <w:r w:rsidRPr="00BD14F8">
        <w:t>) (</w:t>
      </w:r>
      <w:r w:rsidR="00E1544C" w:rsidRPr="00BD14F8">
        <w:t>voir:</w:t>
      </w:r>
      <w:r w:rsidRPr="00BD14F8">
        <w:t xml:space="preserve"> </w:t>
      </w:r>
      <w:hyperlink r:id="rId17" w:history="1">
        <w:r w:rsidRPr="00BD14F8">
          <w:rPr>
            <w:rStyle w:val="Hyperlink"/>
          </w:rPr>
          <w:t>https://pp22.itu.int/en/itu_policy_statements/nape-nnauye-tanzania/</w:t>
        </w:r>
      </w:hyperlink>
      <w:r w:rsidRPr="00BD14F8">
        <w:t>);</w:t>
      </w:r>
    </w:p>
    <w:p w14:paraId="3E67D1CA" w14:textId="11094C21" w:rsidR="00E47C1E" w:rsidRPr="00BD14F8" w:rsidRDefault="00E47C1E" w:rsidP="006341CE">
      <w:pPr>
        <w:pStyle w:val="enumlev1"/>
      </w:pPr>
      <w:r w:rsidRPr="00BD14F8">
        <w:t>–</w:t>
      </w:r>
      <w:r w:rsidRPr="00BD14F8">
        <w:tab/>
        <w:t>M</w:t>
      </w:r>
      <w:r w:rsidR="00E1544C" w:rsidRPr="00BD14F8">
        <w:t>.</w:t>
      </w:r>
      <w:r w:rsidRPr="00BD14F8">
        <w:t xml:space="preserve"> Kamalidini SOUEF, </w:t>
      </w:r>
      <w:r w:rsidR="00E1544C" w:rsidRPr="00BD14F8">
        <w:t>Ministre</w:t>
      </w:r>
      <w:r w:rsidRPr="00BD14F8">
        <w:t xml:space="preserve">, </w:t>
      </w:r>
      <w:r w:rsidR="000B0CD9" w:rsidRPr="00BD14F8">
        <w:rPr>
          <w:color w:val="000000"/>
        </w:rPr>
        <w:t>Ministère des postes, des télécommunications et de l</w:t>
      </w:r>
      <w:r w:rsidR="007D2F1C">
        <w:rPr>
          <w:color w:val="000000"/>
        </w:rPr>
        <w:t>'</w:t>
      </w:r>
      <w:r w:rsidR="000B0CD9" w:rsidRPr="00BD14F8">
        <w:rPr>
          <w:color w:val="000000"/>
        </w:rPr>
        <w:t>économie numérique</w:t>
      </w:r>
      <w:r w:rsidRPr="00BD14F8">
        <w:t xml:space="preserve"> (Comor</w:t>
      </w:r>
      <w:r w:rsidR="000B0CD9" w:rsidRPr="00BD14F8">
        <w:t>e</w:t>
      </w:r>
      <w:r w:rsidRPr="00BD14F8">
        <w:t>s) (</w:t>
      </w:r>
      <w:r w:rsidR="00E1544C" w:rsidRPr="00BD14F8">
        <w:t>voir:</w:t>
      </w:r>
      <w:r w:rsidRPr="00BD14F8">
        <w:t xml:space="preserve"> </w:t>
      </w:r>
      <w:hyperlink r:id="rId18" w:history="1">
        <w:r w:rsidRPr="00BD14F8">
          <w:rPr>
            <w:rStyle w:val="Hyperlink"/>
          </w:rPr>
          <w:t>https://pp22.itu.int/en/itu_policy_statements/kamalidini-souef-comoros/</w:t>
        </w:r>
      </w:hyperlink>
      <w:r w:rsidRPr="00BD14F8">
        <w:t>);</w:t>
      </w:r>
    </w:p>
    <w:p w14:paraId="2FE7F7C5" w14:textId="1549C0A5" w:rsidR="00E47C1E" w:rsidRPr="00BD14F8" w:rsidRDefault="00E47C1E" w:rsidP="006341CE">
      <w:pPr>
        <w:pStyle w:val="enumlev1"/>
      </w:pPr>
      <w:r w:rsidRPr="00BD14F8">
        <w:t>–</w:t>
      </w:r>
      <w:r w:rsidRPr="00BD14F8">
        <w:tab/>
        <w:t>M</w:t>
      </w:r>
      <w:r w:rsidR="00E1544C" w:rsidRPr="00BD14F8">
        <w:t>.</w:t>
      </w:r>
      <w:r w:rsidRPr="00BD14F8">
        <w:t xml:space="preserve"> Coty Souleïmane DIAKITE, </w:t>
      </w:r>
      <w:r w:rsidR="009F0CC0" w:rsidRPr="00BD14F8">
        <w:t>Président du Conseil de direction</w:t>
      </w:r>
      <w:r w:rsidRPr="00BD14F8">
        <w:t xml:space="preserve">, </w:t>
      </w:r>
      <w:r w:rsidR="00610319" w:rsidRPr="00BD14F8">
        <w:t>Autorité de régulation des télécommunications</w:t>
      </w:r>
      <w:r w:rsidRPr="00BD14F8">
        <w:t xml:space="preserve">, </w:t>
      </w:r>
      <w:r w:rsidR="00B757C8" w:rsidRPr="00BD14F8">
        <w:t>Ministère des communications et de l</w:t>
      </w:r>
      <w:r w:rsidR="007D2F1C">
        <w:t>'</w:t>
      </w:r>
      <w:r w:rsidR="00B757C8" w:rsidRPr="00BD14F8">
        <w:t>économie numérique</w:t>
      </w:r>
      <w:r w:rsidRPr="00BD14F8">
        <w:t xml:space="preserve"> (Côte d</w:t>
      </w:r>
      <w:r w:rsidR="007D2F1C">
        <w:t>'</w:t>
      </w:r>
      <w:r w:rsidRPr="00BD14F8">
        <w:t>Ivoire) (</w:t>
      </w:r>
      <w:r w:rsidR="00E1544C" w:rsidRPr="00BD14F8">
        <w:t>voir:</w:t>
      </w:r>
      <w:r w:rsidRPr="00BD14F8">
        <w:t xml:space="preserve"> </w:t>
      </w:r>
      <w:hyperlink r:id="rId19" w:history="1">
        <w:r w:rsidRPr="00BD14F8">
          <w:rPr>
            <w:rStyle w:val="Hyperlink"/>
          </w:rPr>
          <w:t>https://pp22.itu.int/en/itu_policy_statements/coty-souleimane-diakite-cote-divoire/</w:t>
        </w:r>
      </w:hyperlink>
      <w:r w:rsidRPr="00BD14F8">
        <w:t>);</w:t>
      </w:r>
    </w:p>
    <w:p w14:paraId="7118FBAF" w14:textId="6E186439" w:rsidR="00E47C1E" w:rsidRPr="00BD14F8" w:rsidRDefault="00E47C1E" w:rsidP="006341CE">
      <w:pPr>
        <w:pStyle w:val="enumlev1"/>
      </w:pPr>
      <w:r w:rsidRPr="00BD14F8">
        <w:t>–</w:t>
      </w:r>
      <w:r w:rsidRPr="00BD14F8">
        <w:tab/>
        <w:t>M</w:t>
      </w:r>
      <w:r w:rsidR="00E1544C" w:rsidRPr="00BD14F8">
        <w:t>.</w:t>
      </w:r>
      <w:r w:rsidRPr="00BD14F8">
        <w:t xml:space="preserve"> Stefan SCHNORR, </w:t>
      </w:r>
      <w:r w:rsidR="00815D8E" w:rsidRPr="00BD14F8">
        <w:t>Secrétaire d</w:t>
      </w:r>
      <w:r w:rsidR="007D2F1C">
        <w:t>'</w:t>
      </w:r>
      <w:r w:rsidR="00815D8E" w:rsidRPr="00BD14F8">
        <w:t>État</w:t>
      </w:r>
      <w:r w:rsidRPr="00BD14F8">
        <w:t xml:space="preserve">, </w:t>
      </w:r>
      <w:r w:rsidR="00815D8E" w:rsidRPr="00BD14F8">
        <w:rPr>
          <w:color w:val="000000"/>
        </w:rPr>
        <w:t>Ministère du numérique et des transports</w:t>
      </w:r>
      <w:r w:rsidR="00815D8E" w:rsidRPr="00BD14F8">
        <w:t xml:space="preserve"> </w:t>
      </w:r>
      <w:r w:rsidRPr="00BD14F8">
        <w:t>(</w:t>
      </w:r>
      <w:r w:rsidR="00815D8E" w:rsidRPr="00BD14F8">
        <w:t>Allemagne</w:t>
      </w:r>
      <w:r w:rsidRPr="00BD14F8">
        <w:t>) (</w:t>
      </w:r>
      <w:r w:rsidR="00E1544C" w:rsidRPr="00BD14F8">
        <w:t>voir:</w:t>
      </w:r>
      <w:r w:rsidRPr="00BD14F8">
        <w:t xml:space="preserve"> </w:t>
      </w:r>
      <w:hyperlink r:id="rId20" w:history="1">
        <w:r w:rsidRPr="00BD14F8">
          <w:rPr>
            <w:rStyle w:val="Hyperlink"/>
          </w:rPr>
          <w:t>https://pp22.itu.int/en/itu_policy_statements/stefan-schnorr-germany/</w:t>
        </w:r>
      </w:hyperlink>
      <w:r w:rsidRPr="00BD14F8">
        <w:t xml:space="preserve">); </w:t>
      </w:r>
    </w:p>
    <w:p w14:paraId="2E49D87C" w14:textId="5FF5E66A" w:rsidR="00E47C1E" w:rsidRDefault="00E47C1E" w:rsidP="006341CE">
      <w:pPr>
        <w:pStyle w:val="enumlev1"/>
      </w:pPr>
      <w:r w:rsidRPr="00BD14F8">
        <w:t>–</w:t>
      </w:r>
      <w:r w:rsidRPr="00BD14F8">
        <w:tab/>
        <w:t>M</w:t>
      </w:r>
      <w:r w:rsidR="00E1544C" w:rsidRPr="00BD14F8">
        <w:t>.</w:t>
      </w:r>
      <w:r w:rsidRPr="00BD14F8">
        <w:t xml:space="preserve"> Pedro Antonio BRAVO CARRANZA, </w:t>
      </w:r>
      <w:r w:rsidR="00E1544C" w:rsidRPr="00BD14F8">
        <w:t>Ministre</w:t>
      </w:r>
      <w:r w:rsidRPr="00BD14F8">
        <w:t xml:space="preserve">, </w:t>
      </w:r>
      <w:r w:rsidR="009A3AFA" w:rsidRPr="00BD14F8">
        <w:t>Représentant permanent adjoint</w:t>
      </w:r>
      <w:r w:rsidRPr="00BD14F8">
        <w:t xml:space="preserve">, </w:t>
      </w:r>
      <w:r w:rsidR="006C4E9F" w:rsidRPr="00BD14F8">
        <w:t xml:space="preserve">Mission permanente du Pérou auprès </w:t>
      </w:r>
      <w:r w:rsidR="005F42F9">
        <w:t>des organisations internationales</w:t>
      </w:r>
      <w:r w:rsidR="006C4E9F" w:rsidRPr="00BD14F8">
        <w:t xml:space="preserve"> à Genève</w:t>
      </w:r>
      <w:r w:rsidRPr="00BD14F8">
        <w:t xml:space="preserve">, </w:t>
      </w:r>
      <w:r w:rsidR="00C84B14" w:rsidRPr="00BD14F8">
        <w:t>Ministère des relations extérieures</w:t>
      </w:r>
      <w:r w:rsidRPr="00BD14F8">
        <w:t xml:space="preserve"> (</w:t>
      </w:r>
      <w:r w:rsidR="00C84B14" w:rsidRPr="00BD14F8">
        <w:t>Pérou</w:t>
      </w:r>
      <w:r w:rsidRPr="00BD14F8">
        <w:t>) (</w:t>
      </w:r>
      <w:r w:rsidR="00E1544C" w:rsidRPr="00BD14F8">
        <w:t>voir:</w:t>
      </w:r>
      <w:r w:rsidRPr="00BD14F8">
        <w:t xml:space="preserve"> </w:t>
      </w:r>
      <w:hyperlink r:id="rId21" w:history="1">
        <w:r w:rsidRPr="00BD14F8">
          <w:rPr>
            <w:rStyle w:val="Hyperlink"/>
          </w:rPr>
          <w:t>https://pp22.itu.int/en/itu_policy_statements/pedro-antonio-bravo-carranza-peru/</w:t>
        </w:r>
      </w:hyperlink>
      <w:r w:rsidR="007D2F1C">
        <w:t>);</w:t>
      </w:r>
    </w:p>
    <w:p w14:paraId="779548EC" w14:textId="6D1921A8" w:rsidR="007D2F1C" w:rsidRPr="0003059A" w:rsidRDefault="007D2F1C" w:rsidP="006341CE">
      <w:pPr>
        <w:pStyle w:val="enumlev1"/>
      </w:pPr>
      <w:r w:rsidRPr="0003059A">
        <w:t>–</w:t>
      </w:r>
      <w:r w:rsidRPr="0003059A">
        <w:tab/>
      </w:r>
      <w:r w:rsidRPr="0003059A">
        <w:rPr>
          <w:bCs/>
        </w:rPr>
        <w:t>M.</w:t>
      </w:r>
      <w:r w:rsidRPr="0003059A">
        <w:rPr>
          <w:bCs/>
        </w:rPr>
        <w:t xml:space="preserve"> Amandeep Singh Gill, </w:t>
      </w:r>
      <w:r w:rsidR="0003059A" w:rsidRPr="0003059A">
        <w:rPr>
          <w:color w:val="000000"/>
        </w:rPr>
        <w:t>Envoyé du Secrétaire général de l'Organisation des Nations Unies (ONU) pour les technologies</w:t>
      </w:r>
      <w:r w:rsidR="0003059A" w:rsidRPr="0003059A">
        <w:t xml:space="preserve"> </w:t>
      </w:r>
      <w:r w:rsidRPr="0003059A">
        <w:t>(</w:t>
      </w:r>
      <w:r w:rsidRPr="0003059A">
        <w:t>voir:</w:t>
      </w:r>
      <w:r w:rsidRPr="0003059A">
        <w:t xml:space="preserve"> </w:t>
      </w:r>
      <w:hyperlink r:id="rId22" w:history="1">
        <w:r w:rsidRPr="0003059A">
          <w:rPr>
            <w:rStyle w:val="Hyperlink"/>
          </w:rPr>
          <w:t>https://pp22.itu.int/en/itu_policy_stat</w:t>
        </w:r>
        <w:r w:rsidRPr="0003059A">
          <w:rPr>
            <w:rStyle w:val="Hyperlink"/>
          </w:rPr>
          <w:t>e</w:t>
        </w:r>
        <w:r w:rsidRPr="0003059A">
          <w:rPr>
            <w:rStyle w:val="Hyperlink"/>
          </w:rPr>
          <w:t>ments/amandeep-singh-gill-united-nations/</w:t>
        </w:r>
      </w:hyperlink>
      <w:r w:rsidRPr="0003059A">
        <w:t>).</w:t>
      </w:r>
    </w:p>
    <w:p w14:paraId="4166EFC9" w14:textId="27A5221D" w:rsidR="00DC507B" w:rsidRPr="00BD14F8" w:rsidRDefault="0003059A" w:rsidP="006341CE">
      <w:pPr>
        <w:pStyle w:val="Heading1"/>
      </w:pPr>
      <w:r>
        <w:t>2</w:t>
      </w:r>
      <w:r w:rsidR="00DC507B" w:rsidRPr="00BD14F8">
        <w:tab/>
      </w:r>
      <w:r w:rsidR="00534EC4" w:rsidRPr="00BD14F8">
        <w:t>Élections du Vice-Secrétaire général</w:t>
      </w:r>
      <w:r w:rsidR="00DC507B" w:rsidRPr="00BD14F8">
        <w:t xml:space="preserve"> (Documents </w:t>
      </w:r>
      <w:hyperlink r:id="rId23" w:history="1">
        <w:r w:rsidR="00DC507B" w:rsidRPr="00BD14F8">
          <w:rPr>
            <w:rStyle w:val="Hyperlink"/>
          </w:rPr>
          <w:t>98</w:t>
        </w:r>
      </w:hyperlink>
      <w:r w:rsidR="00DC507B" w:rsidRPr="00BD14F8">
        <w:t xml:space="preserve">, </w:t>
      </w:r>
      <w:hyperlink r:id="rId24" w:history="1">
        <w:r w:rsidR="00DC507B" w:rsidRPr="00BD14F8">
          <w:rPr>
            <w:rStyle w:val="Hyperlink"/>
          </w:rPr>
          <w:t>99</w:t>
        </w:r>
      </w:hyperlink>
      <w:r w:rsidR="00DC507B" w:rsidRPr="00BD14F8">
        <w:t xml:space="preserve">, </w:t>
      </w:r>
      <w:hyperlink r:id="rId25" w:history="1">
        <w:r w:rsidR="00DC507B" w:rsidRPr="00BD14F8">
          <w:rPr>
            <w:rStyle w:val="Hyperlink"/>
          </w:rPr>
          <w:t>100</w:t>
        </w:r>
      </w:hyperlink>
      <w:r w:rsidR="00DC507B" w:rsidRPr="00BD14F8">
        <w:t xml:space="preserve">, </w:t>
      </w:r>
      <w:hyperlink r:id="rId26" w:history="1">
        <w:r w:rsidR="00DC507B" w:rsidRPr="00BD14F8">
          <w:rPr>
            <w:rStyle w:val="Hyperlink"/>
          </w:rPr>
          <w:t>102</w:t>
        </w:r>
      </w:hyperlink>
      <w:r w:rsidR="00DC507B" w:rsidRPr="00BD14F8">
        <w:t xml:space="preserve">, </w:t>
      </w:r>
      <w:hyperlink r:id="rId27" w:history="1">
        <w:r w:rsidR="00DC507B" w:rsidRPr="00BD14F8">
          <w:rPr>
            <w:rStyle w:val="Hyperlink"/>
          </w:rPr>
          <w:t>110(R</w:t>
        </w:r>
        <w:r w:rsidR="00A77922" w:rsidRPr="00BD14F8">
          <w:rPr>
            <w:rStyle w:val="Hyperlink"/>
          </w:rPr>
          <w:t>é</w:t>
        </w:r>
        <w:r w:rsidR="00DC507B" w:rsidRPr="00BD14F8">
          <w:rPr>
            <w:rStyle w:val="Hyperlink"/>
          </w:rPr>
          <w:t>v.1)</w:t>
        </w:r>
      </w:hyperlink>
      <w:r w:rsidR="00DC507B" w:rsidRPr="00BD14F8">
        <w:t xml:space="preserve"> </w:t>
      </w:r>
      <w:r w:rsidR="00A77922" w:rsidRPr="00BD14F8">
        <w:t>et</w:t>
      </w:r>
      <w:r w:rsidR="00DC507B" w:rsidRPr="00BD14F8">
        <w:t xml:space="preserve"> </w:t>
      </w:r>
      <w:hyperlink r:id="rId28" w:history="1">
        <w:r w:rsidR="00DC507B" w:rsidRPr="00BD14F8">
          <w:rPr>
            <w:rStyle w:val="Hyperlink"/>
          </w:rPr>
          <w:t>113</w:t>
        </w:r>
      </w:hyperlink>
      <w:r w:rsidR="00DC507B" w:rsidRPr="00BD14F8">
        <w:t>)</w:t>
      </w:r>
    </w:p>
    <w:p w14:paraId="2509D1A1" w14:textId="16183134" w:rsidR="00DC507B" w:rsidRPr="00BD14F8" w:rsidRDefault="0003059A" w:rsidP="006341CE">
      <w:r>
        <w:t>2</w:t>
      </w:r>
      <w:r w:rsidR="00DC507B" w:rsidRPr="00BD14F8">
        <w:t>.1</w:t>
      </w:r>
      <w:r w:rsidR="00DC507B" w:rsidRPr="00BD14F8">
        <w:tab/>
      </w:r>
      <w:r w:rsidR="00C25274" w:rsidRPr="00BD14F8">
        <w:t>L</w:t>
      </w:r>
      <w:r w:rsidR="007A76EE" w:rsidRPr="00BD14F8">
        <w:t>a</w:t>
      </w:r>
      <w:r w:rsidR="00C25274" w:rsidRPr="00BD14F8">
        <w:t xml:space="preserve"> </w:t>
      </w:r>
      <w:r w:rsidR="00C25274" w:rsidRPr="00BD14F8">
        <w:rPr>
          <w:b/>
          <w:bCs/>
        </w:rPr>
        <w:t xml:space="preserve">Secrétaire de la plénière </w:t>
      </w:r>
      <w:r w:rsidR="00C25274" w:rsidRPr="00BD14F8">
        <w:t xml:space="preserve">rappelle que la Conférence a déjà pris note des transferts de pouvoirs des </w:t>
      </w:r>
      <w:r w:rsidR="002F74C9">
        <w:t>îl</w:t>
      </w:r>
      <w:r w:rsidR="00C25274" w:rsidRPr="00BD14F8">
        <w:t xml:space="preserve">es Marshall aux États-Unis (Document 98), de </w:t>
      </w:r>
      <w:r w:rsidR="00DC507B" w:rsidRPr="00BD14F8">
        <w:t xml:space="preserve">Tuvalu </w:t>
      </w:r>
      <w:r w:rsidR="00C25274" w:rsidRPr="00BD14F8">
        <w:t>à l</w:t>
      </w:r>
      <w:r w:rsidR="007D2F1C">
        <w:t>'</w:t>
      </w:r>
      <w:r w:rsidR="00C25274" w:rsidRPr="00BD14F8">
        <w:t>Australie</w:t>
      </w:r>
      <w:r w:rsidR="00DC507B" w:rsidRPr="00BD14F8">
        <w:t xml:space="preserve"> (Document 99), </w:t>
      </w:r>
      <w:r w:rsidR="00C25274" w:rsidRPr="00BD14F8">
        <w:t>du</w:t>
      </w:r>
      <w:r w:rsidR="00DC507B" w:rsidRPr="00BD14F8">
        <w:t xml:space="preserve"> Costa Rica </w:t>
      </w:r>
      <w:r w:rsidR="00C25274" w:rsidRPr="00BD14F8">
        <w:t>à la République dominicaine</w:t>
      </w:r>
      <w:r w:rsidR="00DC507B" w:rsidRPr="00BD14F8">
        <w:t xml:space="preserve"> (Document 100) </w:t>
      </w:r>
      <w:r w:rsidR="00587841" w:rsidRPr="00BD14F8">
        <w:t xml:space="preserve">et de Sao Tomé-et-Principe au Portugal </w:t>
      </w:r>
      <w:r w:rsidR="00DC507B" w:rsidRPr="00BD14F8">
        <w:t>(Document 102)</w:t>
      </w:r>
      <w:r w:rsidR="00587841" w:rsidRPr="00BD14F8">
        <w:t xml:space="preserve"> et</w:t>
      </w:r>
      <w:r w:rsidR="00DC507B" w:rsidRPr="00BD14F8">
        <w:t xml:space="preserve"> </w:t>
      </w:r>
      <w:r w:rsidR="00587841" w:rsidRPr="00BD14F8">
        <w:t>annonce que</w:t>
      </w:r>
      <w:r w:rsidR="00DC507B" w:rsidRPr="00BD14F8">
        <w:t xml:space="preserve">, </w:t>
      </w:r>
      <w:r w:rsidR="00587841" w:rsidRPr="00BD14F8">
        <w:t>comme indiqué dans le Document</w:t>
      </w:r>
      <w:r w:rsidR="00DC507B" w:rsidRPr="00BD14F8">
        <w:t xml:space="preserve"> 113, </w:t>
      </w:r>
      <w:r w:rsidR="00F5725C" w:rsidRPr="00BD14F8">
        <w:t xml:space="preserve">la délégation de Kiribati a donné </w:t>
      </w:r>
      <w:r w:rsidR="00261EA0">
        <w:t>procuration</w:t>
      </w:r>
      <w:r w:rsidR="00261EA0" w:rsidRPr="00BD14F8">
        <w:t xml:space="preserve"> </w:t>
      </w:r>
      <w:r w:rsidR="00F5725C" w:rsidRPr="00BD14F8">
        <w:t>à la délégation de la Nouvelle-Zélande pour exercer son droit de vote en son nom pou</w:t>
      </w:r>
      <w:r w:rsidR="001E187C" w:rsidRPr="00BD14F8">
        <w:t>r</w:t>
      </w:r>
      <w:r w:rsidR="00F5725C" w:rsidRPr="00BD14F8">
        <w:t xml:space="preserve"> les élections </w:t>
      </w:r>
      <w:r w:rsidR="0035538D">
        <w:rPr>
          <w:color w:val="000000"/>
        </w:rPr>
        <w:t>qui doivent encore avoir lieu</w:t>
      </w:r>
      <w:r w:rsidR="00DC507B" w:rsidRPr="00BD14F8">
        <w:t>.</w:t>
      </w:r>
    </w:p>
    <w:p w14:paraId="04BBDEA4" w14:textId="77040EB1" w:rsidR="00DC507B" w:rsidRPr="00BD14F8" w:rsidRDefault="0003059A" w:rsidP="006341CE">
      <w:r>
        <w:t>2</w:t>
      </w:r>
      <w:r w:rsidR="00DC507B" w:rsidRPr="00BD14F8">
        <w:t>.2</w:t>
      </w:r>
      <w:r w:rsidR="00DC507B" w:rsidRPr="00BD14F8">
        <w:tab/>
      </w:r>
      <w:r w:rsidR="001E187C" w:rsidRPr="00BD14F8">
        <w:t xml:space="preserve">Il est </w:t>
      </w:r>
      <w:r w:rsidR="001E187C" w:rsidRPr="00BD14F8">
        <w:rPr>
          <w:b/>
          <w:bCs/>
        </w:rPr>
        <w:t>pris note</w:t>
      </w:r>
      <w:r w:rsidR="001E187C" w:rsidRPr="00BD14F8">
        <w:t xml:space="preserve"> de cette procuration</w:t>
      </w:r>
      <w:r w:rsidR="00DC507B" w:rsidRPr="00BD14F8">
        <w:t>.</w:t>
      </w:r>
    </w:p>
    <w:p w14:paraId="6E1C4130" w14:textId="5BFC65D1" w:rsidR="00DC507B" w:rsidRPr="00BD14F8" w:rsidRDefault="0003059A" w:rsidP="006341CE">
      <w:r>
        <w:t>2</w:t>
      </w:r>
      <w:r w:rsidR="00DC507B" w:rsidRPr="00BD14F8">
        <w:t>.3</w:t>
      </w:r>
      <w:r w:rsidR="00DC507B" w:rsidRPr="00BD14F8">
        <w:tab/>
        <w:t>L</w:t>
      </w:r>
      <w:r w:rsidR="007A76EE" w:rsidRPr="00BD14F8">
        <w:t>a</w:t>
      </w:r>
      <w:r w:rsidR="00DC507B" w:rsidRPr="00BD14F8">
        <w:t xml:space="preserve"> </w:t>
      </w:r>
      <w:r w:rsidR="007A76EE" w:rsidRPr="00BD14F8">
        <w:rPr>
          <w:b/>
          <w:bCs/>
        </w:rPr>
        <w:t>Secrétaire de la plénière</w:t>
      </w:r>
      <w:r w:rsidR="00DC507B" w:rsidRPr="00BD14F8">
        <w:t xml:space="preserve"> indique que les cinq scrutateurs représentant les cinq régions administratives ont pris leurs fonctions et explique la procédure de vote. </w:t>
      </w:r>
      <w:r w:rsidR="007A76EE" w:rsidRPr="00BD14F8">
        <w:t>Un bulletin</w:t>
      </w:r>
      <w:r w:rsidR="00DC507B" w:rsidRPr="00BD14F8">
        <w:t xml:space="preserve"> de vote </w:t>
      </w:r>
      <w:r w:rsidR="007A76EE" w:rsidRPr="00BD14F8">
        <w:t>a</w:t>
      </w:r>
      <w:r w:rsidR="00DC507B" w:rsidRPr="00BD14F8">
        <w:t xml:space="preserve"> été remis à chaque délégation </w:t>
      </w:r>
      <w:r w:rsidR="007A76EE" w:rsidRPr="00BD14F8">
        <w:t>pour</w:t>
      </w:r>
      <w:r w:rsidR="00DC507B" w:rsidRPr="00BD14F8">
        <w:t xml:space="preserve"> l</w:t>
      </w:r>
      <w:r w:rsidR="007D2F1C">
        <w:t>'</w:t>
      </w:r>
      <w:r w:rsidR="00DC507B" w:rsidRPr="00BD14F8">
        <w:t>élection du Vice-Secrétaire général. La Secrétaire de la plénière procède à l</w:t>
      </w:r>
      <w:r w:rsidR="007D2F1C">
        <w:t>'</w:t>
      </w:r>
      <w:r w:rsidR="00DC507B" w:rsidRPr="00BD14F8">
        <w:t xml:space="preserve">appel des délégations ayant le droit de vote (Document </w:t>
      </w:r>
      <w:r w:rsidR="00A3458D" w:rsidRPr="00BD14F8">
        <w:t>110(Rév.1)</w:t>
      </w:r>
      <w:r w:rsidR="00DC507B" w:rsidRPr="00BD14F8">
        <w:t>) et les invite à déposer leurs bulletins dans les urnes prévues à cet effet.</w:t>
      </w:r>
    </w:p>
    <w:p w14:paraId="0AEA3683" w14:textId="4F1B8CC3" w:rsidR="00DC507B" w:rsidRPr="00BD14F8" w:rsidRDefault="0003059A" w:rsidP="006341CE">
      <w:r>
        <w:lastRenderedPageBreak/>
        <w:t>2</w:t>
      </w:r>
      <w:r w:rsidR="00DC507B" w:rsidRPr="00BD14F8">
        <w:t>.4</w:t>
      </w:r>
      <w:r w:rsidR="00DC507B" w:rsidRPr="00BD14F8">
        <w:tab/>
      </w:r>
      <w:r w:rsidR="007B385C" w:rsidRPr="00BD14F8">
        <w:t>Sont candidats au poste de Vice-Secrétaire général</w:t>
      </w:r>
      <w:r w:rsidR="00DC507B" w:rsidRPr="00BD14F8">
        <w:t>: M</w:t>
      </w:r>
      <w:r w:rsidR="007B385C" w:rsidRPr="00BD14F8">
        <w:t>.</w:t>
      </w:r>
      <w:r w:rsidR="00DC507B" w:rsidRPr="00BD14F8">
        <w:t xml:space="preserve"> Tomas Lamanauskas (</w:t>
      </w:r>
      <w:r w:rsidR="007B385C" w:rsidRPr="00BD14F8">
        <w:t>Lituanie</w:t>
      </w:r>
      <w:r w:rsidR="00DC507B" w:rsidRPr="00BD14F8">
        <w:t>), M</w:t>
      </w:r>
      <w:r w:rsidR="00E8025C" w:rsidRPr="00BD14F8">
        <w:t>.</w:t>
      </w:r>
      <w:r w:rsidR="00557132">
        <w:t> </w:t>
      </w:r>
      <w:r w:rsidR="00DC507B" w:rsidRPr="00BD14F8">
        <w:t>Chaesub Lee (</w:t>
      </w:r>
      <w:r w:rsidR="00E8025C" w:rsidRPr="00BD14F8">
        <w:t>République de Corée</w:t>
      </w:r>
      <w:r w:rsidR="00DC507B" w:rsidRPr="00BD14F8">
        <w:t xml:space="preserve">) </w:t>
      </w:r>
      <w:r w:rsidR="00E8025C" w:rsidRPr="00BD14F8">
        <w:t>et Mme</w:t>
      </w:r>
      <w:r w:rsidR="00DC507B" w:rsidRPr="00BD14F8">
        <w:t xml:space="preserve"> Gisa Fuatai Purcell (Samoa).</w:t>
      </w:r>
    </w:p>
    <w:p w14:paraId="6855DB27" w14:textId="23858463" w:rsidR="00E47C1E" w:rsidRPr="00BD14F8" w:rsidRDefault="0003059A" w:rsidP="006341CE">
      <w:pPr>
        <w:spacing w:after="120"/>
      </w:pPr>
      <w:r>
        <w:t>2</w:t>
      </w:r>
      <w:r w:rsidR="00DC507B" w:rsidRPr="00BD14F8">
        <w:t>.5</w:t>
      </w:r>
      <w:r w:rsidR="00DC507B" w:rsidRPr="00BD14F8">
        <w:tab/>
        <w:t>Résultats du vote:</w:t>
      </w:r>
    </w:p>
    <w:tbl>
      <w:tblPr>
        <w:tblStyle w:val="TableGrid"/>
        <w:tblW w:w="7051" w:type="dxa"/>
        <w:tblInd w:w="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5"/>
        <w:gridCol w:w="1276"/>
      </w:tblGrid>
      <w:tr w:rsidR="00DC507B" w:rsidRPr="00BD14F8" w14:paraId="7284E90E" w14:textId="77777777" w:rsidTr="002F74C9">
        <w:tc>
          <w:tcPr>
            <w:tcW w:w="5775" w:type="dxa"/>
          </w:tcPr>
          <w:p w14:paraId="716563AB" w14:textId="7C16888C" w:rsidR="00DC507B" w:rsidRPr="00BD14F8" w:rsidRDefault="00DC507B" w:rsidP="006341CE">
            <w:r w:rsidRPr="00BD14F8">
              <w:t>Nombre de bulletins déposés:</w:t>
            </w:r>
          </w:p>
        </w:tc>
        <w:tc>
          <w:tcPr>
            <w:tcW w:w="1276" w:type="dxa"/>
          </w:tcPr>
          <w:p w14:paraId="59AD9047" w14:textId="2251523D" w:rsidR="00DC507B" w:rsidRPr="00BD14F8" w:rsidRDefault="00DC507B" w:rsidP="002F74C9">
            <w:pPr>
              <w:jc w:val="right"/>
            </w:pPr>
            <w:r w:rsidRPr="00BD14F8">
              <w:t>179</w:t>
            </w:r>
          </w:p>
        </w:tc>
      </w:tr>
      <w:tr w:rsidR="00DC507B" w:rsidRPr="00BD14F8" w14:paraId="1F0C7A0E" w14:textId="77777777" w:rsidTr="002F74C9">
        <w:tc>
          <w:tcPr>
            <w:tcW w:w="5775" w:type="dxa"/>
          </w:tcPr>
          <w:p w14:paraId="6FEDA230" w14:textId="04CCF11E" w:rsidR="00DC507B" w:rsidRPr="00BD14F8" w:rsidRDefault="00DC507B" w:rsidP="006341CE">
            <w:r w:rsidRPr="00BD14F8">
              <w:t>Nombre de bulletins nuls:</w:t>
            </w:r>
          </w:p>
        </w:tc>
        <w:tc>
          <w:tcPr>
            <w:tcW w:w="1276" w:type="dxa"/>
          </w:tcPr>
          <w:p w14:paraId="0A73FF0E" w14:textId="5B72A417" w:rsidR="00DC507B" w:rsidRPr="00BD14F8" w:rsidRDefault="00DC507B" w:rsidP="002F74C9">
            <w:pPr>
              <w:jc w:val="right"/>
            </w:pPr>
            <w:r w:rsidRPr="00BD14F8">
              <w:t>1</w:t>
            </w:r>
          </w:p>
        </w:tc>
      </w:tr>
      <w:tr w:rsidR="00DC507B" w:rsidRPr="00BD14F8" w14:paraId="29FFC5CD" w14:textId="77777777" w:rsidTr="002F74C9">
        <w:tc>
          <w:tcPr>
            <w:tcW w:w="5775" w:type="dxa"/>
          </w:tcPr>
          <w:p w14:paraId="3CB326E1" w14:textId="08B45D7A" w:rsidR="00DC507B" w:rsidRPr="00BD14F8" w:rsidRDefault="00DC507B" w:rsidP="006341CE">
            <w:r w:rsidRPr="00BD14F8">
              <w:t>Abstentions:</w:t>
            </w:r>
          </w:p>
        </w:tc>
        <w:tc>
          <w:tcPr>
            <w:tcW w:w="1276" w:type="dxa"/>
          </w:tcPr>
          <w:p w14:paraId="3FE75DA1" w14:textId="77777777" w:rsidR="00DC507B" w:rsidRPr="00BD14F8" w:rsidRDefault="00DC507B" w:rsidP="002F74C9">
            <w:pPr>
              <w:jc w:val="right"/>
            </w:pPr>
            <w:r w:rsidRPr="00BD14F8">
              <w:t>2</w:t>
            </w:r>
          </w:p>
        </w:tc>
      </w:tr>
      <w:tr w:rsidR="00DC507B" w:rsidRPr="00BD14F8" w14:paraId="53D802EE" w14:textId="77777777" w:rsidTr="002F74C9">
        <w:tc>
          <w:tcPr>
            <w:tcW w:w="5775" w:type="dxa"/>
          </w:tcPr>
          <w:p w14:paraId="54541AEB" w14:textId="6A312A00" w:rsidR="00DC507B" w:rsidRPr="00BD14F8" w:rsidRDefault="00DC507B" w:rsidP="002F74C9">
            <w:r w:rsidRPr="00BD14F8">
              <w:t>Nombre de délégations présentes et votant (nombre de bulletins servant à déterminer la majorité requise):</w:t>
            </w:r>
          </w:p>
        </w:tc>
        <w:tc>
          <w:tcPr>
            <w:tcW w:w="1276" w:type="dxa"/>
          </w:tcPr>
          <w:p w14:paraId="39999438" w14:textId="77777777" w:rsidR="00DC507B" w:rsidRPr="00BD14F8" w:rsidRDefault="00DC507B" w:rsidP="002F74C9">
            <w:pPr>
              <w:jc w:val="right"/>
            </w:pPr>
            <w:r w:rsidRPr="00BD14F8">
              <w:br/>
              <w:t>176</w:t>
            </w:r>
          </w:p>
        </w:tc>
      </w:tr>
      <w:tr w:rsidR="00DC507B" w:rsidRPr="00BD14F8" w14:paraId="5CD2208B" w14:textId="77777777" w:rsidTr="002F74C9">
        <w:tc>
          <w:tcPr>
            <w:tcW w:w="5775" w:type="dxa"/>
          </w:tcPr>
          <w:p w14:paraId="20F55574" w14:textId="6DC656F4" w:rsidR="00DC507B" w:rsidRPr="00BD14F8" w:rsidRDefault="00DC507B" w:rsidP="006341CE">
            <w:r w:rsidRPr="00BD14F8">
              <w:t>Majorité requise:</w:t>
            </w:r>
          </w:p>
        </w:tc>
        <w:tc>
          <w:tcPr>
            <w:tcW w:w="1276" w:type="dxa"/>
          </w:tcPr>
          <w:p w14:paraId="7EDC19AE" w14:textId="77777777" w:rsidR="00DC507B" w:rsidRPr="00BD14F8" w:rsidRDefault="00DC507B" w:rsidP="002F74C9">
            <w:pPr>
              <w:jc w:val="right"/>
            </w:pPr>
            <w:r w:rsidRPr="00BD14F8">
              <w:t>89</w:t>
            </w:r>
          </w:p>
        </w:tc>
      </w:tr>
      <w:tr w:rsidR="00DC507B" w:rsidRPr="00BD14F8" w14:paraId="1F78C42A" w14:textId="77777777" w:rsidTr="002F74C9">
        <w:tc>
          <w:tcPr>
            <w:tcW w:w="5775" w:type="dxa"/>
          </w:tcPr>
          <w:p w14:paraId="043769EA" w14:textId="130BBFC1" w:rsidR="00DC507B" w:rsidRPr="00BD14F8" w:rsidRDefault="00DC507B" w:rsidP="006341CE">
            <w:r w:rsidRPr="00BD14F8">
              <w:t>Nombre de voix obtenues:</w:t>
            </w:r>
          </w:p>
        </w:tc>
        <w:tc>
          <w:tcPr>
            <w:tcW w:w="1276" w:type="dxa"/>
          </w:tcPr>
          <w:p w14:paraId="5CE6DB52" w14:textId="77777777" w:rsidR="00DC507B" w:rsidRPr="00BD14F8" w:rsidRDefault="00DC507B" w:rsidP="002F74C9">
            <w:pPr>
              <w:jc w:val="right"/>
            </w:pPr>
          </w:p>
        </w:tc>
      </w:tr>
      <w:tr w:rsidR="0003059A" w:rsidRPr="00BD14F8" w14:paraId="098AD045" w14:textId="77777777" w:rsidTr="002F74C9">
        <w:trPr>
          <w:trHeight w:val="1239"/>
        </w:trPr>
        <w:tc>
          <w:tcPr>
            <w:tcW w:w="5775" w:type="dxa"/>
          </w:tcPr>
          <w:p w14:paraId="757F2EA4" w14:textId="46FAA3C6" w:rsidR="0003059A" w:rsidRPr="0003059A" w:rsidRDefault="0003059A" w:rsidP="0003059A">
            <w:pPr>
              <w:tabs>
                <w:tab w:val="clear" w:pos="567"/>
                <w:tab w:val="clear" w:pos="1134"/>
                <w:tab w:val="left" w:pos="707"/>
              </w:tabs>
              <w:spacing w:before="80"/>
              <w:ind w:left="6" w:hanging="8"/>
            </w:pPr>
            <w:r w:rsidRPr="0003059A">
              <w:sym w:font="Symbol" w:char="F02D"/>
            </w:r>
            <w:r w:rsidRPr="0003059A">
              <w:tab/>
              <w:t>Mme G. Purcell</w:t>
            </w:r>
          </w:p>
          <w:p w14:paraId="78D71E2A" w14:textId="77777777" w:rsidR="0003059A" w:rsidRPr="0003059A" w:rsidRDefault="0003059A" w:rsidP="0003059A">
            <w:pPr>
              <w:tabs>
                <w:tab w:val="clear" w:pos="567"/>
                <w:tab w:val="clear" w:pos="1134"/>
                <w:tab w:val="left" w:pos="707"/>
              </w:tabs>
              <w:spacing w:before="80"/>
              <w:ind w:left="6" w:hanging="8"/>
            </w:pPr>
            <w:r w:rsidRPr="0003059A">
              <w:t>–</w:t>
            </w:r>
            <w:r w:rsidRPr="0003059A">
              <w:tab/>
              <w:t>M. C. Lee</w:t>
            </w:r>
          </w:p>
          <w:p w14:paraId="770A3DE5" w14:textId="6FAD29E4" w:rsidR="0003059A" w:rsidRPr="00BD14F8" w:rsidRDefault="0003059A" w:rsidP="0003059A">
            <w:pPr>
              <w:tabs>
                <w:tab w:val="clear" w:pos="567"/>
                <w:tab w:val="clear" w:pos="1134"/>
                <w:tab w:val="left" w:pos="707"/>
              </w:tabs>
              <w:spacing w:before="80"/>
              <w:ind w:left="6" w:hanging="8"/>
            </w:pPr>
            <w:r w:rsidRPr="0003059A">
              <w:t>–</w:t>
            </w:r>
            <w:r w:rsidRPr="0003059A">
              <w:tab/>
              <w:t>M. T. Lamanauskas</w:t>
            </w:r>
          </w:p>
        </w:tc>
        <w:tc>
          <w:tcPr>
            <w:tcW w:w="1276" w:type="dxa"/>
          </w:tcPr>
          <w:p w14:paraId="160F398D" w14:textId="12A44240" w:rsidR="0003059A" w:rsidRPr="00BD14F8" w:rsidRDefault="0003059A" w:rsidP="002F74C9">
            <w:pPr>
              <w:spacing w:before="80"/>
              <w:jc w:val="right"/>
            </w:pPr>
            <w:r w:rsidRPr="00BD14F8">
              <w:t>12 vo</w:t>
            </w:r>
            <w:r>
              <w:t>ix</w:t>
            </w:r>
          </w:p>
          <w:p w14:paraId="5118D7B5" w14:textId="77777777" w:rsidR="0003059A" w:rsidRPr="00BD14F8" w:rsidRDefault="0003059A" w:rsidP="002F74C9">
            <w:pPr>
              <w:spacing w:before="80"/>
              <w:jc w:val="right"/>
            </w:pPr>
            <w:r w:rsidRPr="00BD14F8">
              <w:t>59 vo</w:t>
            </w:r>
            <w:r>
              <w:t>ix</w:t>
            </w:r>
          </w:p>
          <w:p w14:paraId="5EF574B3" w14:textId="4118211B" w:rsidR="0003059A" w:rsidRPr="00BD14F8" w:rsidRDefault="0003059A" w:rsidP="002F74C9">
            <w:pPr>
              <w:spacing w:before="80"/>
              <w:jc w:val="right"/>
            </w:pPr>
            <w:r w:rsidRPr="00BD14F8">
              <w:t>105 vo</w:t>
            </w:r>
            <w:r>
              <w:t>ix</w:t>
            </w:r>
          </w:p>
        </w:tc>
      </w:tr>
    </w:tbl>
    <w:p w14:paraId="0449B2B3" w14:textId="76C7C6EE" w:rsidR="00DC507B" w:rsidRPr="00BD14F8" w:rsidRDefault="0003059A" w:rsidP="006341CE">
      <w:pPr>
        <w:spacing w:before="240"/>
      </w:pPr>
      <w:r>
        <w:t>2</w:t>
      </w:r>
      <w:r w:rsidR="00DC507B" w:rsidRPr="00BD14F8">
        <w:t>.6</w:t>
      </w:r>
      <w:r w:rsidR="00DC507B" w:rsidRPr="00BD14F8">
        <w:tab/>
      </w:r>
      <w:r w:rsidR="00DC507B" w:rsidRPr="00BD14F8">
        <w:rPr>
          <w:b/>
          <w:bCs/>
        </w:rPr>
        <w:t>M. T. Lamanauskas (Lit</w:t>
      </w:r>
      <w:r w:rsidR="00E8025C" w:rsidRPr="00BD14F8">
        <w:rPr>
          <w:b/>
          <w:bCs/>
        </w:rPr>
        <w:t>uanie</w:t>
      </w:r>
      <w:r w:rsidR="00DC507B" w:rsidRPr="00BD14F8">
        <w:rPr>
          <w:b/>
          <w:bCs/>
        </w:rPr>
        <w:t xml:space="preserve">) </w:t>
      </w:r>
      <w:r w:rsidR="00E8025C" w:rsidRPr="00BD14F8">
        <w:rPr>
          <w:b/>
          <w:bCs/>
        </w:rPr>
        <w:t>est élu Vice-Secrétaire général</w:t>
      </w:r>
      <w:r w:rsidR="00DC507B" w:rsidRPr="002F74C9">
        <w:rPr>
          <w:bCs/>
        </w:rPr>
        <w:t>.</w:t>
      </w:r>
    </w:p>
    <w:p w14:paraId="1A592138" w14:textId="559D666C" w:rsidR="00DC507B" w:rsidRPr="00073B5C" w:rsidRDefault="0003059A" w:rsidP="006341CE">
      <w:pPr>
        <w:rPr>
          <w:lang w:val="fr-CH"/>
        </w:rPr>
      </w:pPr>
      <w:r>
        <w:t>2</w:t>
      </w:r>
      <w:r w:rsidR="00DC507B" w:rsidRPr="00BD14F8">
        <w:t>.7</w:t>
      </w:r>
      <w:r w:rsidR="00DC507B" w:rsidRPr="00BD14F8">
        <w:tab/>
        <w:t xml:space="preserve">Le </w:t>
      </w:r>
      <w:r w:rsidR="00DC507B" w:rsidRPr="00C45BC8">
        <w:rPr>
          <w:b/>
          <w:bCs/>
        </w:rPr>
        <w:t xml:space="preserve">Vice-Secrétaire général </w:t>
      </w:r>
      <w:r w:rsidR="00C45BC8" w:rsidRPr="00C45BC8">
        <w:rPr>
          <w:b/>
          <w:bCs/>
        </w:rPr>
        <w:t>élu</w:t>
      </w:r>
      <w:r w:rsidR="00C45BC8">
        <w:t xml:space="preserve"> </w:t>
      </w:r>
      <w:r w:rsidR="00DC507B" w:rsidRPr="00BD14F8">
        <w:t xml:space="preserve">se dit honoré de </w:t>
      </w:r>
      <w:r w:rsidR="00BD14F8">
        <w:t>son élection</w:t>
      </w:r>
      <w:r w:rsidR="00DC507B" w:rsidRPr="00BD14F8">
        <w:t xml:space="preserve"> et remercie les </w:t>
      </w:r>
      <w:r w:rsidR="00BD14F8">
        <w:t>États Membres</w:t>
      </w:r>
      <w:r w:rsidR="00DC507B" w:rsidRPr="00BD14F8">
        <w:t xml:space="preserve"> de lui faire confiance et le Gouvernement </w:t>
      </w:r>
      <w:r w:rsidR="00410416">
        <w:t>de la Lituanie</w:t>
      </w:r>
      <w:r w:rsidR="00DC507B" w:rsidRPr="00BD14F8">
        <w:t xml:space="preserve"> d</w:t>
      </w:r>
      <w:r w:rsidR="007D2F1C">
        <w:t>'</w:t>
      </w:r>
      <w:r w:rsidR="00DC507B" w:rsidRPr="00BD14F8">
        <w:t xml:space="preserve">avoir soutenu sa candidature. Il félicite </w:t>
      </w:r>
      <w:r w:rsidR="00410416">
        <w:t xml:space="preserve">le Vice-Secrétaire général sortant </w:t>
      </w:r>
      <w:r w:rsidR="00DC507B" w:rsidRPr="00BD14F8">
        <w:t>pour son immense contribution à l</w:t>
      </w:r>
      <w:r w:rsidR="007D2F1C">
        <w:t>'</w:t>
      </w:r>
      <w:r w:rsidR="00DC507B" w:rsidRPr="00BD14F8">
        <w:t xml:space="preserve">UIT et remercie les fonctionnaires élus et le personnel pour leur collaboration. </w:t>
      </w:r>
      <w:r w:rsidR="00410416" w:rsidRPr="00410416">
        <w:t>L</w:t>
      </w:r>
      <w:r w:rsidR="007D2F1C">
        <w:t>'</w:t>
      </w:r>
      <w:r w:rsidR="00410416" w:rsidRPr="00410416">
        <w:t>Union a besoin de bases financières solides et se doit d</w:t>
      </w:r>
      <w:r w:rsidR="007D2F1C">
        <w:t>'</w:t>
      </w:r>
      <w:r w:rsidR="00410416" w:rsidRPr="00410416">
        <w:t>être en</w:t>
      </w:r>
      <w:r w:rsidR="00410416">
        <w:t xml:space="preserve"> adéquation avec sa mission</w:t>
      </w:r>
      <w:r w:rsidR="00BB6883">
        <w:t xml:space="preserve"> sur le plan opérationnel</w:t>
      </w:r>
      <w:r w:rsidR="00410416">
        <w:t xml:space="preserve">. </w:t>
      </w:r>
      <w:r w:rsidR="00073B5C">
        <w:t>L</w:t>
      </w:r>
      <w:r w:rsidR="007D2F1C">
        <w:t>'</w:t>
      </w:r>
      <w:r w:rsidR="00073B5C">
        <w:t>orateur</w:t>
      </w:r>
      <w:r w:rsidR="00CB33F6" w:rsidRPr="00CB33F6">
        <w:t xml:space="preserve"> compte sur les États Membres pour orienter </w:t>
      </w:r>
      <w:r w:rsidR="00261EA0">
        <w:t>l</w:t>
      </w:r>
      <w:r w:rsidR="00CB33F6" w:rsidRPr="00CB33F6">
        <w:t xml:space="preserve">es travaux </w:t>
      </w:r>
      <w:r w:rsidR="00261EA0">
        <w:t>de l</w:t>
      </w:r>
      <w:r w:rsidR="007D2F1C">
        <w:t>'</w:t>
      </w:r>
      <w:r w:rsidR="00261EA0">
        <w:t xml:space="preserve">organisation </w:t>
      </w:r>
      <w:r w:rsidR="00CB33F6" w:rsidRPr="00CB33F6">
        <w:t>et se réjouit d</w:t>
      </w:r>
      <w:r w:rsidR="007D2F1C">
        <w:t>'</w:t>
      </w:r>
      <w:r w:rsidR="009C2CBC" w:rsidRPr="00CB33F6">
        <w:t>œuvrer</w:t>
      </w:r>
      <w:r w:rsidR="00CB33F6" w:rsidRPr="00CB33F6">
        <w:t xml:space="preserve"> à </w:t>
      </w:r>
      <w:r w:rsidR="009C2CBC">
        <w:t xml:space="preserve">garantir un </w:t>
      </w:r>
      <w:r w:rsidR="002F74C9">
        <w:t>avenir numérique pour tous.</w:t>
      </w:r>
    </w:p>
    <w:p w14:paraId="685C30EA" w14:textId="1572152A" w:rsidR="00DC507B" w:rsidRPr="002A093D" w:rsidRDefault="0003059A" w:rsidP="006341CE">
      <w:pPr>
        <w:rPr>
          <w:lang w:val="fr-CH"/>
        </w:rPr>
      </w:pPr>
      <w:r>
        <w:t>2</w:t>
      </w:r>
      <w:r w:rsidR="00DC507B" w:rsidRPr="00BD14F8">
        <w:t>.8</w:t>
      </w:r>
      <w:r w:rsidR="00DC507B" w:rsidRPr="00BD14F8">
        <w:tab/>
      </w:r>
      <w:r w:rsidR="00900915">
        <w:t xml:space="preserve">Le </w:t>
      </w:r>
      <w:r w:rsidR="00900915">
        <w:rPr>
          <w:b/>
          <w:bCs/>
        </w:rPr>
        <w:t xml:space="preserve">délégué de la Lituanie </w:t>
      </w:r>
      <w:r w:rsidR="00900915">
        <w:t xml:space="preserve">félicite M. </w:t>
      </w:r>
      <w:r w:rsidR="00DC507B" w:rsidRPr="00BD14F8">
        <w:t xml:space="preserve">Lamanauskas </w:t>
      </w:r>
      <w:r w:rsidR="00900915">
        <w:t>pour son élection</w:t>
      </w:r>
      <w:r w:rsidR="00DC507B" w:rsidRPr="00BD14F8">
        <w:t>.</w:t>
      </w:r>
      <w:r w:rsidR="00900915">
        <w:t xml:space="preserve"> </w:t>
      </w:r>
      <w:r w:rsidR="00900915" w:rsidRPr="00900915">
        <w:t>Il ne doute pas que M. </w:t>
      </w:r>
      <w:r w:rsidR="00DC507B" w:rsidRPr="00900915">
        <w:t xml:space="preserve">Lamanauskas, </w:t>
      </w:r>
      <w:r w:rsidR="00900915" w:rsidRPr="00900915">
        <w:t>qui sera le plus jeune Vice-Secrétaire général de l</w:t>
      </w:r>
      <w:r w:rsidR="007D2F1C">
        <w:t>'</w:t>
      </w:r>
      <w:r w:rsidR="00900915" w:rsidRPr="00900915">
        <w:t>histoire de l</w:t>
      </w:r>
      <w:r w:rsidR="007D2F1C">
        <w:t>'</w:t>
      </w:r>
      <w:r w:rsidR="00900915">
        <w:t>Union, s</w:t>
      </w:r>
      <w:r w:rsidR="007D2F1C">
        <w:t>'</w:t>
      </w:r>
      <w:r w:rsidR="00900915">
        <w:t xml:space="preserve">emploiera à faire en sorte que chaque voix compte. </w:t>
      </w:r>
      <w:r w:rsidR="00192A92" w:rsidRPr="00192A92">
        <w:t>L</w:t>
      </w:r>
      <w:r w:rsidR="007D2F1C">
        <w:t>'</w:t>
      </w:r>
      <w:r w:rsidR="00192A92" w:rsidRPr="00192A92">
        <w:t>orateur remercie les États Membres et l</w:t>
      </w:r>
      <w:r w:rsidR="007D2F1C">
        <w:t>'</w:t>
      </w:r>
      <w:r w:rsidR="00192A92" w:rsidRPr="00192A92">
        <w:t>équipe de direction de l</w:t>
      </w:r>
      <w:r w:rsidR="007D2F1C">
        <w:t>'</w:t>
      </w:r>
      <w:r w:rsidR="00192A92" w:rsidRPr="00192A92">
        <w:t>UIT pour la confiance</w:t>
      </w:r>
      <w:r w:rsidR="002A093D">
        <w:t xml:space="preserve"> qu</w:t>
      </w:r>
      <w:r w:rsidR="007D2F1C">
        <w:t>'</w:t>
      </w:r>
      <w:r w:rsidR="002A093D">
        <w:t>ils ont</w:t>
      </w:r>
      <w:r w:rsidR="00192A92" w:rsidRPr="00192A92">
        <w:t xml:space="preserve"> accordée au ca</w:t>
      </w:r>
      <w:r w:rsidR="00192A92">
        <w:t xml:space="preserve">ndidat </w:t>
      </w:r>
      <w:r w:rsidR="002A093D">
        <w:t>de</w:t>
      </w:r>
      <w:r w:rsidR="00192A92">
        <w:t xml:space="preserve"> son pays et félicite les au</w:t>
      </w:r>
      <w:r w:rsidR="00AB43D6">
        <w:t>t</w:t>
      </w:r>
      <w:r w:rsidR="00192A92">
        <w:t xml:space="preserve">res candidats pour leur campagne. </w:t>
      </w:r>
    </w:p>
    <w:p w14:paraId="33CD7D77" w14:textId="4FFE0291" w:rsidR="00DC507B" w:rsidRPr="00BD14F8" w:rsidRDefault="0003059A" w:rsidP="006341CE">
      <w:r>
        <w:t>2</w:t>
      </w:r>
      <w:r w:rsidR="00DC507B" w:rsidRPr="00BD14F8">
        <w:t>.9</w:t>
      </w:r>
      <w:r w:rsidR="00DC507B" w:rsidRPr="00BD14F8">
        <w:tab/>
      </w:r>
      <w:r w:rsidR="00DC507B" w:rsidRPr="00BD14F8">
        <w:rPr>
          <w:b/>
          <w:bCs/>
        </w:rPr>
        <w:t>M</w:t>
      </w:r>
      <w:r w:rsidR="00586259" w:rsidRPr="00BD14F8">
        <w:rPr>
          <w:b/>
          <w:bCs/>
        </w:rPr>
        <w:t>.</w:t>
      </w:r>
      <w:r w:rsidR="00DC507B" w:rsidRPr="00BD14F8">
        <w:rPr>
          <w:b/>
          <w:bCs/>
        </w:rPr>
        <w:t xml:space="preserve"> Lee</w:t>
      </w:r>
      <w:r w:rsidR="00DC507B" w:rsidRPr="00BD14F8">
        <w:t xml:space="preserve"> </w:t>
      </w:r>
      <w:r w:rsidR="002A115A">
        <w:t xml:space="preserve">félicite le Vice-Secrétaire général élu et remercie le Gouvernement de la République de Corée ainsi que les États Membres pour leur appui </w:t>
      </w:r>
      <w:r w:rsidR="0064172D">
        <w:t>tout au long de sa</w:t>
      </w:r>
      <w:r w:rsidR="002A115A">
        <w:t xml:space="preserve"> campagne. </w:t>
      </w:r>
    </w:p>
    <w:p w14:paraId="6D530CC1" w14:textId="28156D52" w:rsidR="00DC507B" w:rsidRPr="00BD14F8" w:rsidRDefault="0003059A" w:rsidP="006341CE">
      <w:r>
        <w:t>2</w:t>
      </w:r>
      <w:r w:rsidR="00DC507B" w:rsidRPr="00BD14F8">
        <w:t>.10</w:t>
      </w:r>
      <w:r w:rsidR="00DC507B" w:rsidRPr="00BD14F8">
        <w:tab/>
      </w:r>
      <w:r w:rsidR="00DC507B" w:rsidRPr="00BD14F8">
        <w:rPr>
          <w:b/>
          <w:bCs/>
        </w:rPr>
        <w:t>M</w:t>
      </w:r>
      <w:r w:rsidR="00586259" w:rsidRPr="00BD14F8">
        <w:rPr>
          <w:b/>
          <w:bCs/>
        </w:rPr>
        <w:t>me</w:t>
      </w:r>
      <w:r w:rsidR="00DC507B" w:rsidRPr="00BD14F8">
        <w:rPr>
          <w:b/>
          <w:bCs/>
        </w:rPr>
        <w:t xml:space="preserve"> Purcell</w:t>
      </w:r>
      <w:r w:rsidR="00DC507B" w:rsidRPr="00BD14F8">
        <w:t xml:space="preserve"> </w:t>
      </w:r>
      <w:r w:rsidR="00F74E5F">
        <w:t xml:space="preserve">adresse ses félicitations au Vice-Secrétaire général nouvellement élu et remercie son gouvernement </w:t>
      </w:r>
      <w:r w:rsidR="00EB2B0A">
        <w:t>de l</w:t>
      </w:r>
      <w:r w:rsidR="007D2F1C">
        <w:t>'</w:t>
      </w:r>
      <w:r w:rsidR="00EB2B0A">
        <w:t>avoir soutenue durant sa campagne</w:t>
      </w:r>
      <w:r w:rsidR="00F74E5F">
        <w:t xml:space="preserve">. </w:t>
      </w:r>
    </w:p>
    <w:p w14:paraId="261D2FBE" w14:textId="4397AFD1" w:rsidR="00DC507B" w:rsidRPr="00024961" w:rsidRDefault="0003059A" w:rsidP="006341CE">
      <w:r>
        <w:t>2</w:t>
      </w:r>
      <w:r w:rsidR="00DC507B" w:rsidRPr="00BD14F8">
        <w:t>.11</w:t>
      </w:r>
      <w:r w:rsidR="00DC507B" w:rsidRPr="00BD14F8">
        <w:tab/>
      </w:r>
      <w:r w:rsidR="00AA5769">
        <w:t xml:space="preserve">Le </w:t>
      </w:r>
      <w:r w:rsidR="00AA5769">
        <w:rPr>
          <w:b/>
          <w:bCs/>
        </w:rPr>
        <w:t xml:space="preserve">Secrétaire général </w:t>
      </w:r>
      <w:r w:rsidR="00AA5769">
        <w:t xml:space="preserve">félicite le Vice-Secrétaire général nouvellement élu et </w:t>
      </w:r>
      <w:r w:rsidR="00185D16">
        <w:t xml:space="preserve">salue les deux autres candidats. </w:t>
      </w:r>
      <w:r w:rsidR="00024961" w:rsidRPr="00024961">
        <w:t>En tant que plus jeune Vice-Secrétaire général de l</w:t>
      </w:r>
      <w:r w:rsidR="007D2F1C">
        <w:t>'</w:t>
      </w:r>
      <w:r w:rsidR="00024961" w:rsidRPr="00024961">
        <w:t>histoire de l</w:t>
      </w:r>
      <w:r w:rsidR="007D2F1C">
        <w:t>'</w:t>
      </w:r>
      <w:r w:rsidR="00A0094B">
        <w:t>organisation</w:t>
      </w:r>
      <w:r w:rsidR="00024961" w:rsidRPr="00024961">
        <w:t>, M.</w:t>
      </w:r>
      <w:r w:rsidR="00024961">
        <w:t> </w:t>
      </w:r>
      <w:r w:rsidR="00DC507B" w:rsidRPr="00024961">
        <w:t xml:space="preserve">Lamanauskas </w:t>
      </w:r>
      <w:r w:rsidR="00024961">
        <w:t>incarne l</w:t>
      </w:r>
      <w:r w:rsidR="007D2F1C">
        <w:t>'</w:t>
      </w:r>
      <w:r w:rsidR="00024961">
        <w:t>avenir de l</w:t>
      </w:r>
      <w:r w:rsidR="007D2F1C">
        <w:t>'</w:t>
      </w:r>
      <w:r w:rsidR="00024961">
        <w:t>U</w:t>
      </w:r>
      <w:r w:rsidR="00C664B1">
        <w:t>IT</w:t>
      </w:r>
      <w:r w:rsidR="00024961">
        <w:t xml:space="preserve"> et comprend les défis que doit relever l</w:t>
      </w:r>
      <w:r w:rsidR="007D2F1C">
        <w:t>'</w:t>
      </w:r>
      <w:r w:rsidR="00024961">
        <w:t>Union et les possibilités qui s</w:t>
      </w:r>
      <w:r w:rsidR="007D2F1C">
        <w:t>'</w:t>
      </w:r>
      <w:r w:rsidR="00024961">
        <w:t>offrent à elle</w:t>
      </w:r>
      <w:r w:rsidR="00DC507B" w:rsidRPr="00024961">
        <w:t>.</w:t>
      </w:r>
    </w:p>
    <w:p w14:paraId="48BD4797" w14:textId="582A7336" w:rsidR="00DC507B" w:rsidRPr="00BD14F8" w:rsidRDefault="0003059A" w:rsidP="006341CE">
      <w:r>
        <w:t>2</w:t>
      </w:r>
      <w:r w:rsidR="00DC507B" w:rsidRPr="00BD14F8">
        <w:t>.12</w:t>
      </w:r>
      <w:r w:rsidR="00DC507B" w:rsidRPr="00BD14F8">
        <w:tab/>
      </w:r>
      <w:r w:rsidR="000A03FD">
        <w:t xml:space="preserve">Les délégués du </w:t>
      </w:r>
      <w:r w:rsidR="000A03FD" w:rsidRPr="000C6128">
        <w:rPr>
          <w:b/>
          <w:bCs/>
        </w:rPr>
        <w:t>Brésil</w:t>
      </w:r>
      <w:r w:rsidR="000A03FD">
        <w:t xml:space="preserve">, de la </w:t>
      </w:r>
      <w:r w:rsidR="000A03FD" w:rsidRPr="000C6128">
        <w:rPr>
          <w:b/>
          <w:bCs/>
        </w:rPr>
        <w:t>République du Congo</w:t>
      </w:r>
      <w:r w:rsidR="000A03FD">
        <w:t xml:space="preserve">, du </w:t>
      </w:r>
      <w:r w:rsidR="000A03FD" w:rsidRPr="000C6128">
        <w:rPr>
          <w:b/>
          <w:bCs/>
        </w:rPr>
        <w:t>Ghana</w:t>
      </w:r>
      <w:r w:rsidR="000A03FD">
        <w:t>, d</w:t>
      </w:r>
      <w:r w:rsidR="007D2F1C">
        <w:t>'</w:t>
      </w:r>
      <w:r w:rsidR="000A03FD" w:rsidRPr="000C6128">
        <w:rPr>
          <w:b/>
          <w:bCs/>
        </w:rPr>
        <w:t>Israël</w:t>
      </w:r>
      <w:r w:rsidR="000A03FD">
        <w:t xml:space="preserve">, du </w:t>
      </w:r>
      <w:r w:rsidR="000A03FD" w:rsidRPr="000C6128">
        <w:rPr>
          <w:b/>
          <w:bCs/>
        </w:rPr>
        <w:t>Canada</w:t>
      </w:r>
      <w:r w:rsidR="000A03FD">
        <w:t>, s</w:t>
      </w:r>
      <w:r w:rsidR="007D2F1C">
        <w:t>'</w:t>
      </w:r>
      <w:r w:rsidR="000A03FD">
        <w:t xml:space="preserve">exprimant au nom de la CITEL, des </w:t>
      </w:r>
      <w:r w:rsidR="000A03FD" w:rsidRPr="000C6128">
        <w:rPr>
          <w:b/>
          <w:bCs/>
        </w:rPr>
        <w:t>Émirats arabes unis</w:t>
      </w:r>
      <w:r w:rsidR="000A03FD">
        <w:t>, s</w:t>
      </w:r>
      <w:r w:rsidR="007D2F1C">
        <w:t>'</w:t>
      </w:r>
      <w:r w:rsidR="000A03FD">
        <w:t xml:space="preserve">exprimant au nom du groupe des États arabes, de la </w:t>
      </w:r>
      <w:r w:rsidR="000A03FD" w:rsidRPr="000C6128">
        <w:rPr>
          <w:b/>
          <w:bCs/>
        </w:rPr>
        <w:t>Roumanie</w:t>
      </w:r>
      <w:r w:rsidR="000A03FD">
        <w:t>, s</w:t>
      </w:r>
      <w:r w:rsidR="007D2F1C">
        <w:t>'</w:t>
      </w:r>
      <w:r w:rsidR="000A03FD">
        <w:t xml:space="preserve">exprimant au nom de la CEPT, des </w:t>
      </w:r>
      <w:r w:rsidR="000A03FD" w:rsidRPr="000C6128">
        <w:rPr>
          <w:b/>
          <w:bCs/>
        </w:rPr>
        <w:t>États-Unis</w:t>
      </w:r>
      <w:r w:rsidR="000A03FD">
        <w:t>, de l</w:t>
      </w:r>
      <w:r w:rsidR="007D2F1C">
        <w:t>'</w:t>
      </w:r>
      <w:r w:rsidR="000A03FD" w:rsidRPr="000C6128">
        <w:rPr>
          <w:b/>
          <w:bCs/>
        </w:rPr>
        <w:t>Inde</w:t>
      </w:r>
      <w:r w:rsidR="000A03FD">
        <w:t xml:space="preserve">, du </w:t>
      </w:r>
      <w:r w:rsidR="000A03FD" w:rsidRPr="000C6128">
        <w:rPr>
          <w:b/>
          <w:bCs/>
        </w:rPr>
        <w:t>Cambodge</w:t>
      </w:r>
      <w:r w:rsidR="000A03FD">
        <w:t>, de l</w:t>
      </w:r>
      <w:r w:rsidR="007D2F1C">
        <w:t>'</w:t>
      </w:r>
      <w:r w:rsidR="000A03FD" w:rsidRPr="000C6128">
        <w:rPr>
          <w:b/>
          <w:bCs/>
        </w:rPr>
        <w:t>Arabie saoudite</w:t>
      </w:r>
      <w:r w:rsidR="000A03FD">
        <w:t xml:space="preserve">, de la </w:t>
      </w:r>
      <w:r w:rsidR="000A03FD" w:rsidRPr="000C6128">
        <w:rPr>
          <w:b/>
          <w:bCs/>
        </w:rPr>
        <w:t>Türkiye</w:t>
      </w:r>
      <w:r w:rsidR="000A03FD">
        <w:t>,</w:t>
      </w:r>
      <w:r w:rsidR="005217B2">
        <w:t xml:space="preserve"> de la </w:t>
      </w:r>
      <w:r w:rsidR="005217B2" w:rsidRPr="000C6128">
        <w:rPr>
          <w:b/>
          <w:bCs/>
        </w:rPr>
        <w:t>Namibie</w:t>
      </w:r>
      <w:r w:rsidR="005217B2">
        <w:t xml:space="preserve">, de la </w:t>
      </w:r>
      <w:r w:rsidR="005217B2" w:rsidRPr="000C6128">
        <w:rPr>
          <w:b/>
          <w:bCs/>
        </w:rPr>
        <w:t>République tchèque</w:t>
      </w:r>
      <w:r w:rsidR="005217B2">
        <w:t>, de l</w:t>
      </w:r>
      <w:r w:rsidR="007D2F1C">
        <w:t>'</w:t>
      </w:r>
      <w:r w:rsidR="005217B2" w:rsidRPr="000C6128">
        <w:rPr>
          <w:b/>
          <w:bCs/>
        </w:rPr>
        <w:t>Ukraine</w:t>
      </w:r>
      <w:r w:rsidR="005217B2">
        <w:t xml:space="preserve">, de la </w:t>
      </w:r>
      <w:r w:rsidR="005217B2" w:rsidRPr="000C6128">
        <w:rPr>
          <w:b/>
          <w:bCs/>
        </w:rPr>
        <w:t>République de Corée</w:t>
      </w:r>
      <w:r w:rsidR="005217B2">
        <w:t xml:space="preserve">, du </w:t>
      </w:r>
      <w:r w:rsidR="005217B2" w:rsidRPr="000C6128">
        <w:rPr>
          <w:b/>
          <w:bCs/>
        </w:rPr>
        <w:t>Kirghizistan</w:t>
      </w:r>
      <w:r w:rsidR="005217B2">
        <w:t xml:space="preserve">, de la </w:t>
      </w:r>
      <w:r w:rsidR="005217B2" w:rsidRPr="000C6128">
        <w:rPr>
          <w:b/>
          <w:bCs/>
        </w:rPr>
        <w:t>Thaïlande</w:t>
      </w:r>
      <w:r w:rsidR="005217B2">
        <w:t xml:space="preserve">, de la </w:t>
      </w:r>
      <w:r w:rsidR="005217B2" w:rsidRPr="000C6128">
        <w:rPr>
          <w:b/>
          <w:bCs/>
        </w:rPr>
        <w:t>Papouasie-Nouvelle-Guinée</w:t>
      </w:r>
      <w:r w:rsidR="005217B2">
        <w:t xml:space="preserve">, </w:t>
      </w:r>
      <w:r w:rsidR="005217B2">
        <w:lastRenderedPageBreak/>
        <w:t>s</w:t>
      </w:r>
      <w:r w:rsidR="007D2F1C">
        <w:t>'</w:t>
      </w:r>
      <w:r w:rsidR="005217B2">
        <w:t>exprimant au nom de l</w:t>
      </w:r>
      <w:r w:rsidR="007D2F1C">
        <w:t>'</w:t>
      </w:r>
      <w:r w:rsidR="005217B2">
        <w:t xml:space="preserve">APT, du </w:t>
      </w:r>
      <w:r w:rsidR="005217B2" w:rsidRPr="000C6128">
        <w:rPr>
          <w:b/>
          <w:bCs/>
        </w:rPr>
        <w:t>Paraguay</w:t>
      </w:r>
      <w:r w:rsidR="005217B2">
        <w:t xml:space="preserve">, de la </w:t>
      </w:r>
      <w:r w:rsidR="005217B2" w:rsidRPr="000C6128">
        <w:rPr>
          <w:b/>
          <w:bCs/>
        </w:rPr>
        <w:t>Gambie</w:t>
      </w:r>
      <w:r w:rsidR="005217B2">
        <w:t xml:space="preserve">, du </w:t>
      </w:r>
      <w:r w:rsidR="005217B2" w:rsidRPr="000C6128">
        <w:rPr>
          <w:b/>
          <w:bCs/>
        </w:rPr>
        <w:t>Nigéria</w:t>
      </w:r>
      <w:r w:rsidR="005217B2">
        <w:t xml:space="preserve">, de </w:t>
      </w:r>
      <w:r w:rsidR="005217B2" w:rsidRPr="000C6128">
        <w:rPr>
          <w:b/>
          <w:bCs/>
        </w:rPr>
        <w:t>Cabo Verde</w:t>
      </w:r>
      <w:r w:rsidR="005217B2">
        <w:t xml:space="preserve">, du </w:t>
      </w:r>
      <w:r w:rsidR="005217B2" w:rsidRPr="000C6128">
        <w:rPr>
          <w:b/>
          <w:bCs/>
        </w:rPr>
        <w:t>Zimbabwe</w:t>
      </w:r>
      <w:r w:rsidR="005217B2">
        <w:t xml:space="preserve">, du </w:t>
      </w:r>
      <w:r w:rsidR="005217B2" w:rsidRPr="000C6128">
        <w:rPr>
          <w:b/>
          <w:bCs/>
        </w:rPr>
        <w:t>Mexique</w:t>
      </w:r>
      <w:r w:rsidR="005217B2">
        <w:t xml:space="preserve">, du </w:t>
      </w:r>
      <w:r w:rsidR="005217B2" w:rsidRPr="000C6128">
        <w:rPr>
          <w:b/>
          <w:bCs/>
        </w:rPr>
        <w:t>Timor-Leste</w:t>
      </w:r>
      <w:r w:rsidR="005217B2">
        <w:t xml:space="preserve">, de la </w:t>
      </w:r>
      <w:r w:rsidR="005217B2" w:rsidRPr="000C6128">
        <w:rPr>
          <w:b/>
          <w:bCs/>
        </w:rPr>
        <w:t>Fédération de Russie</w:t>
      </w:r>
      <w:r w:rsidR="005217B2">
        <w:t>, s</w:t>
      </w:r>
      <w:r w:rsidR="007D2F1C">
        <w:t>'</w:t>
      </w:r>
      <w:r w:rsidR="002F74C9">
        <w:t>exprimant au nom de la </w:t>
      </w:r>
      <w:bookmarkStart w:id="8" w:name="_GoBack"/>
      <w:bookmarkEnd w:id="8"/>
      <w:r w:rsidR="005217B2">
        <w:t xml:space="preserve">RCC, du </w:t>
      </w:r>
      <w:r w:rsidR="005217B2" w:rsidRPr="000C6128">
        <w:rPr>
          <w:b/>
          <w:bCs/>
        </w:rPr>
        <w:t>Vanuatu</w:t>
      </w:r>
      <w:r w:rsidR="005217B2">
        <w:t xml:space="preserve">, des </w:t>
      </w:r>
      <w:r w:rsidR="005217B2" w:rsidRPr="000C6128">
        <w:rPr>
          <w:b/>
          <w:bCs/>
        </w:rPr>
        <w:t>Comores</w:t>
      </w:r>
      <w:r w:rsidR="005217B2">
        <w:t xml:space="preserve">, de la </w:t>
      </w:r>
      <w:r w:rsidR="005217B2" w:rsidRPr="000C6128">
        <w:rPr>
          <w:b/>
          <w:bCs/>
        </w:rPr>
        <w:t>Tunisie</w:t>
      </w:r>
      <w:r w:rsidR="005217B2">
        <w:t>, de l</w:t>
      </w:r>
      <w:r w:rsidR="007D2F1C">
        <w:t>'</w:t>
      </w:r>
      <w:r w:rsidR="005217B2" w:rsidRPr="000C6128">
        <w:rPr>
          <w:b/>
          <w:bCs/>
        </w:rPr>
        <w:t>Égypte</w:t>
      </w:r>
      <w:r w:rsidR="005217B2">
        <w:t xml:space="preserve">, du </w:t>
      </w:r>
      <w:r w:rsidR="005217B2" w:rsidRPr="000C6128">
        <w:rPr>
          <w:b/>
          <w:bCs/>
        </w:rPr>
        <w:t>Japon</w:t>
      </w:r>
      <w:r w:rsidR="005217B2">
        <w:t xml:space="preserve">, du </w:t>
      </w:r>
      <w:r w:rsidR="005217B2" w:rsidRPr="000C6128">
        <w:rPr>
          <w:b/>
          <w:bCs/>
        </w:rPr>
        <w:t>Pakistan</w:t>
      </w:r>
      <w:r w:rsidR="005217B2">
        <w:t xml:space="preserve">, du </w:t>
      </w:r>
      <w:r w:rsidR="005217B2" w:rsidRPr="007A0182">
        <w:rPr>
          <w:b/>
          <w:bCs/>
        </w:rPr>
        <w:t>Libér</w:t>
      </w:r>
      <w:r w:rsidR="000C6128" w:rsidRPr="007A0182">
        <w:rPr>
          <w:b/>
          <w:bCs/>
        </w:rPr>
        <w:t>ia</w:t>
      </w:r>
      <w:r w:rsidR="005217B2">
        <w:t xml:space="preserve">, de </w:t>
      </w:r>
      <w:r w:rsidR="005217B2" w:rsidRPr="007A0182">
        <w:rPr>
          <w:b/>
          <w:bCs/>
        </w:rPr>
        <w:t>Maurice</w:t>
      </w:r>
      <w:r w:rsidR="005217B2">
        <w:t>, de l</w:t>
      </w:r>
      <w:r w:rsidR="007D2F1C">
        <w:t>'</w:t>
      </w:r>
      <w:r w:rsidR="005217B2" w:rsidRPr="007A0182">
        <w:rPr>
          <w:b/>
          <w:bCs/>
        </w:rPr>
        <w:t>Azerbaïdjan</w:t>
      </w:r>
      <w:r w:rsidR="005217B2">
        <w:t xml:space="preserve">, du </w:t>
      </w:r>
      <w:r w:rsidR="005217B2" w:rsidRPr="007A0182">
        <w:rPr>
          <w:b/>
          <w:bCs/>
        </w:rPr>
        <w:t>Rwanda</w:t>
      </w:r>
      <w:r w:rsidR="005217B2">
        <w:t xml:space="preserve">, de la </w:t>
      </w:r>
      <w:r w:rsidR="005217B2" w:rsidRPr="007A0182">
        <w:rPr>
          <w:b/>
          <w:bCs/>
        </w:rPr>
        <w:t>Suisse</w:t>
      </w:r>
      <w:r w:rsidR="005217B2">
        <w:t xml:space="preserve"> et de l</w:t>
      </w:r>
      <w:r w:rsidR="007D2F1C">
        <w:t>'</w:t>
      </w:r>
      <w:r w:rsidR="005217B2" w:rsidRPr="007A0182">
        <w:rPr>
          <w:b/>
          <w:bCs/>
        </w:rPr>
        <w:t>Ouzbékistan</w:t>
      </w:r>
      <w:r w:rsidR="005217B2">
        <w:t xml:space="preserve"> </w:t>
      </w:r>
      <w:r w:rsidR="003228A8">
        <w:t xml:space="preserve">félicitent le nouveau </w:t>
      </w:r>
      <w:r>
        <w:t>Vice</w:t>
      </w:r>
      <w:r>
        <w:noBreakHyphen/>
      </w:r>
      <w:r w:rsidR="0049691A">
        <w:t xml:space="preserve">Secrétaire général pour son élection. Nombre de délégués saluent également les autres candidats et </w:t>
      </w:r>
      <w:r w:rsidR="00810DCF">
        <w:t>rendent hommage au</w:t>
      </w:r>
      <w:r w:rsidR="002763E9">
        <w:t xml:space="preserve"> Vice-Secrétaire général sortan</w:t>
      </w:r>
      <w:r w:rsidR="007A0182">
        <w:t>t</w:t>
      </w:r>
      <w:r w:rsidR="00DC507B" w:rsidRPr="00BD14F8">
        <w:t>.</w:t>
      </w:r>
    </w:p>
    <w:p w14:paraId="7B0C0CDC" w14:textId="648F102E" w:rsidR="00586259" w:rsidRPr="0003059A" w:rsidRDefault="00586259" w:rsidP="006341CE">
      <w:pPr>
        <w:rPr>
          <w:b/>
        </w:rPr>
      </w:pPr>
      <w:r w:rsidRPr="0003059A">
        <w:rPr>
          <w:b/>
        </w:rPr>
        <w:t>La séance est levée à 17 h 55.</w:t>
      </w:r>
    </w:p>
    <w:p w14:paraId="65736F69" w14:textId="243FF4A6" w:rsidR="00E47C1E" w:rsidRPr="00BD14F8" w:rsidRDefault="00586259" w:rsidP="0003059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pacing w:before="840"/>
      </w:pPr>
      <w:r w:rsidRPr="00BD14F8">
        <w:t>Le Secrétaire général:</w:t>
      </w:r>
      <w:r w:rsidRPr="00BD14F8">
        <w:tab/>
        <w:t>Le Président:</w:t>
      </w:r>
      <w:r w:rsidRPr="00BD14F8">
        <w:br/>
        <w:t>H. ZHAO</w:t>
      </w:r>
      <w:r w:rsidRPr="00BD14F8">
        <w:tab/>
        <w:t>S. Sărmaș</w:t>
      </w:r>
    </w:p>
    <w:sectPr w:rsidR="00E47C1E" w:rsidRPr="00BD14F8" w:rsidSect="003A0B7D">
      <w:headerReference w:type="default" r:id="rId29"/>
      <w:footerReference w:type="default" r:id="rId30"/>
      <w:footerReference w:type="first" r:id="rId3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B3D98" w16cex:dateUtc="2022-10-07T2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52E530" w16cid:durableId="26EB3D98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F645D" w14:textId="77777777" w:rsidR="00696B2D" w:rsidRDefault="00696B2D">
      <w:r>
        <w:separator/>
      </w:r>
    </w:p>
  </w:endnote>
  <w:endnote w:type="continuationSeparator" w:id="0">
    <w:p w14:paraId="171487AF" w14:textId="77777777" w:rsidR="00696B2D" w:rsidRDefault="0069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2516" w14:textId="1F198693" w:rsidR="00E47C1E" w:rsidRPr="006341CE" w:rsidRDefault="007D2F1C" w:rsidP="007D2F1C">
    <w:pPr>
      <w:pStyle w:val="Footer"/>
      <w:rPr>
        <w:lang w:val="en-GB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A32B2D">
      <w:t>P:\FRA\SG\CONF-SG\PP22\100\140F.docx</w:t>
    </w:r>
    <w:r>
      <w:fldChar w:fldCharType="end"/>
    </w:r>
    <w:r w:rsidR="00E47C1E" w:rsidRPr="006341CE">
      <w:rPr>
        <w:lang w:val="en-GB"/>
      </w:rPr>
      <w:t xml:space="preserve"> (514020)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F7C66" w14:textId="594B67FF" w:rsidR="000C467B" w:rsidRDefault="000D15FB" w:rsidP="00E47C1E">
    <w:pPr>
      <w:pStyle w:val="firstfooter0"/>
      <w:spacing w:before="0" w:beforeAutospacing="0" w:after="0" w:afterAutospacing="0"/>
      <w:jc w:val="center"/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6359EF" w:rsidRPr="006359EF">
        <w:rPr>
          <w:rStyle w:val="Hyperlink"/>
          <w:sz w:val="22"/>
          <w:szCs w:val="22"/>
          <w:lang w:val="en-GB"/>
        </w:rPr>
        <w:t>www.itu.int/plenipotentiary/</w:t>
      </w:r>
    </w:hyperlink>
    <w:r w:rsidR="006359EF" w:rsidRPr="006359EF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ED8F5" w14:textId="77777777" w:rsidR="00696B2D" w:rsidRDefault="00696B2D">
      <w:r>
        <w:t>____________________</w:t>
      </w:r>
    </w:p>
  </w:footnote>
  <w:footnote w:type="continuationSeparator" w:id="0">
    <w:p w14:paraId="38068C51" w14:textId="77777777" w:rsidR="00696B2D" w:rsidRDefault="0069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ED6A7" w14:textId="6E44E2F2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32B2D">
      <w:rPr>
        <w:noProof/>
      </w:rPr>
      <w:t>4</w:t>
    </w:r>
    <w:r>
      <w:fldChar w:fldCharType="end"/>
    </w:r>
  </w:p>
  <w:p w14:paraId="650D8FD2" w14:textId="16230A36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E47C1E">
      <w:t>140</w:t>
    </w:r>
    <w:r w:rsidR="00420EF8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6A12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905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DA8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9C1A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5C34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A28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5A6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8AA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846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67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24961"/>
    <w:rsid w:val="0003059A"/>
    <w:rsid w:val="000450E1"/>
    <w:rsid w:val="000609D4"/>
    <w:rsid w:val="00060D74"/>
    <w:rsid w:val="00072D5C"/>
    <w:rsid w:val="00073B5C"/>
    <w:rsid w:val="0008398C"/>
    <w:rsid w:val="00084308"/>
    <w:rsid w:val="00090123"/>
    <w:rsid w:val="000A03FD"/>
    <w:rsid w:val="000B0CD9"/>
    <w:rsid w:val="000B14B6"/>
    <w:rsid w:val="000C467B"/>
    <w:rsid w:val="000C6128"/>
    <w:rsid w:val="000D15FB"/>
    <w:rsid w:val="000F58F7"/>
    <w:rsid w:val="001051E4"/>
    <w:rsid w:val="00134B53"/>
    <w:rsid w:val="001354EA"/>
    <w:rsid w:val="00136FCE"/>
    <w:rsid w:val="00153BA4"/>
    <w:rsid w:val="00176414"/>
    <w:rsid w:val="00185D16"/>
    <w:rsid w:val="001905C1"/>
    <w:rsid w:val="00192A92"/>
    <w:rsid w:val="001941AD"/>
    <w:rsid w:val="0019732C"/>
    <w:rsid w:val="001A0682"/>
    <w:rsid w:val="001B4D8D"/>
    <w:rsid w:val="001D31B2"/>
    <w:rsid w:val="001E187C"/>
    <w:rsid w:val="001E1B9B"/>
    <w:rsid w:val="001E2226"/>
    <w:rsid w:val="001F6233"/>
    <w:rsid w:val="00231519"/>
    <w:rsid w:val="002355CD"/>
    <w:rsid w:val="00261EA0"/>
    <w:rsid w:val="00270B2F"/>
    <w:rsid w:val="0027560C"/>
    <w:rsid w:val="002763E9"/>
    <w:rsid w:val="0027669F"/>
    <w:rsid w:val="0027790D"/>
    <w:rsid w:val="002841BF"/>
    <w:rsid w:val="002A093D"/>
    <w:rsid w:val="002A0E1B"/>
    <w:rsid w:val="002A115A"/>
    <w:rsid w:val="002A7A1D"/>
    <w:rsid w:val="002B51B4"/>
    <w:rsid w:val="002C1059"/>
    <w:rsid w:val="002C2F9C"/>
    <w:rsid w:val="002C529D"/>
    <w:rsid w:val="002D59A0"/>
    <w:rsid w:val="002F74C9"/>
    <w:rsid w:val="00302F8C"/>
    <w:rsid w:val="003228A8"/>
    <w:rsid w:val="00322DEA"/>
    <w:rsid w:val="003309CD"/>
    <w:rsid w:val="0035538D"/>
    <w:rsid w:val="00355FBD"/>
    <w:rsid w:val="00381461"/>
    <w:rsid w:val="00391C12"/>
    <w:rsid w:val="003A0B7D"/>
    <w:rsid w:val="003A45C2"/>
    <w:rsid w:val="003C4BE2"/>
    <w:rsid w:val="003D147D"/>
    <w:rsid w:val="003D637A"/>
    <w:rsid w:val="003D7EFF"/>
    <w:rsid w:val="00402E36"/>
    <w:rsid w:val="00404B4E"/>
    <w:rsid w:val="00410416"/>
    <w:rsid w:val="00420EF8"/>
    <w:rsid w:val="00430015"/>
    <w:rsid w:val="004678D0"/>
    <w:rsid w:val="00482954"/>
    <w:rsid w:val="004951C0"/>
    <w:rsid w:val="00495C5D"/>
    <w:rsid w:val="0049691A"/>
    <w:rsid w:val="004976BE"/>
    <w:rsid w:val="004C340D"/>
    <w:rsid w:val="004C383B"/>
    <w:rsid w:val="004C7646"/>
    <w:rsid w:val="005217B2"/>
    <w:rsid w:val="00524001"/>
    <w:rsid w:val="00534EC4"/>
    <w:rsid w:val="00557132"/>
    <w:rsid w:val="00564B63"/>
    <w:rsid w:val="00575DC7"/>
    <w:rsid w:val="005836C2"/>
    <w:rsid w:val="00586259"/>
    <w:rsid w:val="00587841"/>
    <w:rsid w:val="005A4EFD"/>
    <w:rsid w:val="005A5ABE"/>
    <w:rsid w:val="005C2ECC"/>
    <w:rsid w:val="005C6744"/>
    <w:rsid w:val="005E419E"/>
    <w:rsid w:val="005F42F9"/>
    <w:rsid w:val="005F63BD"/>
    <w:rsid w:val="00610319"/>
    <w:rsid w:val="00611CF1"/>
    <w:rsid w:val="006201D9"/>
    <w:rsid w:val="006277DB"/>
    <w:rsid w:val="006341CE"/>
    <w:rsid w:val="006359EF"/>
    <w:rsid w:val="00635B7B"/>
    <w:rsid w:val="0064172D"/>
    <w:rsid w:val="00642F21"/>
    <w:rsid w:val="00655B98"/>
    <w:rsid w:val="006710E6"/>
    <w:rsid w:val="00686973"/>
    <w:rsid w:val="00696B2D"/>
    <w:rsid w:val="006A212C"/>
    <w:rsid w:val="006A2656"/>
    <w:rsid w:val="006A3475"/>
    <w:rsid w:val="006A6342"/>
    <w:rsid w:val="006B6C9C"/>
    <w:rsid w:val="006C4E9F"/>
    <w:rsid w:val="006C7AE3"/>
    <w:rsid w:val="006D55E8"/>
    <w:rsid w:val="006E1921"/>
    <w:rsid w:val="006E7FFD"/>
    <w:rsid w:val="006F36F9"/>
    <w:rsid w:val="006F5743"/>
    <w:rsid w:val="0070060C"/>
    <w:rsid w:val="0070576B"/>
    <w:rsid w:val="00713335"/>
    <w:rsid w:val="00727C2F"/>
    <w:rsid w:val="00735F13"/>
    <w:rsid w:val="007622D6"/>
    <w:rsid w:val="007717F2"/>
    <w:rsid w:val="00772E3B"/>
    <w:rsid w:val="0078134C"/>
    <w:rsid w:val="00797A41"/>
    <w:rsid w:val="007A0182"/>
    <w:rsid w:val="007A5830"/>
    <w:rsid w:val="007A76EE"/>
    <w:rsid w:val="007B385C"/>
    <w:rsid w:val="007D21FB"/>
    <w:rsid w:val="007D2F1C"/>
    <w:rsid w:val="00801256"/>
    <w:rsid w:val="00810DCF"/>
    <w:rsid w:val="00815D8E"/>
    <w:rsid w:val="008703CB"/>
    <w:rsid w:val="00894D4A"/>
    <w:rsid w:val="008B61AF"/>
    <w:rsid w:val="008C33C2"/>
    <w:rsid w:val="008C6137"/>
    <w:rsid w:val="008D121B"/>
    <w:rsid w:val="008D5425"/>
    <w:rsid w:val="008E2CC9"/>
    <w:rsid w:val="008E2DB4"/>
    <w:rsid w:val="00900915"/>
    <w:rsid w:val="00901DD5"/>
    <w:rsid w:val="0090735B"/>
    <w:rsid w:val="00912D5E"/>
    <w:rsid w:val="00916828"/>
    <w:rsid w:val="00934340"/>
    <w:rsid w:val="00956DC7"/>
    <w:rsid w:val="00965E75"/>
    <w:rsid w:val="00966CD3"/>
    <w:rsid w:val="00987A20"/>
    <w:rsid w:val="009A0E15"/>
    <w:rsid w:val="009A3AFA"/>
    <w:rsid w:val="009C2CBC"/>
    <w:rsid w:val="009D4037"/>
    <w:rsid w:val="009E087D"/>
    <w:rsid w:val="009F0592"/>
    <w:rsid w:val="009F0CC0"/>
    <w:rsid w:val="009F752B"/>
    <w:rsid w:val="00A0094B"/>
    <w:rsid w:val="00A1106F"/>
    <w:rsid w:val="00A20E72"/>
    <w:rsid w:val="00A246DC"/>
    <w:rsid w:val="00A32B2D"/>
    <w:rsid w:val="00A3458D"/>
    <w:rsid w:val="00A47BAF"/>
    <w:rsid w:val="00A542D3"/>
    <w:rsid w:val="00A5784F"/>
    <w:rsid w:val="00A7570B"/>
    <w:rsid w:val="00A77922"/>
    <w:rsid w:val="00A8436E"/>
    <w:rsid w:val="00A95B66"/>
    <w:rsid w:val="00AA5769"/>
    <w:rsid w:val="00AB43D6"/>
    <w:rsid w:val="00AE0667"/>
    <w:rsid w:val="00AE40BB"/>
    <w:rsid w:val="00B308F0"/>
    <w:rsid w:val="00B41E0A"/>
    <w:rsid w:val="00B56DE0"/>
    <w:rsid w:val="00B71F12"/>
    <w:rsid w:val="00B757C8"/>
    <w:rsid w:val="00B76FEC"/>
    <w:rsid w:val="00B96B1E"/>
    <w:rsid w:val="00BB2A6F"/>
    <w:rsid w:val="00BB6883"/>
    <w:rsid w:val="00BD14F8"/>
    <w:rsid w:val="00BD1614"/>
    <w:rsid w:val="00BD382C"/>
    <w:rsid w:val="00BD5DA6"/>
    <w:rsid w:val="00BF7D25"/>
    <w:rsid w:val="00C0089A"/>
    <w:rsid w:val="00C010C0"/>
    <w:rsid w:val="00C25274"/>
    <w:rsid w:val="00C40CB5"/>
    <w:rsid w:val="00C45BC8"/>
    <w:rsid w:val="00C54CE6"/>
    <w:rsid w:val="00C575E2"/>
    <w:rsid w:val="00C664B1"/>
    <w:rsid w:val="00C7368B"/>
    <w:rsid w:val="00C84B14"/>
    <w:rsid w:val="00C92746"/>
    <w:rsid w:val="00CB33F6"/>
    <w:rsid w:val="00CC4DC5"/>
    <w:rsid w:val="00CE1A7C"/>
    <w:rsid w:val="00D0464B"/>
    <w:rsid w:val="00D12C74"/>
    <w:rsid w:val="00D20AF4"/>
    <w:rsid w:val="00D2263F"/>
    <w:rsid w:val="00D23C6E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C507B"/>
    <w:rsid w:val="00DF25C1"/>
    <w:rsid w:val="00DF48F7"/>
    <w:rsid w:val="00DF4964"/>
    <w:rsid w:val="00DF4D73"/>
    <w:rsid w:val="00DF79B0"/>
    <w:rsid w:val="00E1047D"/>
    <w:rsid w:val="00E1544C"/>
    <w:rsid w:val="00E443FA"/>
    <w:rsid w:val="00E47C1E"/>
    <w:rsid w:val="00E54FCE"/>
    <w:rsid w:val="00E60DA1"/>
    <w:rsid w:val="00E8025C"/>
    <w:rsid w:val="00E93D35"/>
    <w:rsid w:val="00EA45DB"/>
    <w:rsid w:val="00EB2B0A"/>
    <w:rsid w:val="00EB5B9C"/>
    <w:rsid w:val="00ED2CD9"/>
    <w:rsid w:val="00F07DA7"/>
    <w:rsid w:val="00F564C1"/>
    <w:rsid w:val="00F5725C"/>
    <w:rsid w:val="00F74E5F"/>
    <w:rsid w:val="00F77FA2"/>
    <w:rsid w:val="00F8357A"/>
    <w:rsid w:val="00FA1B77"/>
    <w:rsid w:val="00FB4B65"/>
    <w:rsid w:val="00FB74B8"/>
    <w:rsid w:val="00FC49E0"/>
    <w:rsid w:val="00FF0484"/>
    <w:rsid w:val="00FF3A5A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72F7E724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59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359EF"/>
    <w:rPr>
      <w:color w:val="800080" w:themeColor="followedHyperlink"/>
      <w:u w:val="single"/>
    </w:rPr>
  </w:style>
  <w:style w:type="table" w:styleId="TableGrid">
    <w:name w:val="Table Grid"/>
    <w:basedOn w:val="TableNormal"/>
    <w:rsid w:val="00DC5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756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560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560C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5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560C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261EA0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PP-C-0110/en" TargetMode="External"/><Relationship Id="rId18" Type="http://schemas.openxmlformats.org/officeDocument/2006/relationships/hyperlink" Target="https://pp22.itu.int/fr/itu_policy_statements/kamalidini-souef-comoros/" TargetMode="External"/><Relationship Id="rId26" Type="http://schemas.openxmlformats.org/officeDocument/2006/relationships/hyperlink" Target="https://www.itu.int/md/S22-PP-C-0102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pp22.itu.int/fr/itu_policy_statements/pedro-antonio-bravo-carranza-peru/" TargetMode="Externa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PP-C-0102/en" TargetMode="External"/><Relationship Id="rId17" Type="http://schemas.openxmlformats.org/officeDocument/2006/relationships/hyperlink" Target="https://pp22.itu.int/fr/itu_policy_statements/nape-nnauye-tanzania/" TargetMode="External"/><Relationship Id="rId25" Type="http://schemas.openxmlformats.org/officeDocument/2006/relationships/hyperlink" Target="https://www.itu.int/md/S22-PP-C-0100/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p22.itu.int/fr/itu_policy_statements/felix-mutati-zambia/" TargetMode="External"/><Relationship Id="rId20" Type="http://schemas.openxmlformats.org/officeDocument/2006/relationships/hyperlink" Target="https://pp22.itu.int/fr/itu_policy_statements/stefan-schnorr-germany/" TargetMode="External"/><Relationship Id="rId29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100/en" TargetMode="External"/><Relationship Id="rId24" Type="http://schemas.openxmlformats.org/officeDocument/2006/relationships/hyperlink" Target="https://www.itu.int/md/S22-PP-C-0099/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p22.itu.int/fr/itu_policy_statements/paula-ingabire-rwanda/" TargetMode="External"/><Relationship Id="rId23" Type="http://schemas.openxmlformats.org/officeDocument/2006/relationships/hyperlink" Target="https://www.itu.int/md/S22-PP-C-0098/en" TargetMode="External"/><Relationship Id="rId28" Type="http://schemas.openxmlformats.org/officeDocument/2006/relationships/hyperlink" Target="https://www.itu.int/md/S22-PP-C-0113/en" TargetMode="External"/><Relationship Id="rId10" Type="http://schemas.openxmlformats.org/officeDocument/2006/relationships/hyperlink" Target="https://www.itu.int/md/S22-PP-C-0099/en" TargetMode="External"/><Relationship Id="rId19" Type="http://schemas.openxmlformats.org/officeDocument/2006/relationships/hyperlink" Target="https://pp22.itu.int/fr/itu_policy_statements/coty-souleimane-diakite-cote-divoire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98/en" TargetMode="External"/><Relationship Id="rId14" Type="http://schemas.openxmlformats.org/officeDocument/2006/relationships/hyperlink" Target="https://www.itu.int/md/S22-PP-C-0113/en" TargetMode="External"/><Relationship Id="rId22" Type="http://schemas.openxmlformats.org/officeDocument/2006/relationships/hyperlink" Target="https://pp22.itu.int/en/itu_policy_statements/amandeep-singh-gill-united-nations/" TargetMode="External"/><Relationship Id="rId27" Type="http://schemas.openxmlformats.org/officeDocument/2006/relationships/hyperlink" Target="https://www.itu.int/md/S22-PP-C-0110/en" TargetMode="External"/><Relationship Id="rId30" Type="http://schemas.openxmlformats.org/officeDocument/2006/relationships/footer" Target="footer1.xml"/><Relationship Id="rId35" Type="http://schemas.microsoft.com/office/2016/09/relationships/commentsIds" Target="commentsIds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936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Manias, Michel</dc:creator>
  <cp:keywords/>
  <dc:description/>
  <cp:lastModifiedBy>Royer, Veronique</cp:lastModifiedBy>
  <cp:revision>6</cp:revision>
  <dcterms:created xsi:type="dcterms:W3CDTF">2022-10-09T09:53:00Z</dcterms:created>
  <dcterms:modified xsi:type="dcterms:W3CDTF">2022-10-09T10:18:00Z</dcterms:modified>
  <cp:category>Conference document</cp:category>
</cp:coreProperties>
</file>