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2704219F" w14:textId="77777777" w:rsidTr="000155E6">
        <w:trPr>
          <w:cantSplit/>
          <w:jc w:val="center"/>
        </w:trPr>
        <w:tc>
          <w:tcPr>
            <w:tcW w:w="6911" w:type="dxa"/>
          </w:tcPr>
          <w:p w14:paraId="07D8B9E5" w14:textId="77777777" w:rsidR="00C710E5" w:rsidRPr="00566240" w:rsidRDefault="00496567" w:rsidP="000155E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20603CAB" w14:textId="77777777" w:rsidR="00C710E5" w:rsidRPr="00622560" w:rsidRDefault="002554F9" w:rsidP="000155E6"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519163EF" wp14:editId="51B3B79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6218D710" w14:textId="77777777" w:rsidTr="000155E6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648A9EC3" w14:textId="77777777" w:rsidR="00C710E5" w:rsidRPr="00617BE4" w:rsidRDefault="00C710E5" w:rsidP="000155E6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4F97C0D" w14:textId="77777777" w:rsidR="00C710E5" w:rsidRPr="00AC79BA" w:rsidRDefault="00C710E5" w:rsidP="000155E6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693B26F" w14:textId="77777777" w:rsidTr="000155E6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6DFF6092" w14:textId="77777777" w:rsidR="00C710E5" w:rsidRPr="00CB4E5A" w:rsidRDefault="00C710E5" w:rsidP="000155E6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928A01F" w14:textId="77777777" w:rsidR="00C710E5" w:rsidRPr="00CB4E5A" w:rsidRDefault="00C710E5" w:rsidP="000155E6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06F8E551" w14:textId="77777777" w:rsidTr="000155E6">
        <w:trPr>
          <w:cantSplit/>
          <w:trHeight w:val="23"/>
          <w:jc w:val="center"/>
        </w:trPr>
        <w:tc>
          <w:tcPr>
            <w:tcW w:w="6911" w:type="dxa"/>
          </w:tcPr>
          <w:p w14:paraId="0B3118D4" w14:textId="77777777" w:rsidR="000C0900" w:rsidRPr="007F0374" w:rsidRDefault="00FC2542" w:rsidP="000155E6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14:paraId="759241F2" w14:textId="77777777" w:rsidR="000C0900" w:rsidRPr="007F0374" w:rsidRDefault="00FC2542" w:rsidP="000155E6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93</w:t>
            </w:r>
            <w:r w:rsidRPr="00F44B1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039B0670" w14:textId="77777777" w:rsidTr="000155E6">
        <w:trPr>
          <w:cantSplit/>
          <w:trHeight w:val="23"/>
          <w:jc w:val="center"/>
        </w:trPr>
        <w:tc>
          <w:tcPr>
            <w:tcW w:w="6911" w:type="dxa"/>
          </w:tcPr>
          <w:p w14:paraId="15820668" w14:textId="77777777" w:rsidR="00FC2542" w:rsidRPr="007F0374" w:rsidRDefault="00FC2542" w:rsidP="000155E6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83C7D2D" w14:textId="77777777" w:rsidR="00FC2542" w:rsidRPr="007F0374" w:rsidRDefault="00FC2542" w:rsidP="000155E6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2022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9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FC2542" w:rsidRPr="00C324A8" w14:paraId="228FAFCF" w14:textId="77777777" w:rsidTr="000155E6">
        <w:trPr>
          <w:cantSplit/>
          <w:trHeight w:val="23"/>
          <w:jc w:val="center"/>
        </w:trPr>
        <w:tc>
          <w:tcPr>
            <w:tcW w:w="6911" w:type="dxa"/>
          </w:tcPr>
          <w:p w14:paraId="6D52970E" w14:textId="77777777" w:rsidR="00FC2542" w:rsidRPr="007F0374" w:rsidRDefault="00FC2542" w:rsidP="000155E6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479DFE9" w14:textId="77777777" w:rsidR="00FC2542" w:rsidRPr="007F0374" w:rsidRDefault="00FC2542" w:rsidP="000155E6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710E5" w:rsidRPr="00C324A8" w14:paraId="419803C9" w14:textId="77777777" w:rsidTr="000155E6">
        <w:trPr>
          <w:cantSplit/>
          <w:trHeight w:val="23"/>
          <w:jc w:val="center"/>
        </w:trPr>
        <w:tc>
          <w:tcPr>
            <w:tcW w:w="10031" w:type="dxa"/>
            <w:gridSpan w:val="2"/>
          </w:tcPr>
          <w:p w14:paraId="7D585A95" w14:textId="77777777" w:rsidR="00C710E5" w:rsidRDefault="00C710E5" w:rsidP="000155E6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4FF21633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7FD60105" w14:textId="77777777" w:rsidR="00C710E5" w:rsidRDefault="00FC2542" w:rsidP="000155E6">
            <w:pPr>
              <w:pStyle w:val="Source"/>
            </w:pPr>
            <w:bookmarkStart w:id="4" w:name="dsource" w:colFirst="0" w:colLast="0"/>
            <w:bookmarkEnd w:id="1"/>
            <w:bookmarkEnd w:id="3"/>
            <w:r w:rsidRPr="000273B7">
              <w:t>印度（共和国）</w:t>
            </w:r>
          </w:p>
        </w:tc>
      </w:tr>
      <w:tr w:rsidR="007364C9" w14:paraId="0C120956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2A86AFC6" w14:textId="6644D768" w:rsidR="007364C9" w:rsidRDefault="007364C9" w:rsidP="000155E6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关于大会工作的提案</w:t>
            </w:r>
          </w:p>
        </w:tc>
      </w:tr>
      <w:tr w:rsidR="00CF1341" w14:paraId="07B301CE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65C312BE" w14:textId="3FF0523A" w:rsidR="00CF1341" w:rsidRDefault="00CF1341" w:rsidP="000155E6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>
              <w:rPr>
                <w:rFonts w:hint="eastAsia"/>
                <w:lang w:eastAsia="zh-CN"/>
              </w:rPr>
              <w:t>一般性问题</w:t>
            </w:r>
            <w:r w:rsidR="00EF4455" w:rsidRPr="000273B7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–</w:t>
            </w:r>
            <w:r w:rsidRPr="000273B7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国际电</w:t>
            </w:r>
            <w:proofErr w:type="gramStart"/>
            <w:r>
              <w:rPr>
                <w:rFonts w:hint="eastAsia"/>
                <w:lang w:eastAsia="zh-CN"/>
              </w:rPr>
              <w:t>联预算</w:t>
            </w:r>
            <w:proofErr w:type="gramEnd"/>
            <w:r>
              <w:rPr>
                <w:rFonts w:hint="eastAsia"/>
                <w:lang w:eastAsia="zh-CN"/>
              </w:rPr>
              <w:t>的健康和平衡</w:t>
            </w:r>
          </w:p>
        </w:tc>
      </w:tr>
      <w:tr w:rsidR="00CF1341" w14:paraId="65D00B7D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7958FC32" w14:textId="77777777" w:rsidR="00CF1341" w:rsidRDefault="00CF1341" w:rsidP="000155E6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442AE15C" w14:textId="77777777" w:rsidR="00005482" w:rsidRDefault="0000548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14:paraId="06884CB6" w14:textId="17737A63"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5F84B9F2" w14:textId="77777777" w:rsidR="000C392D" w:rsidRDefault="008346AC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  <w:t>IND/93/1</w:t>
      </w:r>
    </w:p>
    <w:p w14:paraId="01DE6437" w14:textId="621E7F96" w:rsidR="000C392D" w:rsidRDefault="00CF1341">
      <w:pPr>
        <w:rPr>
          <w:lang w:eastAsia="zh-CN"/>
        </w:rPr>
      </w:pPr>
      <w:r>
        <w:rPr>
          <w:rFonts w:hint="eastAsia"/>
          <w:b/>
          <w:lang w:eastAsia="zh-CN"/>
        </w:rPr>
        <w:t>一般性问题</w:t>
      </w:r>
      <w:r w:rsidR="008611D4" w:rsidRPr="008611D4">
        <w:rPr>
          <w:lang w:val="es-ES" w:eastAsia="zh-CN"/>
        </w:rPr>
        <w:t> – </w:t>
      </w:r>
      <w:r>
        <w:rPr>
          <w:rFonts w:hint="eastAsia"/>
          <w:lang w:eastAsia="zh-CN"/>
        </w:rPr>
        <w:t>国际电</w:t>
      </w:r>
      <w:proofErr w:type="gramStart"/>
      <w:r>
        <w:rPr>
          <w:rFonts w:hint="eastAsia"/>
          <w:lang w:eastAsia="zh-CN"/>
        </w:rPr>
        <w:t>联预算</w:t>
      </w:r>
      <w:proofErr w:type="gramEnd"/>
      <w:r>
        <w:rPr>
          <w:rFonts w:hint="eastAsia"/>
          <w:lang w:eastAsia="zh-CN"/>
        </w:rPr>
        <w:t>的健康和平衡</w:t>
      </w:r>
    </w:p>
    <w:p w14:paraId="19CCF323" w14:textId="0FE7E4A6" w:rsidR="001A273E" w:rsidRPr="001360ED" w:rsidRDefault="006621AB" w:rsidP="00A55E1D">
      <w:pPr>
        <w:ind w:firstLineChars="200" w:firstLine="480"/>
        <w:rPr>
          <w:lang w:eastAsia="zh-CN"/>
        </w:rPr>
      </w:pPr>
      <w:r w:rsidRPr="001360ED">
        <w:rPr>
          <w:rFonts w:hint="eastAsia"/>
          <w:lang w:eastAsia="zh-CN"/>
        </w:rPr>
        <w:t>在</w:t>
      </w:r>
      <w:r w:rsidRPr="001360ED">
        <w:rPr>
          <w:rFonts w:hint="eastAsia"/>
          <w:lang w:eastAsia="zh-CN"/>
        </w:rPr>
        <w:t>2022-2023</w:t>
      </w:r>
      <w:r w:rsidRPr="001360ED">
        <w:rPr>
          <w:rFonts w:hint="eastAsia"/>
          <w:lang w:eastAsia="zh-CN"/>
        </w:rPr>
        <w:t>年的预算中，与会补贴从</w:t>
      </w:r>
      <w:r w:rsidRPr="001360ED">
        <w:rPr>
          <w:rFonts w:hint="eastAsia"/>
          <w:lang w:eastAsia="zh-CN"/>
        </w:rPr>
        <w:t>2020-2021</w:t>
      </w:r>
      <w:r w:rsidRPr="001360ED">
        <w:rPr>
          <w:rFonts w:hint="eastAsia"/>
          <w:lang w:eastAsia="zh-CN"/>
        </w:rPr>
        <w:t>年的</w:t>
      </w:r>
      <w:r w:rsidRPr="001360ED">
        <w:rPr>
          <w:rFonts w:hint="eastAsia"/>
          <w:lang w:eastAsia="zh-CN"/>
        </w:rPr>
        <w:t>3</w:t>
      </w:r>
      <w:r w:rsidR="0016662C" w:rsidRPr="001360ED">
        <w:rPr>
          <w:rFonts w:hint="eastAsia"/>
          <w:lang w:eastAsia="zh-CN"/>
        </w:rPr>
        <w:t>,</w:t>
      </w:r>
      <w:r w:rsidRPr="001360ED">
        <w:rPr>
          <w:rFonts w:hint="eastAsia"/>
          <w:lang w:eastAsia="zh-CN"/>
        </w:rPr>
        <w:t>136</w:t>
      </w:r>
      <w:r w:rsidR="0016662C" w:rsidRPr="001360ED">
        <w:rPr>
          <w:lang w:eastAsia="zh-CN"/>
        </w:rPr>
        <w:t>,</w:t>
      </w:r>
      <w:r w:rsidRPr="001360ED">
        <w:rPr>
          <w:lang w:eastAsia="zh-CN"/>
        </w:rPr>
        <w:t>000</w:t>
      </w:r>
      <w:r w:rsidRPr="001360ED">
        <w:rPr>
          <w:rFonts w:hint="eastAsia"/>
          <w:lang w:eastAsia="zh-CN"/>
        </w:rPr>
        <w:t>瑞郎降到</w:t>
      </w:r>
      <w:r w:rsidRPr="001360ED">
        <w:rPr>
          <w:rFonts w:hint="eastAsia"/>
          <w:lang w:eastAsia="zh-CN"/>
        </w:rPr>
        <w:t>2</w:t>
      </w:r>
      <w:r w:rsidR="0016662C" w:rsidRPr="001360ED">
        <w:rPr>
          <w:lang w:eastAsia="zh-CN"/>
        </w:rPr>
        <w:t>,</w:t>
      </w:r>
      <w:r w:rsidRPr="001360ED">
        <w:rPr>
          <w:rFonts w:hint="eastAsia"/>
          <w:lang w:eastAsia="zh-CN"/>
        </w:rPr>
        <w:t>160</w:t>
      </w:r>
      <w:r w:rsidR="0016662C" w:rsidRPr="001360ED">
        <w:rPr>
          <w:lang w:eastAsia="zh-CN"/>
        </w:rPr>
        <w:t>,</w:t>
      </w:r>
      <w:r w:rsidRPr="001360ED">
        <w:rPr>
          <w:lang w:eastAsia="zh-CN"/>
        </w:rPr>
        <w:t>000</w:t>
      </w:r>
      <w:r w:rsidRPr="001360ED">
        <w:rPr>
          <w:rFonts w:hint="eastAsia"/>
          <w:lang w:eastAsia="zh-CN"/>
        </w:rPr>
        <w:t>瑞郎，减少了</w:t>
      </w:r>
      <w:r w:rsidRPr="001360ED">
        <w:rPr>
          <w:rFonts w:hint="eastAsia"/>
          <w:lang w:eastAsia="zh-CN"/>
        </w:rPr>
        <w:t>976</w:t>
      </w:r>
      <w:r w:rsidR="0016662C" w:rsidRPr="001360ED">
        <w:rPr>
          <w:lang w:eastAsia="zh-CN"/>
        </w:rPr>
        <w:t>,000</w:t>
      </w:r>
      <w:r w:rsidRPr="001360ED">
        <w:rPr>
          <w:rFonts w:hint="eastAsia"/>
          <w:lang w:eastAsia="zh-CN"/>
        </w:rPr>
        <w:t>瑞郎。可能会妨碍最不发达国家、内陆发展中国家和小岛屿发展中国家的参与。与会补贴需要增加或保持在</w:t>
      </w:r>
      <w:r w:rsidRPr="001360ED">
        <w:rPr>
          <w:rFonts w:hint="eastAsia"/>
          <w:lang w:eastAsia="zh-CN"/>
        </w:rPr>
        <w:t>2020-2021</w:t>
      </w:r>
      <w:r w:rsidRPr="001360ED">
        <w:rPr>
          <w:rFonts w:hint="eastAsia"/>
          <w:lang w:eastAsia="zh-CN"/>
        </w:rPr>
        <w:t>年的水平，</w:t>
      </w:r>
      <w:proofErr w:type="gramStart"/>
      <w:r w:rsidRPr="001360ED">
        <w:rPr>
          <w:rFonts w:hint="eastAsia"/>
          <w:lang w:eastAsia="zh-CN"/>
        </w:rPr>
        <w:t>以便最</w:t>
      </w:r>
      <w:proofErr w:type="gramEnd"/>
      <w:r w:rsidRPr="001360ED">
        <w:rPr>
          <w:rFonts w:hint="eastAsia"/>
          <w:lang w:eastAsia="zh-CN"/>
        </w:rPr>
        <w:t>不发达国家、内陆发展中国家和小岛屿发展中国家的代表可以受益。</w:t>
      </w:r>
    </w:p>
    <w:p w14:paraId="1FD2011B" w14:textId="77777777" w:rsidR="008611D4" w:rsidRDefault="00EE208F" w:rsidP="008611D4">
      <w:pPr>
        <w:pStyle w:val="Reasons"/>
        <w:rPr>
          <w:lang w:eastAsia="zh-CN"/>
        </w:rPr>
      </w:pPr>
      <w:r w:rsidRPr="0016662C">
        <w:rPr>
          <w:rFonts w:hint="eastAsia"/>
          <w:b/>
          <w:lang w:eastAsia="zh-CN"/>
        </w:rPr>
        <w:t>理由</w:t>
      </w:r>
      <w:r w:rsidRPr="00106E69">
        <w:rPr>
          <w:rFonts w:hint="eastAsia"/>
          <w:lang w:eastAsia="zh-CN"/>
        </w:rPr>
        <w:t>：</w:t>
      </w:r>
      <w:proofErr w:type="gramStart"/>
      <w:r w:rsidR="0016662C" w:rsidRPr="001360ED">
        <w:rPr>
          <w:rFonts w:hint="eastAsia"/>
          <w:lang w:eastAsia="zh-CN"/>
        </w:rPr>
        <w:t>该成本</w:t>
      </w:r>
      <w:proofErr w:type="gramEnd"/>
      <w:r w:rsidR="0016662C" w:rsidRPr="001360ED">
        <w:rPr>
          <w:rFonts w:hint="eastAsia"/>
          <w:lang w:eastAsia="zh-CN"/>
        </w:rPr>
        <w:t>回收</w:t>
      </w:r>
      <w:r w:rsidRPr="001360ED">
        <w:rPr>
          <w:rFonts w:hint="eastAsia"/>
          <w:lang w:eastAsia="zh-CN"/>
        </w:rPr>
        <w:t>可以通过减少</w:t>
      </w:r>
      <w:r w:rsidRPr="001360ED">
        <w:rPr>
          <w:rFonts w:hint="eastAsia"/>
          <w:lang w:eastAsia="zh-CN"/>
        </w:rPr>
        <w:t>2022-2023</w:t>
      </w:r>
      <w:r w:rsidRPr="001360ED">
        <w:rPr>
          <w:rFonts w:hint="eastAsia"/>
          <w:lang w:eastAsia="zh-CN"/>
        </w:rPr>
        <w:t>年与语言有关的服务费用来完成，因为</w:t>
      </w:r>
      <w:r w:rsidRPr="001360ED">
        <w:rPr>
          <w:rFonts w:hint="eastAsia"/>
          <w:lang w:eastAsia="zh-CN"/>
        </w:rPr>
        <w:t>2022-</w:t>
      </w:r>
      <w:r w:rsidR="0016662C" w:rsidRPr="001360ED">
        <w:rPr>
          <w:lang w:eastAsia="zh-CN"/>
        </w:rPr>
        <w:t>20</w:t>
      </w:r>
      <w:r w:rsidRPr="001360ED">
        <w:rPr>
          <w:rFonts w:hint="eastAsia"/>
          <w:lang w:eastAsia="zh-CN"/>
        </w:rPr>
        <w:t>23</w:t>
      </w:r>
      <w:r w:rsidRPr="001360ED">
        <w:rPr>
          <w:rFonts w:hint="eastAsia"/>
          <w:lang w:eastAsia="zh-CN"/>
        </w:rPr>
        <w:t>年有</w:t>
      </w:r>
      <w:r w:rsidRPr="001360ED">
        <w:rPr>
          <w:rFonts w:hint="eastAsia"/>
          <w:lang w:eastAsia="zh-CN"/>
        </w:rPr>
        <w:t>34</w:t>
      </w:r>
      <w:r w:rsidR="00176EEE" w:rsidRPr="001360ED">
        <w:rPr>
          <w:lang w:eastAsia="zh-CN"/>
        </w:rPr>
        <w:t>,</w:t>
      </w:r>
      <w:r w:rsidRPr="001360ED">
        <w:rPr>
          <w:rFonts w:hint="eastAsia"/>
          <w:lang w:eastAsia="zh-CN"/>
        </w:rPr>
        <w:t>012</w:t>
      </w:r>
      <w:r w:rsidR="00176EEE" w:rsidRPr="001360ED">
        <w:rPr>
          <w:lang w:eastAsia="zh-CN"/>
        </w:rPr>
        <w:t>,000</w:t>
      </w:r>
      <w:r w:rsidR="00176EEE" w:rsidRPr="001360ED">
        <w:rPr>
          <w:rFonts w:hint="eastAsia"/>
          <w:lang w:eastAsia="zh-CN"/>
        </w:rPr>
        <w:t>瑞郎</w:t>
      </w:r>
      <w:r w:rsidRPr="001360ED">
        <w:rPr>
          <w:rFonts w:hint="eastAsia"/>
          <w:lang w:eastAsia="zh-CN"/>
        </w:rPr>
        <w:t>的经费，而</w:t>
      </w:r>
      <w:r w:rsidRPr="001360ED">
        <w:rPr>
          <w:rFonts w:hint="eastAsia"/>
          <w:lang w:eastAsia="zh-CN"/>
        </w:rPr>
        <w:t>2020-21</w:t>
      </w:r>
      <w:r w:rsidRPr="001360ED">
        <w:rPr>
          <w:rFonts w:hint="eastAsia"/>
          <w:lang w:eastAsia="zh-CN"/>
        </w:rPr>
        <w:t>年只有</w:t>
      </w:r>
      <w:r w:rsidRPr="001360ED">
        <w:rPr>
          <w:rFonts w:hint="eastAsia"/>
          <w:lang w:eastAsia="zh-CN"/>
        </w:rPr>
        <w:t>32</w:t>
      </w:r>
      <w:r w:rsidR="00176EEE" w:rsidRPr="001360ED">
        <w:rPr>
          <w:lang w:eastAsia="zh-CN"/>
        </w:rPr>
        <w:t>,</w:t>
      </w:r>
      <w:r w:rsidRPr="001360ED">
        <w:rPr>
          <w:rFonts w:hint="eastAsia"/>
          <w:lang w:eastAsia="zh-CN"/>
        </w:rPr>
        <w:t>055</w:t>
      </w:r>
      <w:r w:rsidR="00176EEE" w:rsidRPr="001360ED">
        <w:rPr>
          <w:lang w:eastAsia="zh-CN"/>
        </w:rPr>
        <w:t>,000</w:t>
      </w:r>
      <w:r w:rsidR="00176EEE" w:rsidRPr="001360ED">
        <w:rPr>
          <w:rFonts w:hint="eastAsia"/>
          <w:lang w:eastAsia="zh-CN"/>
        </w:rPr>
        <w:t>瑞郎</w:t>
      </w:r>
      <w:r w:rsidRPr="001360ED">
        <w:rPr>
          <w:rFonts w:hint="eastAsia"/>
          <w:lang w:eastAsia="zh-CN"/>
        </w:rPr>
        <w:t>。这笔增加的估计费用（</w:t>
      </w:r>
      <w:r w:rsidRPr="001360ED">
        <w:rPr>
          <w:rFonts w:hint="eastAsia"/>
          <w:lang w:eastAsia="zh-CN"/>
        </w:rPr>
        <w:t>1</w:t>
      </w:r>
      <w:r w:rsidR="00176EEE" w:rsidRPr="001360ED">
        <w:rPr>
          <w:lang w:eastAsia="zh-CN"/>
        </w:rPr>
        <w:t>,</w:t>
      </w:r>
      <w:r w:rsidRPr="001360ED">
        <w:rPr>
          <w:rFonts w:hint="eastAsia"/>
          <w:lang w:eastAsia="zh-CN"/>
        </w:rPr>
        <w:t>957</w:t>
      </w:r>
      <w:r w:rsidR="00176EEE" w:rsidRPr="001360ED">
        <w:rPr>
          <w:lang w:eastAsia="zh-CN"/>
        </w:rPr>
        <w:t>,000</w:t>
      </w:r>
      <w:r w:rsidRPr="001360ED">
        <w:rPr>
          <w:rFonts w:hint="eastAsia"/>
          <w:lang w:eastAsia="zh-CN"/>
        </w:rPr>
        <w:t>）可以</w:t>
      </w:r>
      <w:r w:rsidR="00E16D8C" w:rsidRPr="001360ED">
        <w:rPr>
          <w:rFonts w:hint="eastAsia"/>
          <w:lang w:eastAsia="zh-CN"/>
        </w:rPr>
        <w:t>对照与</w:t>
      </w:r>
      <w:r w:rsidR="00176EEE" w:rsidRPr="001360ED">
        <w:rPr>
          <w:rFonts w:hint="eastAsia"/>
          <w:lang w:eastAsia="zh-CN"/>
        </w:rPr>
        <w:t>会补贴</w:t>
      </w:r>
      <w:r w:rsidR="00E16D8C" w:rsidRPr="001360ED">
        <w:rPr>
          <w:rFonts w:hint="eastAsia"/>
          <w:lang w:eastAsia="zh-CN"/>
        </w:rPr>
        <w:t>进行</w:t>
      </w:r>
      <w:r w:rsidRPr="001360ED">
        <w:rPr>
          <w:rFonts w:hint="eastAsia"/>
          <w:lang w:eastAsia="zh-CN"/>
        </w:rPr>
        <w:t>调整。通过在翻译、文本处理、文件管理服务和口译中增加使用人工智能和其他最新技术，可以减少与语言有关的服务费用。</w:t>
      </w:r>
    </w:p>
    <w:p w14:paraId="19F115A9" w14:textId="6F9CC70C" w:rsidR="008611D4" w:rsidRDefault="00EE208F" w:rsidP="008611D4">
      <w:pPr>
        <w:ind w:firstLineChars="200" w:firstLine="480"/>
        <w:rPr>
          <w:lang w:eastAsia="zh-CN"/>
        </w:rPr>
      </w:pPr>
      <w:r w:rsidRPr="001360ED">
        <w:rPr>
          <w:rFonts w:hint="eastAsia"/>
          <w:lang w:eastAsia="zh-CN"/>
        </w:rPr>
        <w:t>我们的目标是制定一个健康的预算，以便利用所产生的收入和成员的</w:t>
      </w:r>
      <w:r w:rsidR="00213708" w:rsidRPr="001360ED">
        <w:rPr>
          <w:rFonts w:hint="eastAsia"/>
          <w:lang w:eastAsia="zh-CN"/>
        </w:rPr>
        <w:t>会费</w:t>
      </w:r>
      <w:r w:rsidRPr="001360ED">
        <w:rPr>
          <w:rFonts w:hint="eastAsia"/>
          <w:lang w:eastAsia="zh-CN"/>
        </w:rPr>
        <w:t>为</w:t>
      </w:r>
      <w:r w:rsidR="00176EEE" w:rsidRPr="001360ED">
        <w:rPr>
          <w:rFonts w:hint="eastAsia"/>
          <w:lang w:eastAsia="zh-CN"/>
        </w:rPr>
        <w:t>国际电联</w:t>
      </w:r>
      <w:r w:rsidRPr="001360ED">
        <w:rPr>
          <w:rFonts w:hint="eastAsia"/>
          <w:lang w:eastAsia="zh-CN"/>
        </w:rPr>
        <w:t>的各种活动提供无缝资金</w:t>
      </w:r>
      <w:r w:rsidR="005279FC" w:rsidRPr="001360ED">
        <w:rPr>
          <w:rFonts w:hint="eastAsia"/>
          <w:lang w:eastAsia="zh-CN"/>
        </w:rPr>
        <w:t>覆盖</w:t>
      </w:r>
      <w:r w:rsidRPr="001360ED">
        <w:rPr>
          <w:rFonts w:hint="eastAsia"/>
          <w:lang w:eastAsia="zh-CN"/>
        </w:rPr>
        <w:t>。</w:t>
      </w:r>
      <w:r w:rsidR="00176EEE" w:rsidRPr="001360ED">
        <w:rPr>
          <w:rFonts w:hint="eastAsia"/>
          <w:lang w:eastAsia="zh-CN"/>
        </w:rPr>
        <w:t>国际电联</w:t>
      </w:r>
      <w:r w:rsidRPr="001360ED">
        <w:rPr>
          <w:rFonts w:hint="eastAsia"/>
          <w:lang w:eastAsia="zh-CN"/>
        </w:rPr>
        <w:t>的生命线在于管理有限的预算，</w:t>
      </w:r>
      <w:r w:rsidR="005279FC" w:rsidRPr="001360ED">
        <w:rPr>
          <w:rFonts w:hint="eastAsia"/>
          <w:lang w:eastAsia="zh-CN"/>
        </w:rPr>
        <w:t>提高</w:t>
      </w:r>
      <w:r w:rsidR="00176EEE" w:rsidRPr="001360ED">
        <w:rPr>
          <w:rFonts w:hint="eastAsia"/>
          <w:lang w:eastAsia="zh-CN"/>
        </w:rPr>
        <w:t>国际电联</w:t>
      </w:r>
      <w:r w:rsidRPr="001360ED">
        <w:rPr>
          <w:rFonts w:hint="eastAsia"/>
          <w:lang w:eastAsia="zh-CN"/>
        </w:rPr>
        <w:t>的活动效率和生产力。在这个方向上，已经</w:t>
      </w:r>
      <w:proofErr w:type="gramStart"/>
      <w:r w:rsidRPr="001360ED">
        <w:rPr>
          <w:rFonts w:hint="eastAsia"/>
          <w:lang w:eastAsia="zh-CN"/>
        </w:rPr>
        <w:t>作出</w:t>
      </w:r>
      <w:proofErr w:type="gramEnd"/>
      <w:r w:rsidRPr="001360ED">
        <w:rPr>
          <w:rFonts w:hint="eastAsia"/>
          <w:lang w:eastAsia="zh-CN"/>
        </w:rPr>
        <w:t>了一项决定，将国际电联的战略、财务和</w:t>
      </w:r>
      <w:r w:rsidR="005279FC" w:rsidRPr="001360ED">
        <w:rPr>
          <w:rFonts w:hint="eastAsia"/>
          <w:lang w:eastAsia="zh-CN"/>
        </w:rPr>
        <w:t>运作</w:t>
      </w:r>
      <w:r w:rsidRPr="001360ED">
        <w:rPr>
          <w:rFonts w:hint="eastAsia"/>
          <w:lang w:eastAsia="zh-CN"/>
        </w:rPr>
        <w:t>规划联系起来。在这方面，还需要与电信</w:t>
      </w:r>
      <w:r w:rsidRPr="001360ED">
        <w:rPr>
          <w:rFonts w:hint="eastAsia"/>
          <w:lang w:eastAsia="zh-CN"/>
        </w:rPr>
        <w:t>/</w:t>
      </w:r>
      <w:r w:rsidRPr="001360ED">
        <w:rPr>
          <w:rFonts w:hint="eastAsia"/>
          <w:lang w:eastAsia="zh-CN"/>
        </w:rPr>
        <w:t>信息通信技术</w:t>
      </w:r>
      <w:r w:rsidR="00213708" w:rsidRPr="001360ED">
        <w:rPr>
          <w:rFonts w:hint="eastAsia"/>
          <w:lang w:eastAsia="zh-CN"/>
        </w:rPr>
        <w:t>（</w:t>
      </w:r>
      <w:r w:rsidR="00213708" w:rsidRPr="001360ED">
        <w:rPr>
          <w:rFonts w:hint="eastAsia"/>
          <w:lang w:eastAsia="zh-CN"/>
        </w:rPr>
        <w:t>ICT</w:t>
      </w:r>
      <w:r w:rsidR="00213708" w:rsidRPr="001360ED">
        <w:rPr>
          <w:rFonts w:hint="eastAsia"/>
          <w:lang w:eastAsia="zh-CN"/>
        </w:rPr>
        <w:t>）</w:t>
      </w:r>
      <w:r w:rsidRPr="001360ED">
        <w:rPr>
          <w:rFonts w:hint="eastAsia"/>
          <w:lang w:eastAsia="zh-CN"/>
        </w:rPr>
        <w:t>领域的技术</w:t>
      </w:r>
      <w:r w:rsidR="00A55E1D">
        <w:rPr>
          <w:rFonts w:hint="eastAsia"/>
          <w:lang w:eastAsia="zh-CN"/>
        </w:rPr>
        <w:t xml:space="preserve"> </w:t>
      </w:r>
      <w:r w:rsidR="00A55E1D" w:rsidRPr="00A55E1D">
        <w:rPr>
          <w:rFonts w:asciiTheme="minorHAnsi" w:hAnsiTheme="minorHAnsi" w:cstheme="minorHAnsi"/>
          <w:lang w:eastAsia="zh-CN"/>
        </w:rPr>
        <w:t>–</w:t>
      </w:r>
      <w:r w:rsidR="00A55E1D">
        <w:rPr>
          <w:rFonts w:asciiTheme="minorHAnsi" w:hAnsiTheme="minorHAnsi" w:cstheme="minorHAnsi"/>
          <w:lang w:eastAsia="zh-CN"/>
        </w:rPr>
        <w:t xml:space="preserve"> </w:t>
      </w:r>
      <w:r w:rsidRPr="001360ED">
        <w:rPr>
          <w:rFonts w:hint="eastAsia"/>
          <w:lang w:eastAsia="zh-CN"/>
        </w:rPr>
        <w:t>财务专家，特别是来自成员国的</w:t>
      </w:r>
      <w:r w:rsidRPr="00A55E1D">
        <w:rPr>
          <w:rFonts w:asciiTheme="minorHAnsi" w:eastAsiaTheme="majorEastAsia" w:hAnsiTheme="minorHAnsi" w:cstheme="minorHAnsi"/>
          <w:lang w:eastAsia="zh-CN"/>
        </w:rPr>
        <w:t>技术</w:t>
      </w:r>
      <w:r w:rsidR="00A55E1D" w:rsidRPr="00A55E1D">
        <w:rPr>
          <w:rFonts w:asciiTheme="minorHAnsi" w:eastAsiaTheme="majorEastAsia" w:hAnsiTheme="minorHAnsi" w:cstheme="minorHAnsi"/>
          <w:lang w:eastAsia="zh-CN"/>
        </w:rPr>
        <w:t xml:space="preserve"> </w:t>
      </w:r>
      <w:r w:rsidR="00A55E1D" w:rsidRPr="00A55E1D">
        <w:rPr>
          <w:rFonts w:asciiTheme="minorHAnsi" w:eastAsiaTheme="majorEastAsia" w:hAnsiTheme="minorHAnsi" w:cstheme="minorHAnsi"/>
          <w:lang w:eastAsia="zh-CN"/>
        </w:rPr>
        <w:t>–</w:t>
      </w:r>
      <w:r w:rsidR="00A55E1D" w:rsidRPr="00A55E1D">
        <w:rPr>
          <w:rFonts w:asciiTheme="minorHAnsi" w:eastAsiaTheme="majorEastAsia" w:hAnsiTheme="minorHAnsi" w:cstheme="minorHAnsi"/>
          <w:lang w:eastAsia="zh-CN"/>
        </w:rPr>
        <w:t xml:space="preserve"> </w:t>
      </w:r>
      <w:r w:rsidRPr="00A55E1D">
        <w:rPr>
          <w:rFonts w:asciiTheme="minorHAnsi" w:eastAsiaTheme="majorEastAsia" w:hAnsiTheme="minorHAnsi" w:cstheme="minorHAnsi"/>
          <w:lang w:eastAsia="zh-CN"/>
        </w:rPr>
        <w:t>财务</w:t>
      </w:r>
      <w:r w:rsidRPr="001360ED">
        <w:rPr>
          <w:rFonts w:hint="eastAsia"/>
          <w:lang w:eastAsia="zh-CN"/>
        </w:rPr>
        <w:t>专家深入接触。</w:t>
      </w:r>
    </w:p>
    <w:p w14:paraId="6AA88E8D" w14:textId="5C45661A" w:rsidR="008611D4" w:rsidRDefault="005279FC" w:rsidP="008611D4">
      <w:pPr>
        <w:ind w:firstLineChars="200" w:firstLine="480"/>
        <w:rPr>
          <w:rFonts w:cs="Calibri"/>
          <w:bCs/>
          <w:lang w:eastAsia="zh-CN"/>
        </w:rPr>
      </w:pPr>
      <w:r w:rsidRPr="001360ED">
        <w:rPr>
          <w:rFonts w:cs="Calibri" w:hint="eastAsia"/>
          <w:bCs/>
          <w:lang w:eastAsia="zh-CN"/>
        </w:rPr>
        <w:t>基于</w:t>
      </w:r>
      <w:r w:rsidR="00EE208F" w:rsidRPr="001360ED">
        <w:rPr>
          <w:rFonts w:cs="Calibri" w:hint="eastAsia"/>
          <w:bCs/>
          <w:lang w:eastAsia="zh-CN"/>
        </w:rPr>
        <w:t>对国际电联</w:t>
      </w:r>
      <w:r w:rsidR="00EE208F" w:rsidRPr="001360ED">
        <w:rPr>
          <w:rFonts w:cs="Calibri" w:hint="eastAsia"/>
          <w:bCs/>
          <w:lang w:eastAsia="zh-CN"/>
        </w:rPr>
        <w:t>2022-23</w:t>
      </w:r>
      <w:r w:rsidR="00EE208F" w:rsidRPr="001360ED">
        <w:rPr>
          <w:rFonts w:cs="Calibri" w:hint="eastAsia"/>
          <w:bCs/>
          <w:lang w:eastAsia="zh-CN"/>
        </w:rPr>
        <w:t>年预算和</w:t>
      </w:r>
      <w:r w:rsidR="00EE208F" w:rsidRPr="001360ED">
        <w:rPr>
          <w:rFonts w:cs="Calibri" w:hint="eastAsia"/>
          <w:bCs/>
          <w:lang w:eastAsia="zh-CN"/>
        </w:rPr>
        <w:t>2024-27</w:t>
      </w:r>
      <w:r w:rsidR="00EE208F" w:rsidRPr="001360ED">
        <w:rPr>
          <w:rFonts w:cs="Calibri" w:hint="eastAsia"/>
          <w:bCs/>
          <w:lang w:eastAsia="zh-CN"/>
        </w:rPr>
        <w:t>年财务</w:t>
      </w:r>
      <w:r w:rsidR="00E16D8C" w:rsidRPr="001360ED">
        <w:rPr>
          <w:rFonts w:cs="Calibri" w:hint="eastAsia"/>
          <w:bCs/>
          <w:lang w:eastAsia="zh-CN"/>
        </w:rPr>
        <w:t>规划</w:t>
      </w:r>
      <w:r w:rsidR="00EE208F" w:rsidRPr="001360ED">
        <w:rPr>
          <w:rFonts w:cs="Calibri" w:hint="eastAsia"/>
          <w:bCs/>
          <w:lang w:eastAsia="zh-CN"/>
        </w:rPr>
        <w:t>草案的分析，印度对国际电联表示赞赏，同时也提出了一些意见和建议，以帮助实现健康的预算。</w:t>
      </w:r>
    </w:p>
    <w:p w14:paraId="2A91CF2E" w14:textId="6D6ACD95" w:rsidR="008611D4" w:rsidRDefault="00EE208F" w:rsidP="008611D4">
      <w:pPr>
        <w:ind w:firstLineChars="200" w:firstLine="480"/>
        <w:rPr>
          <w:rFonts w:cs="Calibri"/>
          <w:bCs/>
          <w:lang w:eastAsia="zh-CN"/>
        </w:rPr>
      </w:pPr>
      <w:r w:rsidRPr="001360ED">
        <w:rPr>
          <w:rFonts w:cs="Calibri" w:hint="eastAsia"/>
          <w:bCs/>
          <w:lang w:eastAsia="zh-CN"/>
        </w:rPr>
        <w:t>为保持预算的健康，印度建议采取的其他措施还包括：</w:t>
      </w:r>
    </w:p>
    <w:p w14:paraId="1D2D6035" w14:textId="77777777" w:rsidR="008611D4" w:rsidRDefault="00106E69" w:rsidP="008611D4">
      <w:pPr>
        <w:rPr>
          <w:lang w:eastAsia="zh-CN"/>
        </w:rPr>
      </w:pPr>
      <w:r w:rsidRPr="001360ED">
        <w:rPr>
          <w:rFonts w:hint="eastAsia"/>
          <w:lang w:eastAsia="zh-CN"/>
        </w:rPr>
        <w:t>1</w:t>
      </w:r>
      <w:r w:rsidR="00005482" w:rsidRPr="001360ED">
        <w:rPr>
          <w:lang w:eastAsia="zh-CN"/>
        </w:rPr>
        <w:tab/>
      </w:r>
      <w:r w:rsidR="00EE208F" w:rsidRPr="001360ED">
        <w:rPr>
          <w:rFonts w:hint="eastAsia"/>
          <w:lang w:eastAsia="zh-CN"/>
        </w:rPr>
        <w:t>如前所述，财务计划草案将与其中确定的</w:t>
      </w:r>
      <w:r w:rsidR="00213708" w:rsidRPr="001360ED">
        <w:rPr>
          <w:rFonts w:hint="eastAsia"/>
          <w:lang w:eastAsia="zh-CN"/>
        </w:rPr>
        <w:t>主题</w:t>
      </w:r>
      <w:r w:rsidR="00EE208F" w:rsidRPr="001360ED">
        <w:rPr>
          <w:rFonts w:hint="eastAsia"/>
          <w:lang w:eastAsia="zh-CN"/>
        </w:rPr>
        <w:t>优先事项和目标相联系，并使</w:t>
      </w:r>
      <w:r w:rsidR="00EE208F" w:rsidRPr="001360ED">
        <w:rPr>
          <w:rFonts w:hint="eastAsia"/>
          <w:lang w:eastAsia="zh-CN"/>
        </w:rPr>
        <w:t>3</w:t>
      </w:r>
      <w:r w:rsidR="00EE208F" w:rsidRPr="001360ED">
        <w:rPr>
          <w:rFonts w:hint="eastAsia"/>
          <w:lang w:eastAsia="zh-CN"/>
        </w:rPr>
        <w:t>个部门的活动同步进行，以避免工作重复</w:t>
      </w:r>
      <w:r w:rsidR="00FF5E65">
        <w:rPr>
          <w:rFonts w:hint="eastAsia"/>
          <w:lang w:eastAsia="zh-CN"/>
        </w:rPr>
        <w:t>。</w:t>
      </w:r>
    </w:p>
    <w:p w14:paraId="213FDADD" w14:textId="77777777" w:rsidR="008611D4" w:rsidRDefault="00106E69" w:rsidP="008611D4">
      <w:pPr>
        <w:rPr>
          <w:lang w:eastAsia="zh-CN"/>
        </w:rPr>
      </w:pPr>
      <w:r w:rsidRPr="001360ED">
        <w:rPr>
          <w:rFonts w:hint="eastAsia"/>
          <w:lang w:eastAsia="zh-CN"/>
        </w:rPr>
        <w:t>2</w:t>
      </w:r>
      <w:r w:rsidR="00005482" w:rsidRPr="001360ED">
        <w:rPr>
          <w:lang w:eastAsia="zh-CN"/>
        </w:rPr>
        <w:tab/>
      </w:r>
      <w:r w:rsidR="00EE208F" w:rsidRPr="001360ED">
        <w:rPr>
          <w:rFonts w:hint="eastAsia"/>
          <w:lang w:eastAsia="zh-CN"/>
        </w:rPr>
        <w:t>努力增加成本回收的收入。</w:t>
      </w:r>
      <w:r w:rsidR="004406B8" w:rsidRPr="001360ED">
        <w:rPr>
          <w:rFonts w:hint="eastAsia"/>
          <w:lang w:eastAsia="zh-CN"/>
        </w:rPr>
        <w:t>根据现行决议，不得削减可能会影响成本回收收入的支出</w:t>
      </w:r>
      <w:r w:rsidR="00FF5E65">
        <w:rPr>
          <w:rFonts w:hint="eastAsia"/>
          <w:lang w:eastAsia="zh-CN"/>
        </w:rPr>
        <w:t>。</w:t>
      </w:r>
    </w:p>
    <w:p w14:paraId="2BF26B28" w14:textId="77777777" w:rsidR="008611D4" w:rsidRDefault="00106E69" w:rsidP="008611D4">
      <w:pPr>
        <w:rPr>
          <w:lang w:eastAsia="zh-CN"/>
        </w:rPr>
      </w:pPr>
      <w:r w:rsidRPr="001360ED">
        <w:rPr>
          <w:rFonts w:hint="eastAsia"/>
          <w:lang w:eastAsia="zh-CN"/>
        </w:rPr>
        <w:t>3</w:t>
      </w:r>
      <w:r w:rsidR="00005482" w:rsidRPr="001360ED">
        <w:rPr>
          <w:lang w:eastAsia="zh-CN"/>
        </w:rPr>
        <w:tab/>
      </w:r>
      <w:r w:rsidR="006065FD" w:rsidRPr="001360ED">
        <w:rPr>
          <w:rFonts w:hint="eastAsia"/>
          <w:lang w:eastAsia="zh-CN"/>
        </w:rPr>
        <w:t>通过</w:t>
      </w:r>
      <w:r w:rsidR="005A12E5" w:rsidRPr="001360ED">
        <w:rPr>
          <w:rFonts w:hint="eastAsia"/>
          <w:lang w:eastAsia="zh-CN"/>
        </w:rPr>
        <w:t>适当</w:t>
      </w:r>
      <w:r w:rsidR="006065FD" w:rsidRPr="001360ED">
        <w:rPr>
          <w:rFonts w:hint="eastAsia"/>
          <w:lang w:eastAsia="zh-CN"/>
        </w:rPr>
        <w:t>下放财政和行政权，增强区域</w:t>
      </w:r>
      <w:r w:rsidR="00213708" w:rsidRPr="001360ED">
        <w:rPr>
          <w:rFonts w:hint="eastAsia"/>
          <w:lang w:eastAsia="zh-CN"/>
        </w:rPr>
        <w:t>代表</w:t>
      </w:r>
      <w:r w:rsidR="006065FD" w:rsidRPr="001360ED">
        <w:rPr>
          <w:rFonts w:hint="eastAsia"/>
          <w:lang w:eastAsia="zh-CN"/>
        </w:rPr>
        <w:t>处的作用。这将有助于</w:t>
      </w:r>
      <w:r w:rsidR="005A12E5" w:rsidRPr="001360ED">
        <w:rPr>
          <w:rFonts w:hint="eastAsia"/>
          <w:lang w:eastAsia="zh-CN"/>
        </w:rPr>
        <w:t>国际电联</w:t>
      </w:r>
      <w:r w:rsidR="006065FD" w:rsidRPr="001360ED">
        <w:rPr>
          <w:rFonts w:hint="eastAsia"/>
          <w:lang w:eastAsia="zh-CN"/>
        </w:rPr>
        <w:t>职能的进一步</w:t>
      </w:r>
      <w:r w:rsidR="005A12E5" w:rsidRPr="001360ED">
        <w:rPr>
          <w:rFonts w:hint="eastAsia"/>
          <w:lang w:eastAsia="zh-CN"/>
        </w:rPr>
        <w:t>去集中化</w:t>
      </w:r>
      <w:r w:rsidR="006065FD" w:rsidRPr="001360ED">
        <w:rPr>
          <w:rFonts w:hint="eastAsia"/>
          <w:lang w:eastAsia="zh-CN"/>
        </w:rPr>
        <w:t>和民主化。</w:t>
      </w:r>
    </w:p>
    <w:p w14:paraId="24448446" w14:textId="77777777" w:rsidR="008611D4" w:rsidRDefault="00106E69" w:rsidP="008611D4">
      <w:pPr>
        <w:rPr>
          <w:lang w:eastAsia="zh-CN"/>
        </w:rPr>
      </w:pPr>
      <w:r w:rsidRPr="001360ED">
        <w:rPr>
          <w:rFonts w:hint="eastAsia"/>
          <w:lang w:eastAsia="zh-CN"/>
        </w:rPr>
        <w:t>4</w:t>
      </w:r>
      <w:r w:rsidR="00005482" w:rsidRPr="001360ED">
        <w:rPr>
          <w:lang w:eastAsia="zh-CN"/>
        </w:rPr>
        <w:tab/>
      </w:r>
      <w:r w:rsidR="006065FD" w:rsidRPr="001360ED">
        <w:rPr>
          <w:rFonts w:hint="eastAsia"/>
          <w:lang w:eastAsia="zh-CN"/>
        </w:rPr>
        <w:t>国际电联工作人员和成员国代表的内部能力建设，以减少对专家</w:t>
      </w:r>
      <w:r w:rsidR="006065FD" w:rsidRPr="001360ED">
        <w:rPr>
          <w:rFonts w:hint="eastAsia"/>
          <w:lang w:eastAsia="zh-CN"/>
        </w:rPr>
        <w:t>/</w:t>
      </w:r>
      <w:r w:rsidR="006065FD" w:rsidRPr="001360ED">
        <w:rPr>
          <w:rFonts w:hint="eastAsia"/>
          <w:lang w:eastAsia="zh-CN"/>
        </w:rPr>
        <w:t>顾问的依赖。</w:t>
      </w:r>
      <w:r w:rsidR="005A12E5" w:rsidRPr="001360ED">
        <w:rPr>
          <w:rFonts w:hint="eastAsia"/>
          <w:lang w:eastAsia="zh-CN"/>
        </w:rPr>
        <w:t>可将由顾问完成的任务分配给</w:t>
      </w:r>
      <w:r w:rsidR="006065FD" w:rsidRPr="001360ED">
        <w:rPr>
          <w:rFonts w:hint="eastAsia"/>
          <w:lang w:eastAsia="zh-CN"/>
        </w:rPr>
        <w:t>作为国际电联所需的某一领域专家的代表。</w:t>
      </w:r>
    </w:p>
    <w:p w14:paraId="282D881F" w14:textId="77777777" w:rsidR="008611D4" w:rsidRDefault="00106E69" w:rsidP="008611D4">
      <w:pPr>
        <w:rPr>
          <w:lang w:eastAsia="zh-CN"/>
        </w:rPr>
      </w:pPr>
      <w:r w:rsidRPr="001360ED">
        <w:rPr>
          <w:rFonts w:hint="eastAsia"/>
          <w:lang w:eastAsia="zh-CN"/>
        </w:rPr>
        <w:t>5</w:t>
      </w:r>
      <w:r w:rsidR="00005482" w:rsidRPr="001360ED">
        <w:rPr>
          <w:lang w:eastAsia="zh-CN"/>
        </w:rPr>
        <w:tab/>
      </w:r>
      <w:r w:rsidR="006065FD" w:rsidRPr="001360ED">
        <w:rPr>
          <w:rFonts w:hint="eastAsia"/>
          <w:lang w:eastAsia="zh-CN"/>
        </w:rPr>
        <w:t>可能需要探索更多的收入模式，特别是在数字模式中。也可以研究联合国</w:t>
      </w:r>
      <w:r w:rsidR="00AF28D5" w:rsidRPr="001360ED">
        <w:rPr>
          <w:rFonts w:hint="eastAsia"/>
          <w:lang w:eastAsia="zh-CN"/>
        </w:rPr>
        <w:t>其他</w:t>
      </w:r>
      <w:r w:rsidR="006065FD" w:rsidRPr="001360ED">
        <w:rPr>
          <w:rFonts w:hint="eastAsia"/>
          <w:lang w:eastAsia="zh-CN"/>
        </w:rPr>
        <w:t>机构和多边组织采用的最佳做法。</w:t>
      </w:r>
    </w:p>
    <w:p w14:paraId="668A942F" w14:textId="77777777" w:rsidR="008611D4" w:rsidRDefault="00106E69" w:rsidP="008611D4">
      <w:pPr>
        <w:rPr>
          <w:lang w:eastAsia="zh-CN"/>
        </w:rPr>
      </w:pPr>
      <w:r w:rsidRPr="001360ED">
        <w:rPr>
          <w:rFonts w:hint="eastAsia"/>
          <w:lang w:eastAsia="zh-CN"/>
        </w:rPr>
        <w:t>6</w:t>
      </w:r>
      <w:r w:rsidR="00005482" w:rsidRPr="001360ED">
        <w:rPr>
          <w:lang w:eastAsia="zh-CN"/>
        </w:rPr>
        <w:tab/>
      </w:r>
      <w:r w:rsidR="006065FD" w:rsidRPr="001360ED">
        <w:rPr>
          <w:rFonts w:hint="eastAsia"/>
          <w:lang w:eastAsia="zh-CN"/>
        </w:rPr>
        <w:t>探讨成员国提供的实物捐助的种类、质量和数量。可向成员国提供一份</w:t>
      </w:r>
      <w:r w:rsidR="00AF28D5" w:rsidRPr="001360ED">
        <w:rPr>
          <w:rFonts w:hint="eastAsia"/>
          <w:lang w:eastAsia="zh-CN"/>
        </w:rPr>
        <w:t>国际电联</w:t>
      </w:r>
      <w:r w:rsidR="006065FD" w:rsidRPr="001360ED">
        <w:rPr>
          <w:rFonts w:hint="eastAsia"/>
          <w:lang w:eastAsia="zh-CN"/>
        </w:rPr>
        <w:t>所需的实物捐助清单，以便</w:t>
      </w:r>
      <w:r w:rsidR="00AF28D5" w:rsidRPr="001360ED">
        <w:rPr>
          <w:rFonts w:hint="eastAsia"/>
          <w:lang w:eastAsia="zh-CN"/>
        </w:rPr>
        <w:t>其</w:t>
      </w:r>
      <w:r w:rsidR="006065FD" w:rsidRPr="001360ED">
        <w:rPr>
          <w:rFonts w:hint="eastAsia"/>
          <w:lang w:eastAsia="zh-CN"/>
        </w:rPr>
        <w:t>相应地调整其实物捐助。</w:t>
      </w:r>
    </w:p>
    <w:p w14:paraId="56B8720D" w14:textId="77777777" w:rsidR="008611D4" w:rsidRDefault="00106E69" w:rsidP="008611D4">
      <w:pPr>
        <w:rPr>
          <w:lang w:eastAsia="zh-CN"/>
        </w:rPr>
      </w:pPr>
      <w:r w:rsidRPr="001360ED">
        <w:rPr>
          <w:rFonts w:hint="eastAsia"/>
          <w:lang w:eastAsia="zh-CN"/>
        </w:rPr>
        <w:t>7</w:t>
      </w:r>
      <w:r w:rsidR="00005482" w:rsidRPr="001360ED">
        <w:rPr>
          <w:lang w:eastAsia="zh-CN"/>
        </w:rPr>
        <w:tab/>
      </w:r>
      <w:r w:rsidR="006065FD" w:rsidRPr="001360ED">
        <w:rPr>
          <w:rFonts w:hint="eastAsia"/>
          <w:lang w:eastAsia="zh-CN"/>
        </w:rPr>
        <w:t>按照与三个局和总秘书处的代表进行的</w:t>
      </w:r>
      <w:r w:rsidR="00AF28D5" w:rsidRPr="001360ED">
        <w:rPr>
          <w:rFonts w:hint="eastAsia"/>
          <w:lang w:eastAsia="zh-CN"/>
        </w:rPr>
        <w:t>“世界咖啡</w:t>
      </w:r>
      <w:r w:rsidR="002441BA" w:rsidRPr="001360ED">
        <w:rPr>
          <w:rFonts w:hint="eastAsia"/>
          <w:lang w:eastAsia="zh-CN"/>
        </w:rPr>
        <w:t>屋</w:t>
      </w:r>
      <w:r w:rsidR="00AF28D5" w:rsidRPr="001360ED">
        <w:rPr>
          <w:rFonts w:hint="eastAsia"/>
          <w:lang w:eastAsia="zh-CN"/>
        </w:rPr>
        <w:t>”（</w:t>
      </w:r>
      <w:r w:rsidR="00AF28D5" w:rsidRPr="001360ED">
        <w:rPr>
          <w:lang w:eastAsia="zh-CN"/>
        </w:rPr>
        <w:t>World Café</w:t>
      </w:r>
      <w:r w:rsidR="00AF28D5" w:rsidRPr="001360ED">
        <w:rPr>
          <w:rFonts w:hint="eastAsia"/>
          <w:lang w:eastAsia="zh-CN"/>
        </w:rPr>
        <w:t>）</w:t>
      </w:r>
      <w:r w:rsidR="006065FD" w:rsidRPr="001360ED">
        <w:rPr>
          <w:rFonts w:hint="eastAsia"/>
          <w:lang w:eastAsia="zh-CN"/>
        </w:rPr>
        <w:t>的思路，可以计划与成员国进行类似的活动，</w:t>
      </w:r>
      <w:r w:rsidR="002441BA" w:rsidRPr="001360ED">
        <w:rPr>
          <w:rFonts w:hint="eastAsia"/>
          <w:lang w:eastAsia="zh-CN"/>
        </w:rPr>
        <w:t>以收集</w:t>
      </w:r>
      <w:r w:rsidR="006065FD" w:rsidRPr="001360ED">
        <w:rPr>
          <w:rFonts w:hint="eastAsia"/>
          <w:lang w:eastAsia="zh-CN"/>
        </w:rPr>
        <w:t>有关</w:t>
      </w:r>
      <w:r w:rsidR="002441BA" w:rsidRPr="001360ED">
        <w:rPr>
          <w:rFonts w:hint="eastAsia"/>
          <w:lang w:eastAsia="zh-CN"/>
        </w:rPr>
        <w:t>开源节流</w:t>
      </w:r>
      <w:r w:rsidR="006065FD" w:rsidRPr="001360ED">
        <w:rPr>
          <w:rFonts w:hint="eastAsia"/>
          <w:lang w:eastAsia="zh-CN"/>
        </w:rPr>
        <w:t>和平衡</w:t>
      </w:r>
      <w:r w:rsidR="002441BA" w:rsidRPr="001360ED">
        <w:rPr>
          <w:rFonts w:hint="eastAsia"/>
          <w:lang w:eastAsia="zh-CN"/>
        </w:rPr>
        <w:t>财务规划</w:t>
      </w:r>
      <w:r w:rsidR="006065FD" w:rsidRPr="001360ED">
        <w:rPr>
          <w:rFonts w:hint="eastAsia"/>
          <w:lang w:eastAsia="zh-CN"/>
        </w:rPr>
        <w:t>草案的</w:t>
      </w:r>
      <w:r w:rsidR="002441BA" w:rsidRPr="001360ED">
        <w:rPr>
          <w:rFonts w:hint="eastAsia"/>
          <w:lang w:eastAsia="zh-CN"/>
        </w:rPr>
        <w:t>可行想法</w:t>
      </w:r>
      <w:r w:rsidR="006065FD" w:rsidRPr="001360ED">
        <w:rPr>
          <w:rFonts w:hint="eastAsia"/>
          <w:lang w:eastAsia="zh-CN"/>
        </w:rPr>
        <w:t>。</w:t>
      </w:r>
    </w:p>
    <w:p w14:paraId="33FA8EAF" w14:textId="355DBAAD" w:rsidR="004406B8" w:rsidRDefault="006065FD" w:rsidP="008611D4">
      <w:pPr>
        <w:ind w:firstLineChars="200" w:firstLine="480"/>
        <w:rPr>
          <w:lang w:eastAsia="zh-CN"/>
        </w:rPr>
      </w:pPr>
      <w:r w:rsidRPr="001360ED">
        <w:rPr>
          <w:rFonts w:hint="eastAsia"/>
          <w:lang w:eastAsia="zh-CN"/>
        </w:rPr>
        <w:t>印度将乐于</w:t>
      </w:r>
      <w:r w:rsidR="002441BA" w:rsidRPr="001360ED">
        <w:rPr>
          <w:rFonts w:hint="eastAsia"/>
          <w:lang w:eastAsia="zh-CN"/>
        </w:rPr>
        <w:t>在该领域提供帮助</w:t>
      </w:r>
      <w:r w:rsidRPr="001360ED">
        <w:rPr>
          <w:rFonts w:hint="eastAsia"/>
          <w:lang w:eastAsia="zh-CN"/>
        </w:rPr>
        <w:t>并分享其的专业知识。请理事会考虑印度提供的意见和建议，以便</w:t>
      </w:r>
      <w:r w:rsidR="00AD7748" w:rsidRPr="001360ED">
        <w:rPr>
          <w:rFonts w:hint="eastAsia"/>
          <w:lang w:eastAsia="zh-CN"/>
        </w:rPr>
        <w:t>编制</w:t>
      </w:r>
      <w:r w:rsidRPr="001360ED">
        <w:rPr>
          <w:rFonts w:hint="eastAsia"/>
          <w:lang w:eastAsia="zh-CN"/>
        </w:rPr>
        <w:t>健康和平衡的预算，有效地开展</w:t>
      </w:r>
      <w:r w:rsidR="00AD7748" w:rsidRPr="001360ED">
        <w:rPr>
          <w:rFonts w:hint="eastAsia"/>
          <w:lang w:eastAsia="zh-CN"/>
        </w:rPr>
        <w:t>国际电联</w:t>
      </w:r>
      <w:r w:rsidRPr="001360ED">
        <w:rPr>
          <w:rFonts w:hint="eastAsia"/>
          <w:lang w:eastAsia="zh-CN"/>
        </w:rPr>
        <w:t>的活动。</w:t>
      </w:r>
    </w:p>
    <w:p w14:paraId="75134978" w14:textId="77777777" w:rsidR="008611D4" w:rsidRPr="001360ED" w:rsidRDefault="008611D4" w:rsidP="008611D4">
      <w:pPr>
        <w:rPr>
          <w:rFonts w:hint="eastAsia"/>
          <w:lang w:eastAsia="zh-CN"/>
        </w:rPr>
      </w:pPr>
    </w:p>
    <w:p w14:paraId="4BB749A7" w14:textId="5366344B" w:rsidR="000C392D" w:rsidRDefault="001A273E" w:rsidP="00F745F4">
      <w:pPr>
        <w:spacing w:before="0"/>
        <w:jc w:val="center"/>
      </w:pPr>
      <w:r>
        <w:t>______________</w:t>
      </w:r>
    </w:p>
    <w:sectPr w:rsidR="000C392D" w:rsidSect="00BA20B6">
      <w:headerReference w:type="default" r:id="rId10"/>
      <w:foot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9428" w14:textId="77777777" w:rsidR="00F161E0" w:rsidRDefault="00F161E0">
      <w:r>
        <w:separator/>
      </w:r>
    </w:p>
  </w:endnote>
  <w:endnote w:type="continuationSeparator" w:id="0">
    <w:p w14:paraId="0A4579DF" w14:textId="77777777" w:rsidR="00F161E0" w:rsidRDefault="00F1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41BC" w14:textId="65BFA324" w:rsidR="00A164FF" w:rsidRDefault="002C5359" w:rsidP="00673EAD">
    <w:pPr>
      <w:pStyle w:val="Footer"/>
    </w:pPr>
    <w:fldSimple w:instr=" FILENAME \p  \* MERGEFORMAT ">
      <w:r>
        <w:t>P:\CHI\SG\CONF-SG\PP22\000\093C.docx</w:t>
      </w:r>
    </w:fldSimple>
    <w:r w:rsidR="00673EAD">
      <w:t xml:space="preserve"> (511992)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538C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A164FF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A164FF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511AD45C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ECE2" w14:textId="77777777" w:rsidR="00F161E0" w:rsidRDefault="00F161E0">
      <w:r>
        <w:t>____________________</w:t>
      </w:r>
    </w:p>
  </w:footnote>
  <w:footnote w:type="continuationSeparator" w:id="0">
    <w:p w14:paraId="36001577" w14:textId="77777777" w:rsidR="00F161E0" w:rsidRDefault="00F16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14FB" w14:textId="77777777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6E86">
      <w:rPr>
        <w:noProof/>
      </w:rPr>
      <w:t>2</w:t>
    </w:r>
    <w:r>
      <w:fldChar w:fldCharType="end"/>
    </w:r>
  </w:p>
  <w:p w14:paraId="48238F30" w14:textId="77777777" w:rsidR="00C710E5" w:rsidRPr="00FC2542" w:rsidRDefault="00FC2542" w:rsidP="00FC2542">
    <w:pPr>
      <w:pStyle w:val="Header"/>
    </w:pPr>
    <w:r>
      <w:t>PP</w:t>
    </w:r>
    <w:r w:rsidR="002554F9">
      <w:t>22</w:t>
    </w:r>
    <w:r>
      <w:t>/93-</w:t>
    </w:r>
    <w:r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675"/>
    <w:multiLevelType w:val="hybridMultilevel"/>
    <w:tmpl w:val="1DEC35F2"/>
    <w:lvl w:ilvl="0" w:tplc="A8788EAE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displayBackgroundShap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05482"/>
    <w:rsid w:val="000105A6"/>
    <w:rsid w:val="000134DB"/>
    <w:rsid w:val="00014808"/>
    <w:rsid w:val="000155E6"/>
    <w:rsid w:val="00040A47"/>
    <w:rsid w:val="00057B6E"/>
    <w:rsid w:val="00076062"/>
    <w:rsid w:val="0008242D"/>
    <w:rsid w:val="0009673E"/>
    <w:rsid w:val="000B29D5"/>
    <w:rsid w:val="000C0900"/>
    <w:rsid w:val="000C2D61"/>
    <w:rsid w:val="000C392D"/>
    <w:rsid w:val="000C4701"/>
    <w:rsid w:val="000E4C7A"/>
    <w:rsid w:val="000F68C6"/>
    <w:rsid w:val="00106E69"/>
    <w:rsid w:val="00124C8F"/>
    <w:rsid w:val="00125484"/>
    <w:rsid w:val="00126FE1"/>
    <w:rsid w:val="0013327E"/>
    <w:rsid w:val="001360ED"/>
    <w:rsid w:val="00137909"/>
    <w:rsid w:val="0014254A"/>
    <w:rsid w:val="0016662C"/>
    <w:rsid w:val="00167FD3"/>
    <w:rsid w:val="00171990"/>
    <w:rsid w:val="00171B68"/>
    <w:rsid w:val="00176EEE"/>
    <w:rsid w:val="0018210B"/>
    <w:rsid w:val="001A0EEB"/>
    <w:rsid w:val="001A273E"/>
    <w:rsid w:val="001A4A66"/>
    <w:rsid w:val="001B25D1"/>
    <w:rsid w:val="002043DD"/>
    <w:rsid w:val="00213708"/>
    <w:rsid w:val="002155B0"/>
    <w:rsid w:val="00226B70"/>
    <w:rsid w:val="00231ABC"/>
    <w:rsid w:val="00235FAD"/>
    <w:rsid w:val="00241DDB"/>
    <w:rsid w:val="002441BA"/>
    <w:rsid w:val="002554F9"/>
    <w:rsid w:val="002578B4"/>
    <w:rsid w:val="002A0F5C"/>
    <w:rsid w:val="002A2125"/>
    <w:rsid w:val="002B39F5"/>
    <w:rsid w:val="002C5359"/>
    <w:rsid w:val="002E37AF"/>
    <w:rsid w:val="00307225"/>
    <w:rsid w:val="00320A1D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3C4C42"/>
    <w:rsid w:val="004014B0"/>
    <w:rsid w:val="00414872"/>
    <w:rsid w:val="00415EFC"/>
    <w:rsid w:val="00426AC1"/>
    <w:rsid w:val="004406B8"/>
    <w:rsid w:val="0045019C"/>
    <w:rsid w:val="00454DE6"/>
    <w:rsid w:val="004676C0"/>
    <w:rsid w:val="00476923"/>
    <w:rsid w:val="00476CAF"/>
    <w:rsid w:val="00485E71"/>
    <w:rsid w:val="004946E8"/>
    <w:rsid w:val="00496567"/>
    <w:rsid w:val="004C2CF2"/>
    <w:rsid w:val="004D3182"/>
    <w:rsid w:val="005061F9"/>
    <w:rsid w:val="00517E65"/>
    <w:rsid w:val="00521AD4"/>
    <w:rsid w:val="005279FC"/>
    <w:rsid w:val="005356FD"/>
    <w:rsid w:val="00542073"/>
    <w:rsid w:val="00552BA5"/>
    <w:rsid w:val="00554E24"/>
    <w:rsid w:val="00564B8D"/>
    <w:rsid w:val="00567130"/>
    <w:rsid w:val="00596A53"/>
    <w:rsid w:val="005A12E5"/>
    <w:rsid w:val="005A6A1D"/>
    <w:rsid w:val="005C1E39"/>
    <w:rsid w:val="005E4794"/>
    <w:rsid w:val="005F67CE"/>
    <w:rsid w:val="006065FD"/>
    <w:rsid w:val="00617BE4"/>
    <w:rsid w:val="00622189"/>
    <w:rsid w:val="006405DC"/>
    <w:rsid w:val="006621AB"/>
    <w:rsid w:val="0067125A"/>
    <w:rsid w:val="00673EAD"/>
    <w:rsid w:val="00680265"/>
    <w:rsid w:val="006857B7"/>
    <w:rsid w:val="006A0092"/>
    <w:rsid w:val="006E57C8"/>
    <w:rsid w:val="006E6BA4"/>
    <w:rsid w:val="006F0211"/>
    <w:rsid w:val="00722343"/>
    <w:rsid w:val="007235A4"/>
    <w:rsid w:val="0073319E"/>
    <w:rsid w:val="007364C9"/>
    <w:rsid w:val="00750829"/>
    <w:rsid w:val="00770CF8"/>
    <w:rsid w:val="007917DE"/>
    <w:rsid w:val="007A5031"/>
    <w:rsid w:val="007B558F"/>
    <w:rsid w:val="007C4DC3"/>
    <w:rsid w:val="00814482"/>
    <w:rsid w:val="008160BF"/>
    <w:rsid w:val="008346AC"/>
    <w:rsid w:val="008433E4"/>
    <w:rsid w:val="00850AEF"/>
    <w:rsid w:val="008611D4"/>
    <w:rsid w:val="008652E7"/>
    <w:rsid w:val="008726C7"/>
    <w:rsid w:val="00873D04"/>
    <w:rsid w:val="008A4729"/>
    <w:rsid w:val="008B44F5"/>
    <w:rsid w:val="008D3BE2"/>
    <w:rsid w:val="008D7300"/>
    <w:rsid w:val="008D7E0F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5344B"/>
    <w:rsid w:val="00966EBB"/>
    <w:rsid w:val="00985066"/>
    <w:rsid w:val="0099173A"/>
    <w:rsid w:val="009A47A2"/>
    <w:rsid w:val="009C4B97"/>
    <w:rsid w:val="009C7F4C"/>
    <w:rsid w:val="009D1E93"/>
    <w:rsid w:val="009D6EA5"/>
    <w:rsid w:val="00A03693"/>
    <w:rsid w:val="00A164FF"/>
    <w:rsid w:val="00A23536"/>
    <w:rsid w:val="00A25039"/>
    <w:rsid w:val="00A55E1D"/>
    <w:rsid w:val="00A6085C"/>
    <w:rsid w:val="00A62DA7"/>
    <w:rsid w:val="00A865E4"/>
    <w:rsid w:val="00AC07C0"/>
    <w:rsid w:val="00AC79BA"/>
    <w:rsid w:val="00AD1198"/>
    <w:rsid w:val="00AD2C62"/>
    <w:rsid w:val="00AD7748"/>
    <w:rsid w:val="00AE49B9"/>
    <w:rsid w:val="00AF28D5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C71FE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CF1341"/>
    <w:rsid w:val="00D2057D"/>
    <w:rsid w:val="00D215E8"/>
    <w:rsid w:val="00D527E2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E121F2"/>
    <w:rsid w:val="00E12CDA"/>
    <w:rsid w:val="00E16D8C"/>
    <w:rsid w:val="00E26F09"/>
    <w:rsid w:val="00E54C8F"/>
    <w:rsid w:val="00E56E57"/>
    <w:rsid w:val="00E749DA"/>
    <w:rsid w:val="00ED5A87"/>
    <w:rsid w:val="00EE208F"/>
    <w:rsid w:val="00EF2642"/>
    <w:rsid w:val="00EF3681"/>
    <w:rsid w:val="00EF4455"/>
    <w:rsid w:val="00EF5523"/>
    <w:rsid w:val="00F00FD0"/>
    <w:rsid w:val="00F015B4"/>
    <w:rsid w:val="00F02A26"/>
    <w:rsid w:val="00F161E0"/>
    <w:rsid w:val="00F20BC2"/>
    <w:rsid w:val="00F24F0A"/>
    <w:rsid w:val="00F342E4"/>
    <w:rsid w:val="00F44613"/>
    <w:rsid w:val="00F574D8"/>
    <w:rsid w:val="00F745F4"/>
    <w:rsid w:val="00FC2542"/>
    <w:rsid w:val="00FC53DB"/>
    <w:rsid w:val="00FC63DE"/>
    <w:rsid w:val="00FD7B1D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7241D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Revision">
    <w:name w:val="Revision"/>
    <w:hidden/>
    <w:uiPriority w:val="99"/>
    <w:semiHidden/>
    <w:rsid w:val="001A273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zh-h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8c40f2c-2680-4de6-b94a-60057ce57bfc">DPM</DPM_x0020_Author>
    <DPM_x0020_File_x0020_name xmlns="18c40f2c-2680-4de6-b94a-60057ce57bfc">S22-PP-C-0093!!MSW-C</DPM_x0020_File_x0020_name>
    <DPM_x0020_Version xmlns="18c40f2c-2680-4de6-b94a-60057ce57bfc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8c40f2c-2680-4de6-b94a-60057ce57bfc" targetNamespace="http://schemas.microsoft.com/office/2006/metadata/properties" ma:root="true" ma:fieldsID="d41af5c836d734370eb92e7ee5f83852" ns2:_="" ns3:_="">
    <xsd:import namespace="996b2e75-67fd-4955-a3b0-5ab9934cb50b"/>
    <xsd:import namespace="18c40f2c-2680-4de6-b94a-60057ce57bf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40f2c-2680-4de6-b94a-60057ce57bf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8c40f2c-2680-4de6-b94a-60057ce57bfc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8c40f2c-2680-4de6-b94a-60057ce57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1056</Words>
  <Characters>224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S22-PP-C-0093!!MSW-C</vt:lpstr>
    </vt:vector>
  </TitlesOfParts>
  <Company>ITU</Company>
  <LinksUpToDate>false</LinksUpToDate>
  <CharactersWithSpaces>1278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S22-PP-C-0093!!MSW-C</dc:title>
  <dc:subject>Plenipotentiary Conference (PP-18)</dc:subject>
  <dc:creator>Documents Proposals Manager (DPM)</dc:creator>
  <cp:keywords>DPM_v2022.8.31.2_prod</cp:keywords>
  <cp:lastModifiedBy>Li, Jianying</cp:lastModifiedBy>
  <cp:revision>9</cp:revision>
  <dcterms:created xsi:type="dcterms:W3CDTF">2022-09-13T14:31:00Z</dcterms:created>
  <dcterms:modified xsi:type="dcterms:W3CDTF">2022-09-14T10:15:00Z</dcterms:modified>
  <cp:category>Conference document</cp:category>
</cp:coreProperties>
</file>