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14:paraId="346B973F" w14:textId="77777777" w:rsidTr="00AB2D04">
        <w:trPr>
          <w:cantSplit/>
        </w:trPr>
        <w:tc>
          <w:tcPr>
            <w:tcW w:w="6629" w:type="dxa"/>
          </w:tcPr>
          <w:p w14:paraId="53B5D8E9" w14:textId="77777777" w:rsidR="001A16ED" w:rsidRPr="00F04067" w:rsidRDefault="001A16ED" w:rsidP="004F7925">
            <w:pPr>
              <w:spacing w:before="240" w:after="48" w:line="240" w:lineRule="atLeast"/>
              <w:rPr>
                <w:rFonts w:cstheme="minorHAnsi"/>
                <w:b/>
                <w:bCs/>
                <w:position w:val="6"/>
                <w:sz w:val="28"/>
                <w:szCs w:val="28"/>
              </w:rPr>
            </w:pPr>
            <w:bookmarkStart w:id="0" w:name="dpp"/>
            <w:bookmarkEnd w:id="0"/>
            <w:r w:rsidRPr="00936F04">
              <w:rPr>
                <w:rFonts w:cs="Times"/>
                <w:b/>
                <w:position w:val="6"/>
                <w:sz w:val="30"/>
                <w:szCs w:val="30"/>
              </w:rPr>
              <w:t>Plenipotentiary Conference (PP-</w:t>
            </w:r>
            <w:r w:rsidR="000235EC">
              <w:rPr>
                <w:rFonts w:cs="Times"/>
                <w:b/>
                <w:position w:val="6"/>
                <w:sz w:val="30"/>
                <w:szCs w:val="30"/>
              </w:rPr>
              <w:t>22</w:t>
            </w:r>
            <w:r w:rsidRPr="00936F04">
              <w:rPr>
                <w:rFonts w:cs="Times"/>
                <w:b/>
                <w:position w:val="6"/>
                <w:sz w:val="30"/>
                <w:szCs w:val="30"/>
              </w:rPr>
              <w:t>)</w:t>
            </w:r>
            <w:r w:rsidRPr="00936F04">
              <w:rPr>
                <w:rFonts w:cs="Times"/>
                <w:b/>
                <w:position w:val="6"/>
                <w:sz w:val="26"/>
                <w:szCs w:val="26"/>
              </w:rPr>
              <w:br/>
            </w:r>
            <w:r w:rsidR="000235EC">
              <w:rPr>
                <w:b/>
                <w:bCs/>
                <w:position w:val="6"/>
                <w:szCs w:val="24"/>
              </w:rPr>
              <w:t>Bucharest</w:t>
            </w:r>
            <w:r w:rsidRPr="00936F04">
              <w:rPr>
                <w:b/>
                <w:bCs/>
                <w:position w:val="6"/>
                <w:szCs w:val="24"/>
              </w:rPr>
              <w:t xml:space="preserve">, </w:t>
            </w:r>
            <w:r w:rsidR="004F7925">
              <w:rPr>
                <w:b/>
                <w:bCs/>
                <w:position w:val="6"/>
                <w:szCs w:val="24"/>
              </w:rPr>
              <w:t>2</w:t>
            </w:r>
            <w:r w:rsidR="000235EC">
              <w:rPr>
                <w:b/>
                <w:bCs/>
                <w:position w:val="6"/>
                <w:szCs w:val="24"/>
              </w:rPr>
              <w:t>6</w:t>
            </w:r>
            <w:r w:rsidRPr="00936F04">
              <w:rPr>
                <w:b/>
                <w:bCs/>
                <w:position w:val="6"/>
                <w:szCs w:val="24"/>
              </w:rPr>
              <w:t xml:space="preserve"> </w:t>
            </w:r>
            <w:r w:rsidR="000235EC">
              <w:rPr>
                <w:b/>
                <w:bCs/>
                <w:position w:val="6"/>
                <w:szCs w:val="24"/>
              </w:rPr>
              <w:t>September</w:t>
            </w:r>
            <w:r w:rsidRPr="00936F04">
              <w:rPr>
                <w:b/>
                <w:bCs/>
                <w:position w:val="6"/>
                <w:szCs w:val="24"/>
              </w:rPr>
              <w:t xml:space="preserve"> </w:t>
            </w:r>
            <w:r>
              <w:rPr>
                <w:b/>
                <w:bCs/>
                <w:position w:val="6"/>
                <w:szCs w:val="24"/>
              </w:rPr>
              <w:t xml:space="preserve">– </w:t>
            </w:r>
            <w:r w:rsidR="004F7925">
              <w:rPr>
                <w:b/>
                <w:bCs/>
                <w:position w:val="6"/>
                <w:szCs w:val="24"/>
              </w:rPr>
              <w:t>1</w:t>
            </w:r>
            <w:r w:rsidR="000235EC">
              <w:rPr>
                <w:b/>
                <w:bCs/>
                <w:position w:val="6"/>
                <w:szCs w:val="24"/>
              </w:rPr>
              <w:t>4</w:t>
            </w:r>
            <w:r>
              <w:rPr>
                <w:b/>
                <w:bCs/>
                <w:position w:val="6"/>
                <w:szCs w:val="24"/>
              </w:rPr>
              <w:t xml:space="preserve"> </w:t>
            </w:r>
            <w:r w:rsidR="000235EC">
              <w:rPr>
                <w:b/>
                <w:bCs/>
                <w:position w:val="6"/>
                <w:szCs w:val="24"/>
              </w:rPr>
              <w:t>October</w:t>
            </w:r>
            <w:r>
              <w:rPr>
                <w:b/>
                <w:bCs/>
                <w:position w:val="6"/>
                <w:szCs w:val="24"/>
              </w:rPr>
              <w:t xml:space="preserve"> 20</w:t>
            </w:r>
            <w:r w:rsidR="000235EC">
              <w:rPr>
                <w:b/>
                <w:bCs/>
                <w:position w:val="6"/>
                <w:szCs w:val="24"/>
              </w:rPr>
              <w:t>22</w:t>
            </w:r>
          </w:p>
        </w:tc>
        <w:tc>
          <w:tcPr>
            <w:tcW w:w="3402" w:type="dxa"/>
          </w:tcPr>
          <w:p w14:paraId="024F39DD" w14:textId="77777777" w:rsidR="001A16ED" w:rsidRPr="00D96B4B" w:rsidRDefault="000235EC" w:rsidP="006A046E">
            <w:pPr>
              <w:spacing w:line="240" w:lineRule="atLeast"/>
              <w:rPr>
                <w:rFonts w:cstheme="minorHAnsi"/>
              </w:rPr>
            </w:pPr>
            <w:bookmarkStart w:id="1" w:name="ditulogo"/>
            <w:bookmarkEnd w:id="1"/>
            <w:r>
              <w:rPr>
                <w:noProof/>
              </w:rPr>
              <w:drawing>
                <wp:inline distT="0" distB="0" distL="0" distR="0" wp14:anchorId="7940B6FC" wp14:editId="42B8E845">
                  <wp:extent cx="681990" cy="719455"/>
                  <wp:effectExtent l="0" t="0" r="381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1990" cy="719455"/>
                          </a:xfrm>
                          <a:prstGeom prst="rect">
                            <a:avLst/>
                          </a:prstGeom>
                        </pic:spPr>
                      </pic:pic>
                    </a:graphicData>
                  </a:graphic>
                </wp:inline>
              </w:drawing>
            </w:r>
          </w:p>
        </w:tc>
      </w:tr>
      <w:tr w:rsidR="001A16ED" w:rsidRPr="00617BE4" w14:paraId="6D4F9A50" w14:textId="77777777" w:rsidTr="00AB2D04">
        <w:trPr>
          <w:cantSplit/>
        </w:trPr>
        <w:tc>
          <w:tcPr>
            <w:tcW w:w="6629" w:type="dxa"/>
            <w:tcBorders>
              <w:bottom w:val="single" w:sz="12" w:space="0" w:color="auto"/>
            </w:tcBorders>
          </w:tcPr>
          <w:p w14:paraId="1E961C11" w14:textId="77777777" w:rsidR="001A16ED" w:rsidRPr="00D96B4B" w:rsidRDefault="001A16ED" w:rsidP="003740BC">
            <w:pPr>
              <w:spacing w:before="0"/>
              <w:rPr>
                <w:rFonts w:cstheme="minorHAnsi"/>
                <w:b/>
                <w:smallCaps/>
                <w:szCs w:val="24"/>
              </w:rPr>
            </w:pPr>
            <w:bookmarkStart w:id="2" w:name="dhead"/>
          </w:p>
        </w:tc>
        <w:tc>
          <w:tcPr>
            <w:tcW w:w="3402" w:type="dxa"/>
            <w:tcBorders>
              <w:bottom w:val="single" w:sz="12" w:space="0" w:color="auto"/>
            </w:tcBorders>
          </w:tcPr>
          <w:p w14:paraId="7FBF69ED" w14:textId="77777777" w:rsidR="001A16ED" w:rsidRPr="00D96B4B" w:rsidRDefault="001A16ED" w:rsidP="003740BC">
            <w:pPr>
              <w:spacing w:before="0"/>
              <w:rPr>
                <w:rFonts w:cstheme="minorHAnsi"/>
                <w:szCs w:val="24"/>
              </w:rPr>
            </w:pPr>
          </w:p>
        </w:tc>
      </w:tr>
      <w:tr w:rsidR="001A16ED" w:rsidRPr="00C324A8" w14:paraId="36215350" w14:textId="77777777" w:rsidTr="00AB2D04">
        <w:trPr>
          <w:cantSplit/>
        </w:trPr>
        <w:tc>
          <w:tcPr>
            <w:tcW w:w="6629" w:type="dxa"/>
            <w:tcBorders>
              <w:top w:val="single" w:sz="12" w:space="0" w:color="auto"/>
            </w:tcBorders>
          </w:tcPr>
          <w:p w14:paraId="21DFDA96" w14:textId="77777777" w:rsidR="001A16ED" w:rsidRPr="00D96B4B" w:rsidRDefault="001A16ED" w:rsidP="003740BC">
            <w:pPr>
              <w:spacing w:before="0"/>
              <w:rPr>
                <w:rFonts w:cstheme="minorHAnsi"/>
                <w:b/>
                <w:smallCaps/>
                <w:sz w:val="20"/>
              </w:rPr>
            </w:pPr>
          </w:p>
        </w:tc>
        <w:tc>
          <w:tcPr>
            <w:tcW w:w="3402" w:type="dxa"/>
            <w:tcBorders>
              <w:top w:val="single" w:sz="12" w:space="0" w:color="auto"/>
            </w:tcBorders>
          </w:tcPr>
          <w:p w14:paraId="23D17925" w14:textId="77777777" w:rsidR="001A16ED" w:rsidRPr="00D96B4B" w:rsidRDefault="001A16ED" w:rsidP="003740BC">
            <w:pPr>
              <w:spacing w:before="0"/>
              <w:rPr>
                <w:rFonts w:cstheme="minorHAnsi"/>
                <w:sz w:val="20"/>
              </w:rPr>
            </w:pPr>
          </w:p>
        </w:tc>
      </w:tr>
      <w:tr w:rsidR="001A16ED" w:rsidRPr="00C324A8" w14:paraId="09FB1C27" w14:textId="77777777" w:rsidTr="00AB2D04">
        <w:trPr>
          <w:cantSplit/>
          <w:trHeight w:val="23"/>
        </w:trPr>
        <w:tc>
          <w:tcPr>
            <w:tcW w:w="6629" w:type="dxa"/>
            <w:shd w:val="clear" w:color="auto" w:fill="auto"/>
          </w:tcPr>
          <w:p w14:paraId="3785F9DB" w14:textId="77777777" w:rsidR="001A16ED" w:rsidRPr="00D96B4B" w:rsidRDefault="00E844D5" w:rsidP="002E77F4">
            <w:pPr>
              <w:pStyle w:val="Committee"/>
              <w:spacing w:after="0"/>
            </w:pPr>
            <w:bookmarkStart w:id="3" w:name="dnum" w:colFirst="1" w:colLast="1"/>
            <w:bookmarkStart w:id="4" w:name="dmeeting" w:colFirst="0" w:colLast="0"/>
            <w:bookmarkEnd w:id="2"/>
            <w:r>
              <w:t>PLENARY MEETING</w:t>
            </w:r>
          </w:p>
        </w:tc>
        <w:tc>
          <w:tcPr>
            <w:tcW w:w="3402" w:type="dxa"/>
          </w:tcPr>
          <w:p w14:paraId="29CF1F93" w14:textId="77777777" w:rsidR="001A16ED" w:rsidRPr="00F44B1A" w:rsidRDefault="001A16ED" w:rsidP="003740BC">
            <w:pPr>
              <w:tabs>
                <w:tab w:val="left" w:pos="851"/>
              </w:tabs>
              <w:spacing w:before="0"/>
              <w:rPr>
                <w:rFonts w:cstheme="minorHAnsi"/>
                <w:b/>
                <w:szCs w:val="24"/>
              </w:rPr>
            </w:pPr>
            <w:r>
              <w:rPr>
                <w:rFonts w:cstheme="minorHAnsi"/>
                <w:b/>
                <w:szCs w:val="24"/>
              </w:rPr>
              <w:t>Document 86</w:t>
            </w:r>
            <w:r w:rsidR="00F44B1A" w:rsidRPr="00F44B1A">
              <w:rPr>
                <w:rFonts w:cstheme="minorHAnsi"/>
                <w:b/>
                <w:szCs w:val="24"/>
              </w:rPr>
              <w:t>-E</w:t>
            </w:r>
          </w:p>
        </w:tc>
      </w:tr>
      <w:tr w:rsidR="001A16ED" w:rsidRPr="00C324A8" w14:paraId="1F4D8AEA" w14:textId="77777777" w:rsidTr="00AB2D04">
        <w:trPr>
          <w:cantSplit/>
          <w:trHeight w:val="23"/>
        </w:trPr>
        <w:tc>
          <w:tcPr>
            <w:tcW w:w="6629" w:type="dxa"/>
            <w:shd w:val="clear" w:color="auto" w:fill="auto"/>
          </w:tcPr>
          <w:p w14:paraId="0173BE2B" w14:textId="77777777" w:rsidR="001A16ED" w:rsidRPr="00841AB4" w:rsidRDefault="001A16ED" w:rsidP="003740BC">
            <w:pPr>
              <w:tabs>
                <w:tab w:val="left" w:pos="851"/>
              </w:tabs>
              <w:spacing w:before="0"/>
              <w:rPr>
                <w:rFonts w:asciiTheme="minorHAnsi" w:hAnsiTheme="minorHAnsi" w:cstheme="minorHAnsi"/>
                <w:b/>
                <w:szCs w:val="24"/>
              </w:rPr>
            </w:pPr>
            <w:bookmarkStart w:id="5" w:name="ddate" w:colFirst="1" w:colLast="1"/>
            <w:bookmarkStart w:id="6" w:name="dblank" w:colFirst="0" w:colLast="0"/>
            <w:bookmarkEnd w:id="3"/>
            <w:bookmarkEnd w:id="4"/>
          </w:p>
        </w:tc>
        <w:tc>
          <w:tcPr>
            <w:tcW w:w="3402" w:type="dxa"/>
          </w:tcPr>
          <w:p w14:paraId="50531B5C" w14:textId="77777777" w:rsidR="001A16ED" w:rsidRPr="00D96B4B" w:rsidRDefault="001A16ED" w:rsidP="003740BC">
            <w:pPr>
              <w:spacing w:before="0"/>
              <w:rPr>
                <w:rFonts w:cstheme="minorHAnsi"/>
                <w:szCs w:val="24"/>
              </w:rPr>
            </w:pPr>
            <w:r w:rsidRPr="00D96B4B">
              <w:rPr>
                <w:rFonts w:cstheme="minorHAnsi"/>
                <w:b/>
                <w:szCs w:val="24"/>
              </w:rPr>
              <w:t>5 September 2022</w:t>
            </w:r>
          </w:p>
        </w:tc>
      </w:tr>
      <w:tr w:rsidR="001A16ED" w:rsidRPr="00C324A8" w14:paraId="6A562AF7" w14:textId="77777777" w:rsidTr="00AB2D04">
        <w:trPr>
          <w:cantSplit/>
          <w:trHeight w:val="23"/>
        </w:trPr>
        <w:tc>
          <w:tcPr>
            <w:tcW w:w="6629" w:type="dxa"/>
            <w:shd w:val="clear" w:color="auto" w:fill="auto"/>
          </w:tcPr>
          <w:p w14:paraId="7CD706ED" w14:textId="77777777" w:rsidR="001A16ED" w:rsidRPr="00D96B4B" w:rsidRDefault="001A16ED" w:rsidP="003740BC">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402" w:type="dxa"/>
          </w:tcPr>
          <w:p w14:paraId="60319CB8" w14:textId="77777777" w:rsidR="001A16ED" w:rsidRPr="00D96B4B" w:rsidRDefault="001A16ED" w:rsidP="003740BC">
            <w:pPr>
              <w:tabs>
                <w:tab w:val="left" w:pos="993"/>
              </w:tabs>
              <w:spacing w:before="0"/>
              <w:rPr>
                <w:rFonts w:cstheme="minorHAnsi"/>
                <w:b/>
                <w:szCs w:val="24"/>
              </w:rPr>
            </w:pPr>
            <w:r w:rsidRPr="00D96B4B">
              <w:rPr>
                <w:rFonts w:cstheme="minorHAnsi"/>
                <w:b/>
                <w:szCs w:val="24"/>
              </w:rPr>
              <w:t>Original: English</w:t>
            </w:r>
          </w:p>
        </w:tc>
      </w:tr>
      <w:tr w:rsidR="001A16ED" w:rsidRPr="00C324A8" w14:paraId="54550E99" w14:textId="77777777" w:rsidTr="006A046E">
        <w:trPr>
          <w:cantSplit/>
          <w:trHeight w:val="23"/>
        </w:trPr>
        <w:tc>
          <w:tcPr>
            <w:tcW w:w="10031" w:type="dxa"/>
            <w:gridSpan w:val="2"/>
            <w:shd w:val="clear" w:color="auto" w:fill="auto"/>
          </w:tcPr>
          <w:p w14:paraId="06BB23B2" w14:textId="77777777" w:rsidR="001A16ED" w:rsidRPr="00D96B4B" w:rsidRDefault="001A16ED" w:rsidP="006A046E">
            <w:pPr>
              <w:tabs>
                <w:tab w:val="left" w:pos="993"/>
              </w:tabs>
              <w:rPr>
                <w:rFonts w:ascii="Verdana" w:hAnsi="Verdana"/>
                <w:b/>
                <w:szCs w:val="24"/>
              </w:rPr>
            </w:pPr>
          </w:p>
        </w:tc>
      </w:tr>
      <w:tr w:rsidR="001A16ED" w:rsidRPr="00C324A8" w14:paraId="3B3A249B" w14:textId="77777777" w:rsidTr="006A046E">
        <w:trPr>
          <w:cantSplit/>
          <w:trHeight w:val="23"/>
        </w:trPr>
        <w:tc>
          <w:tcPr>
            <w:tcW w:w="10031" w:type="dxa"/>
            <w:gridSpan w:val="2"/>
            <w:shd w:val="clear" w:color="auto" w:fill="auto"/>
          </w:tcPr>
          <w:p w14:paraId="5E1DE07E" w14:textId="77777777" w:rsidR="001A16ED" w:rsidRDefault="001A16ED" w:rsidP="006A046E">
            <w:pPr>
              <w:pStyle w:val="Source"/>
            </w:pPr>
            <w:r>
              <w:t>Brazil (Federative Republic of)/Paraguay (Republic of)</w:t>
            </w:r>
          </w:p>
        </w:tc>
      </w:tr>
      <w:tr w:rsidR="001A16ED" w:rsidRPr="00C324A8" w14:paraId="18FBC707" w14:textId="77777777" w:rsidTr="006A046E">
        <w:trPr>
          <w:cantSplit/>
          <w:trHeight w:val="23"/>
        </w:trPr>
        <w:tc>
          <w:tcPr>
            <w:tcW w:w="10031" w:type="dxa"/>
            <w:gridSpan w:val="2"/>
            <w:shd w:val="clear" w:color="auto" w:fill="auto"/>
          </w:tcPr>
          <w:p w14:paraId="409B1830" w14:textId="77777777" w:rsidR="001A16ED" w:rsidRDefault="001A16ED" w:rsidP="006A046E">
            <w:pPr>
              <w:pStyle w:val="Title1"/>
            </w:pPr>
            <w:r>
              <w:t>Proposals for the work of the Conference - Draft new Resolution:</w:t>
            </w:r>
          </w:p>
        </w:tc>
      </w:tr>
      <w:tr w:rsidR="001A16ED" w:rsidRPr="00C324A8" w14:paraId="7165F926" w14:textId="77777777" w:rsidTr="006A046E">
        <w:trPr>
          <w:cantSplit/>
          <w:trHeight w:val="23"/>
        </w:trPr>
        <w:tc>
          <w:tcPr>
            <w:tcW w:w="10031" w:type="dxa"/>
            <w:gridSpan w:val="2"/>
            <w:shd w:val="clear" w:color="auto" w:fill="auto"/>
          </w:tcPr>
          <w:p w14:paraId="0E0F0600" w14:textId="77777777" w:rsidR="001A16ED" w:rsidRDefault="001A16ED" w:rsidP="006A046E">
            <w:pPr>
              <w:pStyle w:val="Title2"/>
            </w:pPr>
            <w:r>
              <w:t>Development of disaggregated, open, and interoperable networks</w:t>
            </w:r>
          </w:p>
        </w:tc>
      </w:tr>
      <w:tr w:rsidR="001A16ED" w:rsidRPr="00C324A8" w14:paraId="513A5D43" w14:textId="77777777" w:rsidTr="006A046E">
        <w:trPr>
          <w:cantSplit/>
          <w:trHeight w:val="23"/>
        </w:trPr>
        <w:tc>
          <w:tcPr>
            <w:tcW w:w="10031" w:type="dxa"/>
            <w:gridSpan w:val="2"/>
            <w:shd w:val="clear" w:color="auto" w:fill="auto"/>
          </w:tcPr>
          <w:p w14:paraId="70142E1F" w14:textId="77777777" w:rsidR="001A16ED" w:rsidRPr="00144868" w:rsidRDefault="001A16ED" w:rsidP="006A046E">
            <w:pPr>
              <w:pStyle w:val="Agendaitem"/>
              <w:rPr>
                <w:lang w:val="en-GB"/>
              </w:rPr>
            </w:pPr>
          </w:p>
        </w:tc>
      </w:tr>
      <w:bookmarkEnd w:id="7"/>
      <w:bookmarkEnd w:id="8"/>
    </w:tbl>
    <w:p w14:paraId="4718B2E0" w14:textId="77777777" w:rsidR="001A16ED" w:rsidRDefault="001A16ED" w:rsidP="00AB2D04"/>
    <w:p w14:paraId="4CA59577" w14:textId="1E233254" w:rsidR="00144868" w:rsidRDefault="00144868" w:rsidP="00144868">
      <w:pPr>
        <w:rPr>
          <w:b/>
          <w:bCs/>
          <w:lang w:val="en-US"/>
        </w:rPr>
      </w:pPr>
      <w:r w:rsidRPr="00144868">
        <w:rPr>
          <w:b/>
          <w:bCs/>
          <w:lang w:val="en-US"/>
        </w:rPr>
        <w:t>Introduction</w:t>
      </w:r>
    </w:p>
    <w:p w14:paraId="10E11521" w14:textId="6647E596" w:rsidR="00144868" w:rsidRPr="00144868" w:rsidRDefault="00144868" w:rsidP="00144868">
      <w:pPr>
        <w:rPr>
          <w:lang w:val="en-US"/>
        </w:rPr>
      </w:pPr>
      <w:r w:rsidRPr="00144868">
        <w:rPr>
          <w:lang w:val="en-US"/>
        </w:rPr>
        <w:t xml:space="preserve">It is proposed to add a new resolution on the “Development of Disaggregated, Open, and Interoperable Networks” that aims to strengthen and </w:t>
      </w:r>
      <w:r w:rsidRPr="00B05E5B">
        <w:rPr>
          <w:lang w:val="en-US"/>
        </w:rPr>
        <w:t xml:space="preserve">accelerate the </w:t>
      </w:r>
      <w:r w:rsidRPr="00B05E5B">
        <w:rPr>
          <w:lang w:val="en-US"/>
        </w:rPr>
        <w:t xml:space="preserve">related activities </w:t>
      </w:r>
      <w:r w:rsidR="007734B7" w:rsidRPr="00B05E5B">
        <w:rPr>
          <w:lang w:val="en-US"/>
        </w:rPr>
        <w:t xml:space="preserve">in </w:t>
      </w:r>
      <w:r w:rsidRPr="00B05E5B">
        <w:rPr>
          <w:lang w:val="en-US"/>
        </w:rPr>
        <w:t xml:space="preserve">the </w:t>
      </w:r>
      <w:r w:rsidRPr="00B05E5B">
        <w:rPr>
          <w:lang w:val="en-US"/>
        </w:rPr>
        <w:t>three sectors of the International Telecommunication Union. This proposal is based on similar</w:t>
      </w:r>
      <w:r w:rsidRPr="00144868">
        <w:rPr>
          <w:lang w:val="en-US"/>
        </w:rPr>
        <w:t xml:space="preserve"> texts discussed at World Telecommunication Standardization Assembly (WTSA-20) and World Telecommunication Development Conference (WTDC-22) that resulted on the “</w:t>
      </w:r>
      <w:r w:rsidRPr="00144868">
        <w:rPr>
          <w:i/>
          <w:iCs/>
          <w:lang w:val="en-US"/>
        </w:rPr>
        <w:t>resolves to invite the Telecommunication Standardization Advisory Group”</w:t>
      </w:r>
      <w:r w:rsidRPr="00144868">
        <w:rPr>
          <w:lang w:val="en-US"/>
        </w:rPr>
        <w:t xml:space="preserve"> 3 and 4 of WTSA Resolution 92 (Rev. Geneva, 2022) and the “</w:t>
      </w:r>
      <w:r w:rsidRPr="00144868">
        <w:rPr>
          <w:i/>
          <w:iCs/>
          <w:lang w:val="en-US"/>
        </w:rPr>
        <w:t xml:space="preserve">resolves to instruct the Director of the Telecommunication Development Bureau, in collaboration with the Directors of the Radiocommunication Bureau and the Telecommunication Standardization Bureau” </w:t>
      </w:r>
      <w:r w:rsidRPr="00144868">
        <w:rPr>
          <w:lang w:val="en-US"/>
        </w:rPr>
        <w:t>1 and 2 of WTDC Resolution 37 (Rev. Kigali, 2022).</w:t>
      </w:r>
    </w:p>
    <w:p w14:paraId="51D5F207" w14:textId="77777777" w:rsidR="00144868" w:rsidRPr="00144868" w:rsidRDefault="00144868" w:rsidP="00AB2D04">
      <w:pPr>
        <w:rPr>
          <w:lang w:val="en-US"/>
        </w:rPr>
      </w:pPr>
    </w:p>
    <w:p w14:paraId="1993058F" w14:textId="77777777" w:rsidR="001A16ED" w:rsidRDefault="001A16ED" w:rsidP="00AB2D04">
      <w:r>
        <w:br w:type="page"/>
      </w:r>
    </w:p>
    <w:p w14:paraId="3848EBAF" w14:textId="77777777" w:rsidR="0008540E" w:rsidRPr="0008540E" w:rsidRDefault="0008540E" w:rsidP="00846DBA"/>
    <w:p w14:paraId="60865CE8" w14:textId="77777777" w:rsidR="00293736" w:rsidRDefault="00B05E5B">
      <w:pPr>
        <w:pStyle w:val="Proposal"/>
      </w:pPr>
      <w:r>
        <w:t>ADD</w:t>
      </w:r>
      <w:r>
        <w:tab/>
        <w:t>B/PRG/86/1</w:t>
      </w:r>
    </w:p>
    <w:p w14:paraId="1DA7234C" w14:textId="77777777" w:rsidR="00293736" w:rsidRDefault="00B05E5B">
      <w:pPr>
        <w:pStyle w:val="ResNo"/>
      </w:pPr>
      <w:r>
        <w:t>Draft New Resolution [B/PRG-1]</w:t>
      </w:r>
    </w:p>
    <w:p w14:paraId="3001ED7B" w14:textId="7F892601" w:rsidR="00293736" w:rsidRDefault="00D06641">
      <w:pPr>
        <w:pStyle w:val="Restitle"/>
      </w:pPr>
      <w:r>
        <w:rPr>
          <w:lang w:val="en-US"/>
        </w:rPr>
        <w:t>Development of disaggregated, open, and interoperable networks</w:t>
      </w:r>
    </w:p>
    <w:p w14:paraId="07BA07F5" w14:textId="77777777" w:rsidR="00C92F9B" w:rsidRPr="00C92F9B" w:rsidRDefault="00C92F9B" w:rsidP="00C92F9B">
      <w:pPr>
        <w:pStyle w:val="Normalaftertitle"/>
      </w:pPr>
      <w:r w:rsidRPr="00C92F9B">
        <w:t>The Plenipotentiary Conference of the International Telecommunication Union (Bucharest, 2022),</w:t>
      </w:r>
    </w:p>
    <w:p w14:paraId="06CFF209" w14:textId="77777777" w:rsidR="00C92F9B" w:rsidRPr="00C92F9B" w:rsidRDefault="00C92F9B" w:rsidP="00D948E0">
      <w:pPr>
        <w:pStyle w:val="Call"/>
      </w:pPr>
      <w:r w:rsidRPr="00C92F9B">
        <w:t>recalling</w:t>
      </w:r>
    </w:p>
    <w:p w14:paraId="7285074D" w14:textId="77777777" w:rsidR="00C92F9B" w:rsidRPr="00C92F9B" w:rsidRDefault="00C92F9B" w:rsidP="00D948E0">
      <w:r w:rsidRPr="00C92F9B">
        <w:rPr>
          <w:i/>
        </w:rPr>
        <w:t>a)</w:t>
      </w:r>
      <w:r w:rsidRPr="00C92F9B">
        <w:tab/>
        <w:t xml:space="preserve">Resolution 130 (Rev. Bucharest, 2022) of this conference, on strengthening the role of ITU in building confidence and security in the use of </w:t>
      </w:r>
      <w:proofErr w:type="gramStart"/>
      <w:r w:rsidRPr="00C92F9B">
        <w:t>ICTs;</w:t>
      </w:r>
      <w:proofErr w:type="gramEnd"/>
    </w:p>
    <w:p w14:paraId="7476127A" w14:textId="77777777" w:rsidR="00C92F9B" w:rsidRPr="00C92F9B" w:rsidRDefault="00C92F9B" w:rsidP="00D948E0">
      <w:r w:rsidRPr="00C92F9B">
        <w:rPr>
          <w:i/>
          <w:iCs/>
        </w:rPr>
        <w:t>b)</w:t>
      </w:r>
      <w:r w:rsidRPr="00C92F9B">
        <w:tab/>
        <w:t xml:space="preserve">Resolution 139 (Rev. Bucharest, 2022) of this conference, on use of telecommunications/ICTs to bridge the digital divide and build an inclusive information </w:t>
      </w:r>
      <w:proofErr w:type="gramStart"/>
      <w:r w:rsidRPr="00C92F9B">
        <w:t>society;</w:t>
      </w:r>
      <w:proofErr w:type="gramEnd"/>
    </w:p>
    <w:p w14:paraId="70AFB5BF" w14:textId="77777777" w:rsidR="00C92F9B" w:rsidRPr="00C92F9B" w:rsidRDefault="00C92F9B" w:rsidP="00D948E0">
      <w:r w:rsidRPr="00C92F9B">
        <w:rPr>
          <w:i/>
          <w:iCs/>
        </w:rPr>
        <w:t>c)</w:t>
      </w:r>
      <w:r w:rsidRPr="00C92F9B">
        <w:tab/>
        <w:t xml:space="preserve">Resolution 203 (Rev. Bucharest, 2022) of this conference, on the Connectivity to broadband </w:t>
      </w:r>
      <w:proofErr w:type="gramStart"/>
      <w:r w:rsidRPr="00C92F9B">
        <w:t>networks;</w:t>
      </w:r>
      <w:proofErr w:type="gramEnd"/>
    </w:p>
    <w:p w14:paraId="1FDC6217" w14:textId="77777777" w:rsidR="00C92F9B" w:rsidRPr="00C92F9B" w:rsidRDefault="00C92F9B" w:rsidP="00D948E0">
      <w:r w:rsidRPr="00C92F9B">
        <w:rPr>
          <w:i/>
          <w:iCs/>
        </w:rPr>
        <w:t>d)</w:t>
      </w:r>
      <w:r w:rsidRPr="00C92F9B">
        <w:tab/>
        <w:t xml:space="preserve">Resolution 90 (Rev. Geneva, 2022) of the World Telecommunication Standardization Assembly (WTSA), on Open source in the ITU Telecommunication Standardization Sector resolved to support the use of open-source projects in their work, as </w:t>
      </w:r>
      <w:proofErr w:type="gramStart"/>
      <w:r w:rsidRPr="00C92F9B">
        <w:t>appropriate;</w:t>
      </w:r>
      <w:proofErr w:type="gramEnd"/>
    </w:p>
    <w:p w14:paraId="64ABD004" w14:textId="77777777" w:rsidR="00C92F9B" w:rsidRPr="00C92F9B" w:rsidRDefault="00C92F9B" w:rsidP="00D948E0">
      <w:r w:rsidRPr="00C92F9B">
        <w:rPr>
          <w:i/>
          <w:iCs/>
        </w:rPr>
        <w:t>e)</w:t>
      </w:r>
      <w:r w:rsidRPr="00C92F9B">
        <w:tab/>
        <w:t xml:space="preserve">Resolution 92 (Rev. Geneva, 2022) of the World Telecommunication Standardization Assembly (WTSA), on enhancing the standardization activities of the ITU Telecommunication Standardization Sector (ITU-T) related to non-radio aspects of international mobile </w:t>
      </w:r>
      <w:proofErr w:type="gramStart"/>
      <w:r w:rsidRPr="00C92F9B">
        <w:t>telecommunications;</w:t>
      </w:r>
      <w:proofErr w:type="gramEnd"/>
    </w:p>
    <w:p w14:paraId="2E58041E" w14:textId="77777777" w:rsidR="00C92F9B" w:rsidRPr="00C92F9B" w:rsidRDefault="00C92F9B" w:rsidP="00D948E0">
      <w:r w:rsidRPr="00C92F9B">
        <w:rPr>
          <w:i/>
          <w:iCs/>
        </w:rPr>
        <w:t>f)</w:t>
      </w:r>
      <w:r w:rsidRPr="00C92F9B">
        <w:tab/>
        <w:t>Resolution 37 (Rev. Kigali, 2022) of the World Telecommunication Development Conference (WTDC), on bridging the digital divide,</w:t>
      </w:r>
    </w:p>
    <w:p w14:paraId="01A2C480" w14:textId="77777777" w:rsidR="00C92F9B" w:rsidRPr="00C92F9B" w:rsidRDefault="00C92F9B" w:rsidP="00D948E0">
      <w:pPr>
        <w:pStyle w:val="Call"/>
      </w:pPr>
      <w:r w:rsidRPr="00C92F9B">
        <w:t>considering</w:t>
      </w:r>
    </w:p>
    <w:p w14:paraId="5C590E8E" w14:textId="77777777" w:rsidR="00C92F9B" w:rsidRPr="00C92F9B" w:rsidRDefault="00C92F9B" w:rsidP="00D948E0">
      <w:r w:rsidRPr="00C92F9B">
        <w:rPr>
          <w:i/>
        </w:rPr>
        <w:t>a)</w:t>
      </w:r>
      <w:r w:rsidRPr="00C92F9B">
        <w:tab/>
        <w:t xml:space="preserve">that there are growing trends to develop disaggregated, open, and interoperable networks, including wireless technologies, with decoupling the hardware from the software including virtualization and containerization of the network </w:t>
      </w:r>
      <w:proofErr w:type="gramStart"/>
      <w:r w:rsidRPr="00C92F9B">
        <w:t>functions;</w:t>
      </w:r>
      <w:proofErr w:type="gramEnd"/>
    </w:p>
    <w:p w14:paraId="5F90564C" w14:textId="77777777" w:rsidR="00C92F9B" w:rsidRPr="00C92F9B" w:rsidRDefault="00C92F9B" w:rsidP="00D948E0">
      <w:r w:rsidRPr="00C92F9B">
        <w:rPr>
          <w:i/>
          <w:iCs/>
        </w:rPr>
        <w:t>b)</w:t>
      </w:r>
      <w:r w:rsidRPr="00C92F9B">
        <w:tab/>
        <w:t xml:space="preserve">that mobile networks provide telecommunication services on a global scale, and continue to contribute to global economic and social </w:t>
      </w:r>
      <w:proofErr w:type="gramStart"/>
      <w:r w:rsidRPr="00C92F9B">
        <w:t>development;</w:t>
      </w:r>
      <w:proofErr w:type="gramEnd"/>
    </w:p>
    <w:p w14:paraId="3F4B7874" w14:textId="77777777" w:rsidR="00C92F9B" w:rsidRPr="00C92F9B" w:rsidRDefault="00C92F9B" w:rsidP="00D948E0">
      <w:r w:rsidRPr="00C92F9B">
        <w:rPr>
          <w:i/>
          <w:iCs/>
        </w:rPr>
        <w:t>c)</w:t>
      </w:r>
      <w:r w:rsidRPr="00C92F9B">
        <w:tab/>
        <w:t xml:space="preserve">the importance of ubiquitous connectivity to support the achievement of, among other objectives, the 17 SDGs adopted in Resolution 70/1 of the United Nations General Assembly, particularly in key sectors such as health, agriculture, finance and </w:t>
      </w:r>
      <w:proofErr w:type="gramStart"/>
      <w:r w:rsidRPr="00C92F9B">
        <w:t>education;</w:t>
      </w:r>
      <w:proofErr w:type="gramEnd"/>
    </w:p>
    <w:p w14:paraId="4D58C19F" w14:textId="77777777" w:rsidR="00C92F9B" w:rsidRPr="00C92F9B" w:rsidRDefault="00C92F9B" w:rsidP="00D948E0">
      <w:r w:rsidRPr="00C92F9B">
        <w:rPr>
          <w:i/>
          <w:iCs/>
        </w:rPr>
        <w:t>d)</w:t>
      </w:r>
      <w:r w:rsidRPr="00C92F9B">
        <w:tab/>
        <w:t>the need for assistance to developing countries to provide high-speed and high-quality broadband in an affordable manner, to ensure widespread usage by all people and sectors,</w:t>
      </w:r>
    </w:p>
    <w:p w14:paraId="6108D58A" w14:textId="77777777" w:rsidR="00C92F9B" w:rsidRPr="00C92F9B" w:rsidRDefault="00C92F9B" w:rsidP="00D948E0">
      <w:pPr>
        <w:pStyle w:val="Call"/>
      </w:pPr>
      <w:r w:rsidRPr="00C92F9B">
        <w:t>recognizing</w:t>
      </w:r>
    </w:p>
    <w:p w14:paraId="2AF4F4BD" w14:textId="77777777" w:rsidR="00C92F9B" w:rsidRPr="00C92F9B" w:rsidRDefault="00C92F9B" w:rsidP="00D948E0">
      <w:r w:rsidRPr="00C92F9B">
        <w:rPr>
          <w:i/>
          <w:iCs/>
        </w:rPr>
        <w:t>a)</w:t>
      </w:r>
      <w:r w:rsidRPr="00C92F9B">
        <w:tab/>
        <w:t xml:space="preserve">that standardization of new disruptive technologies is important for developing harmonized solutions for the benefits of ICT stakeholders and </w:t>
      </w:r>
      <w:proofErr w:type="gramStart"/>
      <w:r w:rsidRPr="00C92F9B">
        <w:t>users;</w:t>
      </w:r>
      <w:proofErr w:type="gramEnd"/>
    </w:p>
    <w:p w14:paraId="125DB5D4" w14:textId="77777777" w:rsidR="00C92F9B" w:rsidRPr="00C92F9B" w:rsidRDefault="00C92F9B" w:rsidP="00D948E0">
      <w:r w:rsidRPr="00C92F9B">
        <w:rPr>
          <w:i/>
          <w:iCs/>
        </w:rPr>
        <w:lastRenderedPageBreak/>
        <w:t>b)</w:t>
      </w:r>
      <w:r w:rsidRPr="00C92F9B">
        <w:tab/>
        <w:t xml:space="preserve">that disaggregated, open, and interoperable network solutions are being used for the development of IMT and other systems to facilitate and accelerate deployment of new connectivity systems, in a cost-effective </w:t>
      </w:r>
      <w:proofErr w:type="gramStart"/>
      <w:r w:rsidRPr="00C92F9B">
        <w:t>manner;</w:t>
      </w:r>
      <w:proofErr w:type="gramEnd"/>
    </w:p>
    <w:p w14:paraId="30153E37" w14:textId="2A2EAA8F" w:rsidR="00C92F9B" w:rsidRPr="00C92F9B" w:rsidRDefault="00C92F9B" w:rsidP="00D948E0">
      <w:r w:rsidRPr="00C92F9B">
        <w:rPr>
          <w:i/>
          <w:iCs/>
        </w:rPr>
        <w:t>c)</w:t>
      </w:r>
      <w:r w:rsidRPr="00C92F9B">
        <w:tab/>
        <w:t xml:space="preserve">that collaboration amongst concerned study and task groups, SDOs, fora, and alliances disaggregated, open, and interoperable network technologies and solutions globally </w:t>
      </w:r>
      <w:proofErr w:type="gramStart"/>
      <w:r w:rsidRPr="00C92F9B">
        <w:t>available;</w:t>
      </w:r>
      <w:proofErr w:type="gramEnd"/>
    </w:p>
    <w:p w14:paraId="3A00804C" w14:textId="77777777" w:rsidR="00C92F9B" w:rsidRPr="00C92F9B" w:rsidRDefault="00C92F9B" w:rsidP="00D948E0">
      <w:r w:rsidRPr="00C92F9B">
        <w:rPr>
          <w:i/>
          <w:iCs/>
        </w:rPr>
        <w:t>d)</w:t>
      </w:r>
      <w:r w:rsidRPr="00C92F9B">
        <w:tab/>
        <w:t xml:space="preserve">that promoting the adoption of disaggregated, open, and interoperable network technologies and solutions requires accelerating the activities related to the development and deployment of these technologies to be cost-effective and </w:t>
      </w:r>
      <w:proofErr w:type="gramStart"/>
      <w:r w:rsidRPr="00C92F9B">
        <w:t>feasible;</w:t>
      </w:r>
      <w:proofErr w:type="gramEnd"/>
    </w:p>
    <w:p w14:paraId="4046C5EA" w14:textId="77777777" w:rsidR="00C92F9B" w:rsidRPr="00C92F9B" w:rsidRDefault="00C92F9B" w:rsidP="00D948E0">
      <w:r w:rsidRPr="00C92F9B">
        <w:rPr>
          <w:i/>
          <w:iCs/>
        </w:rPr>
        <w:t>e)</w:t>
      </w:r>
      <w:r w:rsidRPr="00C92F9B">
        <w:tab/>
        <w:t>that the adoption of disaggregated, open, and interoperable network may positively impact the cost and capabilities of the telecommunication services provided to the consumers,</w:t>
      </w:r>
    </w:p>
    <w:p w14:paraId="762387D5" w14:textId="77777777" w:rsidR="00C92F9B" w:rsidRPr="00C92F9B" w:rsidRDefault="00C92F9B" w:rsidP="00D948E0">
      <w:pPr>
        <w:pStyle w:val="Call"/>
      </w:pPr>
      <w:r w:rsidRPr="00C92F9B">
        <w:t>noting</w:t>
      </w:r>
    </w:p>
    <w:p w14:paraId="4C1EF0D0" w14:textId="77777777" w:rsidR="00C92F9B" w:rsidRPr="00C92F9B" w:rsidRDefault="00C92F9B" w:rsidP="00D948E0">
      <w:r w:rsidRPr="00C92F9B">
        <w:t>the growing initiatives of the national, regional, and international standardization efforts and activities for development of technologies and solutions related to the disaggregated, open, and interoperable networks,</w:t>
      </w:r>
    </w:p>
    <w:p w14:paraId="5A092DE8" w14:textId="77777777" w:rsidR="00C92F9B" w:rsidRPr="00C92F9B" w:rsidRDefault="00C92F9B" w:rsidP="003F3D65">
      <w:pPr>
        <w:pStyle w:val="Call"/>
      </w:pPr>
      <w:r w:rsidRPr="00C92F9B">
        <w:t>resolves</w:t>
      </w:r>
    </w:p>
    <w:p w14:paraId="2D330F06" w14:textId="77777777" w:rsidR="00C92F9B" w:rsidRPr="00C92F9B" w:rsidRDefault="00C92F9B" w:rsidP="00D948E0">
      <w:r w:rsidRPr="00C92F9B">
        <w:t>1</w:t>
      </w:r>
      <w:r w:rsidRPr="00C92F9B">
        <w:tab/>
        <w:t xml:space="preserve">to strengthen and accelerate activities related to the standardization development and deployment of secure disaggregated, open, and interoperable network technologies and solutions, including wireless </w:t>
      </w:r>
      <w:proofErr w:type="gramStart"/>
      <w:r w:rsidRPr="00C92F9B">
        <w:t>technology;</w:t>
      </w:r>
      <w:proofErr w:type="gramEnd"/>
    </w:p>
    <w:p w14:paraId="1AD428AE" w14:textId="77777777" w:rsidR="00C92F9B" w:rsidRPr="00C92F9B" w:rsidRDefault="00C92F9B" w:rsidP="00D948E0">
      <w:r w:rsidRPr="00C92F9B">
        <w:t>2</w:t>
      </w:r>
      <w:r w:rsidRPr="00C92F9B">
        <w:tab/>
        <w:t xml:space="preserve">to ensure collaboration among relevant ITU study groups with relevant SDOs and forums and consortia for secure disaggregated, open, and interoperable network technologies and solutions, including IMT </w:t>
      </w:r>
      <w:proofErr w:type="gramStart"/>
      <w:r w:rsidRPr="00C92F9B">
        <w:t>systems;</w:t>
      </w:r>
      <w:proofErr w:type="gramEnd"/>
    </w:p>
    <w:p w14:paraId="58296A56" w14:textId="77777777" w:rsidR="00C92F9B" w:rsidRPr="00C92F9B" w:rsidRDefault="00C92F9B" w:rsidP="00D948E0">
      <w:r w:rsidRPr="00C92F9B">
        <w:t>3</w:t>
      </w:r>
      <w:r w:rsidRPr="00C92F9B">
        <w:tab/>
        <w:t xml:space="preserve">that studies related to the economic impact of secure disaggregated, </w:t>
      </w:r>
      <w:proofErr w:type="gramStart"/>
      <w:r w:rsidRPr="00C92F9B">
        <w:t>open</w:t>
      </w:r>
      <w:proofErr w:type="gramEnd"/>
      <w:r w:rsidRPr="00C92F9B">
        <w:t xml:space="preserve"> and interoperable network technologies and solutions for the deployment of connectivity should be encouraged,</w:t>
      </w:r>
    </w:p>
    <w:p w14:paraId="47E137E3" w14:textId="77777777" w:rsidR="00C92F9B" w:rsidRPr="00C92F9B" w:rsidRDefault="00C92F9B" w:rsidP="003F3D65">
      <w:pPr>
        <w:pStyle w:val="Call"/>
      </w:pPr>
      <w:r w:rsidRPr="00C92F9B">
        <w:t xml:space="preserve">instruct the Directors of the three Bureaux, in line with the mandates of their respective Sectors </w:t>
      </w:r>
    </w:p>
    <w:p w14:paraId="2629E6B8" w14:textId="77777777" w:rsidR="00C92F9B" w:rsidRPr="00C92F9B" w:rsidRDefault="00C92F9B" w:rsidP="00D948E0">
      <w:r w:rsidRPr="00C92F9B">
        <w:t xml:space="preserve">to increase their efforts and support activities related to the development and deployment of secure disaggregated, </w:t>
      </w:r>
      <w:proofErr w:type="gramStart"/>
      <w:r w:rsidRPr="00C92F9B">
        <w:t>open</w:t>
      </w:r>
      <w:proofErr w:type="gramEnd"/>
      <w:r w:rsidRPr="00C92F9B">
        <w:t xml:space="preserve"> and interoperable network technologies and solutions,</w:t>
      </w:r>
    </w:p>
    <w:p w14:paraId="3084DFDC" w14:textId="77777777" w:rsidR="00C92F9B" w:rsidRPr="00C92F9B" w:rsidRDefault="00C92F9B" w:rsidP="003F3D65">
      <w:pPr>
        <w:pStyle w:val="Call"/>
      </w:pPr>
      <w:r w:rsidRPr="00C92F9B">
        <w:t>instructs the Director of the Telecommunication Standardization Bureau</w:t>
      </w:r>
    </w:p>
    <w:p w14:paraId="748CCB8B" w14:textId="77777777" w:rsidR="00C92F9B" w:rsidRPr="00C92F9B" w:rsidRDefault="00C92F9B" w:rsidP="00D948E0">
      <w:r w:rsidRPr="00C92F9B">
        <w:t>1</w:t>
      </w:r>
      <w:r w:rsidRPr="00C92F9B">
        <w:tab/>
        <w:t xml:space="preserve">to collaborate with other Standards Development Organizations (SDOs) on the development of secure disaggregated, open, and interoperable networks </w:t>
      </w:r>
      <w:proofErr w:type="gramStart"/>
      <w:r w:rsidRPr="00C92F9B">
        <w:t>standards;</w:t>
      </w:r>
      <w:proofErr w:type="gramEnd"/>
    </w:p>
    <w:p w14:paraId="58697E6B" w14:textId="77777777" w:rsidR="00C92F9B" w:rsidRPr="00C92F9B" w:rsidRDefault="00C92F9B" w:rsidP="00D948E0">
      <w:r w:rsidRPr="00C92F9B">
        <w:t>2</w:t>
      </w:r>
      <w:r w:rsidRPr="00C92F9B">
        <w:tab/>
        <w:t>to support the development of recommendations, supplements, and technical reports for specifications for secure disaggregated, open, and interoperable network technologies and solutions, including non-radio aspects of IMT systems,</w:t>
      </w:r>
    </w:p>
    <w:p w14:paraId="6223B080" w14:textId="77777777" w:rsidR="00C92F9B" w:rsidRPr="00C92F9B" w:rsidRDefault="00C92F9B" w:rsidP="003F3D65">
      <w:pPr>
        <w:pStyle w:val="Call"/>
      </w:pPr>
      <w:r w:rsidRPr="00C92F9B">
        <w:t xml:space="preserve">instructs the Director of the Telecommunication Development Bureau, in coordination with the Director of the Radiocommunication Bureau and the Director of the Telecommunication Standardization Bureau </w:t>
      </w:r>
    </w:p>
    <w:p w14:paraId="0E371258" w14:textId="77777777" w:rsidR="00C92F9B" w:rsidRPr="00C92F9B" w:rsidRDefault="00C92F9B" w:rsidP="00C92F9B">
      <w:pPr>
        <w:pStyle w:val="Normalaftertitle"/>
      </w:pPr>
      <w:r w:rsidRPr="00C92F9B">
        <w:t>1</w:t>
      </w:r>
      <w:r w:rsidRPr="00C92F9B">
        <w:tab/>
        <w:t xml:space="preserve">to support Member States, in particular developing countries, in increasing awareness and understanding about secure disaggregated, open and interoperable network technologies, such as Open Radio Access Networks (Open RAN) and others, by organizing workshops and other capacity building </w:t>
      </w:r>
      <w:proofErr w:type="gramStart"/>
      <w:r w:rsidRPr="00C92F9B">
        <w:t>activities;</w:t>
      </w:r>
      <w:proofErr w:type="gramEnd"/>
    </w:p>
    <w:p w14:paraId="71C76666" w14:textId="77777777" w:rsidR="00C92F9B" w:rsidRPr="00C92F9B" w:rsidRDefault="00C92F9B" w:rsidP="00C92F9B">
      <w:pPr>
        <w:pStyle w:val="Normalaftertitle"/>
      </w:pPr>
      <w:r w:rsidRPr="00C92F9B">
        <w:lastRenderedPageBreak/>
        <w:t>2</w:t>
      </w:r>
      <w:r w:rsidRPr="00C92F9B">
        <w:tab/>
        <w:t xml:space="preserve">to work in collaboration with Member States, Sector Members, and other stakeholders to facilitate information sharing about the development and implementation of disaggregated, </w:t>
      </w:r>
      <w:proofErr w:type="gramStart"/>
      <w:r w:rsidRPr="00C92F9B">
        <w:t>open</w:t>
      </w:r>
      <w:proofErr w:type="gramEnd"/>
      <w:r w:rsidRPr="00C92F9B">
        <w:t xml:space="preserve"> and interoperable networks with the objective of promoting reliable broadband access at affordable cost, particularly in unserved and underserved areas and communities,</w:t>
      </w:r>
    </w:p>
    <w:p w14:paraId="09B04C3F" w14:textId="77777777" w:rsidR="00C92F9B" w:rsidRPr="00C92F9B" w:rsidRDefault="00C92F9B" w:rsidP="003F3D65">
      <w:pPr>
        <w:pStyle w:val="Call"/>
      </w:pPr>
      <w:r w:rsidRPr="00C92F9B">
        <w:t xml:space="preserve">invites all Member States and Sector Members </w:t>
      </w:r>
    </w:p>
    <w:p w14:paraId="4B69C3A9" w14:textId="77777777" w:rsidR="00C92F9B" w:rsidRPr="00C92F9B" w:rsidRDefault="00C92F9B" w:rsidP="009B5A16">
      <w:r w:rsidRPr="00C92F9B">
        <w:t>1</w:t>
      </w:r>
      <w:r w:rsidRPr="00C92F9B">
        <w:tab/>
        <w:t xml:space="preserve">to undertake concrete actions, to support ITU's actions and to develop their own initiatives in order to implement this </w:t>
      </w:r>
      <w:proofErr w:type="gramStart"/>
      <w:r w:rsidRPr="00C92F9B">
        <w:t>resolution;</w:t>
      </w:r>
      <w:proofErr w:type="gramEnd"/>
    </w:p>
    <w:p w14:paraId="55005D7A" w14:textId="3383FBC5" w:rsidR="00293736" w:rsidRDefault="00C92F9B" w:rsidP="009B5A16">
      <w:r w:rsidRPr="00C92F9B">
        <w:t>2</w:t>
      </w:r>
      <w:r w:rsidRPr="00C92F9B">
        <w:tab/>
        <w:t xml:space="preserve">to foster an enabling environment for the greater growth and development of technology-neutral broadband connectivity, </w:t>
      </w:r>
      <w:proofErr w:type="gramStart"/>
      <w:r w:rsidRPr="00C92F9B">
        <w:t>in particular in</w:t>
      </w:r>
      <w:proofErr w:type="gramEnd"/>
      <w:r w:rsidRPr="00C92F9B">
        <w:t xml:space="preserve"> developing countries.</w:t>
      </w:r>
    </w:p>
    <w:p w14:paraId="0A0EEA57" w14:textId="6FCC7A2F" w:rsidR="00293736" w:rsidRDefault="00293736">
      <w:pPr>
        <w:pStyle w:val="Reasons"/>
      </w:pPr>
    </w:p>
    <w:p w14:paraId="4216F6F9" w14:textId="77777777" w:rsidR="00C92F9B" w:rsidRDefault="00C92F9B">
      <w:pPr>
        <w:jc w:val="center"/>
      </w:pPr>
      <w:r>
        <w:t>______________</w:t>
      </w:r>
    </w:p>
    <w:sectPr w:rsidR="00C92F9B" w:rsidSect="00361097">
      <w:headerReference w:type="default" r:id="rId12"/>
      <w:footerReference w:type="first" r:id="rId13"/>
      <w:type w:val="continuous"/>
      <w:pgSz w:w="11913" w:h="16834"/>
      <w:pgMar w:top="1418" w:right="1134" w:bottom="1418" w:left="1134" w:header="720" w:footer="720" w:gutter="0"/>
      <w:paperSrc w:first="15" w:other="15"/>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AAA05" w14:textId="77777777" w:rsidR="004A1EA0" w:rsidRDefault="004A1EA0">
      <w:r>
        <w:separator/>
      </w:r>
    </w:p>
  </w:endnote>
  <w:endnote w:type="continuationSeparator" w:id="0">
    <w:p w14:paraId="7E1B3E62" w14:textId="77777777" w:rsidR="004A1EA0" w:rsidRDefault="004A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65CC7" w14:textId="77777777" w:rsidR="00754C0B" w:rsidRDefault="00AB2D04" w:rsidP="00AB2D04">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2F0239C7" w14:textId="77777777" w:rsidR="00A516BB" w:rsidRPr="00A516BB" w:rsidRDefault="00A516BB" w:rsidP="00AB2D04">
    <w:pPr>
      <w:pStyle w:val="firstfooter0"/>
      <w:spacing w:before="0" w:beforeAutospacing="0" w:after="0" w:afterAutospacing="0"/>
      <w:jc w:val="center"/>
      <w:rPr>
        <w:rFonts w:asciiTheme="minorHAnsi" w:hAnsiTheme="minorHAnsi"/>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EC994" w14:textId="77777777" w:rsidR="004A1EA0" w:rsidRDefault="004A1EA0">
      <w:r>
        <w:t>____________________</w:t>
      </w:r>
    </w:p>
  </w:footnote>
  <w:footnote w:type="continuationSeparator" w:id="0">
    <w:p w14:paraId="5130407F" w14:textId="77777777" w:rsidR="004A1EA0" w:rsidRDefault="004A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D862" w14:textId="77777777" w:rsidR="000507C1" w:rsidRDefault="000507C1" w:rsidP="00CE1B90">
    <w:pPr>
      <w:pStyle w:val="Header"/>
    </w:pPr>
    <w:r>
      <w:fldChar w:fldCharType="begin"/>
    </w:r>
    <w:r>
      <w:instrText xml:space="preserve"> PAGE   \* MERGEFORMAT </w:instrText>
    </w:r>
    <w:r>
      <w:fldChar w:fldCharType="separate"/>
    </w:r>
    <w:r w:rsidR="006F794B">
      <w:rPr>
        <w:noProof/>
      </w:rPr>
      <w:t>2</w:t>
    </w:r>
    <w:r>
      <w:fldChar w:fldCharType="end"/>
    </w:r>
  </w:p>
  <w:p w14:paraId="1CEBFB26" w14:textId="77777777" w:rsidR="00CE1B90" w:rsidRDefault="00CE1B90" w:rsidP="004F7925">
    <w:pPr>
      <w:pStyle w:val="Header"/>
    </w:pPr>
    <w:r>
      <w:t>PP</w:t>
    </w:r>
    <w:r w:rsidR="000235EC">
      <w:t>22</w:t>
    </w:r>
    <w:r>
      <w:t>/86-E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7A"/>
    <w:rsid w:val="00000AF8"/>
    <w:rsid w:val="00001935"/>
    <w:rsid w:val="000048E4"/>
    <w:rsid w:val="00010B2A"/>
    <w:rsid w:val="00011208"/>
    <w:rsid w:val="000143FA"/>
    <w:rsid w:val="00014808"/>
    <w:rsid w:val="00015E97"/>
    <w:rsid w:val="000235EC"/>
    <w:rsid w:val="00041924"/>
    <w:rsid w:val="000507C1"/>
    <w:rsid w:val="00053B97"/>
    <w:rsid w:val="00082EB9"/>
    <w:rsid w:val="000842DF"/>
    <w:rsid w:val="0008540E"/>
    <w:rsid w:val="00094B4F"/>
    <w:rsid w:val="000A1015"/>
    <w:rsid w:val="000B03F9"/>
    <w:rsid w:val="000B0A77"/>
    <w:rsid w:val="000B0D6C"/>
    <w:rsid w:val="000B5BB9"/>
    <w:rsid w:val="000B7152"/>
    <w:rsid w:val="000C4701"/>
    <w:rsid w:val="000E4C7A"/>
    <w:rsid w:val="000E5E15"/>
    <w:rsid w:val="000F5A9A"/>
    <w:rsid w:val="000F73D1"/>
    <w:rsid w:val="001001C5"/>
    <w:rsid w:val="00105EFE"/>
    <w:rsid w:val="00106777"/>
    <w:rsid w:val="0011489E"/>
    <w:rsid w:val="00114BA3"/>
    <w:rsid w:val="00115DEC"/>
    <w:rsid w:val="00123F09"/>
    <w:rsid w:val="00136175"/>
    <w:rsid w:val="00140FF0"/>
    <w:rsid w:val="00142F28"/>
    <w:rsid w:val="00144868"/>
    <w:rsid w:val="00146057"/>
    <w:rsid w:val="0016633C"/>
    <w:rsid w:val="00171990"/>
    <w:rsid w:val="00195B70"/>
    <w:rsid w:val="001A0EEB"/>
    <w:rsid w:val="001A16ED"/>
    <w:rsid w:val="001B18AB"/>
    <w:rsid w:val="001B70D1"/>
    <w:rsid w:val="001C3804"/>
    <w:rsid w:val="001D3322"/>
    <w:rsid w:val="001E01A5"/>
    <w:rsid w:val="001E18AB"/>
    <w:rsid w:val="001E1C8F"/>
    <w:rsid w:val="002115E0"/>
    <w:rsid w:val="00215F12"/>
    <w:rsid w:val="00232B31"/>
    <w:rsid w:val="00235A3B"/>
    <w:rsid w:val="00243BE4"/>
    <w:rsid w:val="00257188"/>
    <w:rsid w:val="002578B4"/>
    <w:rsid w:val="00267D12"/>
    <w:rsid w:val="00281792"/>
    <w:rsid w:val="00283DBC"/>
    <w:rsid w:val="00284CDF"/>
    <w:rsid w:val="0028799E"/>
    <w:rsid w:val="00293736"/>
    <w:rsid w:val="002962A8"/>
    <w:rsid w:val="002A56C0"/>
    <w:rsid w:val="002E77F4"/>
    <w:rsid w:val="002F36B9"/>
    <w:rsid w:val="002F5FA2"/>
    <w:rsid w:val="003126B0"/>
    <w:rsid w:val="00314127"/>
    <w:rsid w:val="00314C12"/>
    <w:rsid w:val="003261C3"/>
    <w:rsid w:val="003453DA"/>
    <w:rsid w:val="00357754"/>
    <w:rsid w:val="003578E4"/>
    <w:rsid w:val="00361097"/>
    <w:rsid w:val="00373A0D"/>
    <w:rsid w:val="003740BC"/>
    <w:rsid w:val="00375076"/>
    <w:rsid w:val="00375BBA"/>
    <w:rsid w:val="003826EA"/>
    <w:rsid w:val="00395CE4"/>
    <w:rsid w:val="003A32AD"/>
    <w:rsid w:val="003A3938"/>
    <w:rsid w:val="003A4E67"/>
    <w:rsid w:val="003A5FFB"/>
    <w:rsid w:val="003A7FB6"/>
    <w:rsid w:val="003B3751"/>
    <w:rsid w:val="003F0763"/>
    <w:rsid w:val="003F2121"/>
    <w:rsid w:val="003F3D65"/>
    <w:rsid w:val="003F5771"/>
    <w:rsid w:val="004014B0"/>
    <w:rsid w:val="004059B0"/>
    <w:rsid w:val="00426AC1"/>
    <w:rsid w:val="004321DC"/>
    <w:rsid w:val="00435AA4"/>
    <w:rsid w:val="00435EA8"/>
    <w:rsid w:val="004360BB"/>
    <w:rsid w:val="0045533C"/>
    <w:rsid w:val="004606DA"/>
    <w:rsid w:val="00463092"/>
    <w:rsid w:val="004676C0"/>
    <w:rsid w:val="00474E00"/>
    <w:rsid w:val="004835DB"/>
    <w:rsid w:val="00491D2D"/>
    <w:rsid w:val="00494797"/>
    <w:rsid w:val="004A1EA0"/>
    <w:rsid w:val="004B0C10"/>
    <w:rsid w:val="004B167B"/>
    <w:rsid w:val="004C19D7"/>
    <w:rsid w:val="004C297B"/>
    <w:rsid w:val="004C73C9"/>
    <w:rsid w:val="004E01FA"/>
    <w:rsid w:val="004E6764"/>
    <w:rsid w:val="004F041D"/>
    <w:rsid w:val="004F1C55"/>
    <w:rsid w:val="004F7925"/>
    <w:rsid w:val="00504FE5"/>
    <w:rsid w:val="00507348"/>
    <w:rsid w:val="00522C97"/>
    <w:rsid w:val="005356FD"/>
    <w:rsid w:val="00547D75"/>
    <w:rsid w:val="00551C8B"/>
    <w:rsid w:val="00554E24"/>
    <w:rsid w:val="00555A0F"/>
    <w:rsid w:val="00567130"/>
    <w:rsid w:val="0057034B"/>
    <w:rsid w:val="00581E8F"/>
    <w:rsid w:val="00586A98"/>
    <w:rsid w:val="00591C15"/>
    <w:rsid w:val="005927A4"/>
    <w:rsid w:val="00596B48"/>
    <w:rsid w:val="005B10E8"/>
    <w:rsid w:val="005B5026"/>
    <w:rsid w:val="005B661F"/>
    <w:rsid w:val="005C3315"/>
    <w:rsid w:val="005E1CC3"/>
    <w:rsid w:val="005F05C8"/>
    <w:rsid w:val="00604079"/>
    <w:rsid w:val="00617BE4"/>
    <w:rsid w:val="00620233"/>
    <w:rsid w:val="00627DF4"/>
    <w:rsid w:val="006404B0"/>
    <w:rsid w:val="0066499C"/>
    <w:rsid w:val="00676E68"/>
    <w:rsid w:val="006A7108"/>
    <w:rsid w:val="006B2035"/>
    <w:rsid w:val="006B40DA"/>
    <w:rsid w:val="006C5D5D"/>
    <w:rsid w:val="006E215D"/>
    <w:rsid w:val="006E57C8"/>
    <w:rsid w:val="006E70E1"/>
    <w:rsid w:val="006F565E"/>
    <w:rsid w:val="006F794B"/>
    <w:rsid w:val="00701ABB"/>
    <w:rsid w:val="00711035"/>
    <w:rsid w:val="007130ED"/>
    <w:rsid w:val="007140CF"/>
    <w:rsid w:val="0071582A"/>
    <w:rsid w:val="00722595"/>
    <w:rsid w:val="0073319E"/>
    <w:rsid w:val="00733C8A"/>
    <w:rsid w:val="00737F2E"/>
    <w:rsid w:val="00745A37"/>
    <w:rsid w:val="00750829"/>
    <w:rsid w:val="007538C9"/>
    <w:rsid w:val="00753F63"/>
    <w:rsid w:val="007542C4"/>
    <w:rsid w:val="00754C0B"/>
    <w:rsid w:val="00755067"/>
    <w:rsid w:val="007561B6"/>
    <w:rsid w:val="007648ED"/>
    <w:rsid w:val="007649DA"/>
    <w:rsid w:val="00765553"/>
    <w:rsid w:val="007734B7"/>
    <w:rsid w:val="00777B8B"/>
    <w:rsid w:val="00794795"/>
    <w:rsid w:val="007949EA"/>
    <w:rsid w:val="00796849"/>
    <w:rsid w:val="00796DAE"/>
    <w:rsid w:val="007A59C3"/>
    <w:rsid w:val="007B0E06"/>
    <w:rsid w:val="007B30FC"/>
    <w:rsid w:val="007C3643"/>
    <w:rsid w:val="007D50BB"/>
    <w:rsid w:val="007E00D2"/>
    <w:rsid w:val="007E2AD4"/>
    <w:rsid w:val="007E3469"/>
    <w:rsid w:val="007E7B63"/>
    <w:rsid w:val="00810AD6"/>
    <w:rsid w:val="0082780C"/>
    <w:rsid w:val="008333C7"/>
    <w:rsid w:val="00833E0F"/>
    <w:rsid w:val="008404FD"/>
    <w:rsid w:val="00841AB4"/>
    <w:rsid w:val="00846DBA"/>
    <w:rsid w:val="00850AEF"/>
    <w:rsid w:val="00855DAB"/>
    <w:rsid w:val="00860C6A"/>
    <w:rsid w:val="00862891"/>
    <w:rsid w:val="00875048"/>
    <w:rsid w:val="00875BE1"/>
    <w:rsid w:val="00877715"/>
    <w:rsid w:val="00895CE3"/>
    <w:rsid w:val="0089603F"/>
    <w:rsid w:val="00897970"/>
    <w:rsid w:val="008B5A71"/>
    <w:rsid w:val="008D3BE2"/>
    <w:rsid w:val="008D4D98"/>
    <w:rsid w:val="008E2A7B"/>
    <w:rsid w:val="008E6E9B"/>
    <w:rsid w:val="008F2C56"/>
    <w:rsid w:val="008F3C99"/>
    <w:rsid w:val="00900D5B"/>
    <w:rsid w:val="009236FE"/>
    <w:rsid w:val="00940E00"/>
    <w:rsid w:val="00945D4B"/>
    <w:rsid w:val="0094741F"/>
    <w:rsid w:val="00950E0F"/>
    <w:rsid w:val="0096150D"/>
    <w:rsid w:val="009630FA"/>
    <w:rsid w:val="00967103"/>
    <w:rsid w:val="00967670"/>
    <w:rsid w:val="00970996"/>
    <w:rsid w:val="009800CC"/>
    <w:rsid w:val="009A078E"/>
    <w:rsid w:val="009A2B30"/>
    <w:rsid w:val="009A4211"/>
    <w:rsid w:val="009A47A2"/>
    <w:rsid w:val="009B5A16"/>
    <w:rsid w:val="009E425E"/>
    <w:rsid w:val="009E4322"/>
    <w:rsid w:val="009F4384"/>
    <w:rsid w:val="009F442D"/>
    <w:rsid w:val="009F50DA"/>
    <w:rsid w:val="00A06D56"/>
    <w:rsid w:val="00A314A2"/>
    <w:rsid w:val="00A516BB"/>
    <w:rsid w:val="00A619C5"/>
    <w:rsid w:val="00A808E1"/>
    <w:rsid w:val="00A8262F"/>
    <w:rsid w:val="00A84B32"/>
    <w:rsid w:val="00A84B3A"/>
    <w:rsid w:val="00A87124"/>
    <w:rsid w:val="00A93B71"/>
    <w:rsid w:val="00AB0B32"/>
    <w:rsid w:val="00AB2D04"/>
    <w:rsid w:val="00AB5C39"/>
    <w:rsid w:val="00AB75A9"/>
    <w:rsid w:val="00AD1C5C"/>
    <w:rsid w:val="00AD566F"/>
    <w:rsid w:val="00B05E5B"/>
    <w:rsid w:val="00B156F9"/>
    <w:rsid w:val="00B1733E"/>
    <w:rsid w:val="00B25A86"/>
    <w:rsid w:val="00B304B9"/>
    <w:rsid w:val="00B55E1A"/>
    <w:rsid w:val="00B57988"/>
    <w:rsid w:val="00B62032"/>
    <w:rsid w:val="00B65F8C"/>
    <w:rsid w:val="00B7263B"/>
    <w:rsid w:val="00B73F47"/>
    <w:rsid w:val="00B7638A"/>
    <w:rsid w:val="00B80DF9"/>
    <w:rsid w:val="00B840D8"/>
    <w:rsid w:val="00B96467"/>
    <w:rsid w:val="00BA154E"/>
    <w:rsid w:val="00BA37CE"/>
    <w:rsid w:val="00BA4692"/>
    <w:rsid w:val="00BC6FDB"/>
    <w:rsid w:val="00BC7DE8"/>
    <w:rsid w:val="00BE0966"/>
    <w:rsid w:val="00BF43BA"/>
    <w:rsid w:val="00BF5722"/>
    <w:rsid w:val="00BF6268"/>
    <w:rsid w:val="00BF720B"/>
    <w:rsid w:val="00C04511"/>
    <w:rsid w:val="00C112A3"/>
    <w:rsid w:val="00C16846"/>
    <w:rsid w:val="00C34851"/>
    <w:rsid w:val="00C42A5B"/>
    <w:rsid w:val="00C5419D"/>
    <w:rsid w:val="00C56038"/>
    <w:rsid w:val="00C6729F"/>
    <w:rsid w:val="00C72664"/>
    <w:rsid w:val="00C86F24"/>
    <w:rsid w:val="00C92F9B"/>
    <w:rsid w:val="00CA38C9"/>
    <w:rsid w:val="00CB4984"/>
    <w:rsid w:val="00CB5DD7"/>
    <w:rsid w:val="00CB7795"/>
    <w:rsid w:val="00CB77D5"/>
    <w:rsid w:val="00CC14F0"/>
    <w:rsid w:val="00CE1B90"/>
    <w:rsid w:val="00CE3B0F"/>
    <w:rsid w:val="00CE40BB"/>
    <w:rsid w:val="00CF1C71"/>
    <w:rsid w:val="00CF510F"/>
    <w:rsid w:val="00D06641"/>
    <w:rsid w:val="00D07696"/>
    <w:rsid w:val="00D11956"/>
    <w:rsid w:val="00D15A98"/>
    <w:rsid w:val="00D500DC"/>
    <w:rsid w:val="00D54B39"/>
    <w:rsid w:val="00D64FF3"/>
    <w:rsid w:val="00D657A2"/>
    <w:rsid w:val="00D760C8"/>
    <w:rsid w:val="00D83FFD"/>
    <w:rsid w:val="00D8451F"/>
    <w:rsid w:val="00D8617D"/>
    <w:rsid w:val="00D92563"/>
    <w:rsid w:val="00D948E0"/>
    <w:rsid w:val="00DC7C10"/>
    <w:rsid w:val="00DD26B1"/>
    <w:rsid w:val="00DD5177"/>
    <w:rsid w:val="00DE16B8"/>
    <w:rsid w:val="00DE20DF"/>
    <w:rsid w:val="00DE4CC2"/>
    <w:rsid w:val="00DF23FC"/>
    <w:rsid w:val="00DF39CD"/>
    <w:rsid w:val="00DF3BBE"/>
    <w:rsid w:val="00E0094D"/>
    <w:rsid w:val="00E10A17"/>
    <w:rsid w:val="00E13427"/>
    <w:rsid w:val="00E1374D"/>
    <w:rsid w:val="00E20134"/>
    <w:rsid w:val="00E24CB2"/>
    <w:rsid w:val="00E31D1C"/>
    <w:rsid w:val="00E32981"/>
    <w:rsid w:val="00E34312"/>
    <w:rsid w:val="00E3536D"/>
    <w:rsid w:val="00E44456"/>
    <w:rsid w:val="00E553B9"/>
    <w:rsid w:val="00E56E57"/>
    <w:rsid w:val="00E6599B"/>
    <w:rsid w:val="00E726DE"/>
    <w:rsid w:val="00E844D5"/>
    <w:rsid w:val="00E86536"/>
    <w:rsid w:val="00E871C2"/>
    <w:rsid w:val="00EA1BAA"/>
    <w:rsid w:val="00ED401C"/>
    <w:rsid w:val="00EE333B"/>
    <w:rsid w:val="00EF2642"/>
    <w:rsid w:val="00EF3681"/>
    <w:rsid w:val="00F10790"/>
    <w:rsid w:val="00F10E7C"/>
    <w:rsid w:val="00F13C1E"/>
    <w:rsid w:val="00F16F17"/>
    <w:rsid w:val="00F20BC2"/>
    <w:rsid w:val="00F342E4"/>
    <w:rsid w:val="00F35330"/>
    <w:rsid w:val="00F41C91"/>
    <w:rsid w:val="00F433A4"/>
    <w:rsid w:val="00F4421A"/>
    <w:rsid w:val="00F44B1A"/>
    <w:rsid w:val="00F47316"/>
    <w:rsid w:val="00F55DA5"/>
    <w:rsid w:val="00F94BC2"/>
    <w:rsid w:val="00F95ABE"/>
    <w:rsid w:val="00F9756D"/>
    <w:rsid w:val="00FB5F12"/>
    <w:rsid w:val="00FC5117"/>
    <w:rsid w:val="00FD417F"/>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96D23"/>
  <w15:docId w15:val="{7DD42A87-9B8E-4656-8EB8-90642EA3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qFormat/>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paragraph" w:styleId="Revision">
    <w:name w:val="Revision"/>
    <w:hidden/>
    <w:uiPriority w:val="99"/>
    <w:semiHidden/>
    <w:rsid w:val="007734B7"/>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PM_x0020_Author xmlns="d523d8b4-15d9-487b-a77a-d7a7f82925c6">DPM</DPM_x0020_Author>
    <DPM_x0020_File_x0020_name xmlns="d523d8b4-15d9-487b-a77a-d7a7f82925c6">S22-PP-C-0086!!MSW-E</DPM_x0020_File_x0020_name>
    <DPM_x0020_Version xmlns="d523d8b4-15d9-487b-a77a-d7a7f82925c6">DPM_2022.05.12.01</DPM_x0020_Version>
    <lcf76f155ced4ddcb4097134ff3c332f xmlns="d523d8b4-15d9-487b-a77a-d7a7f82925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9984AA076DB84F9F755CCCF73A4990" ma:contentTypeVersion="15" ma:contentTypeDescription="Create a new document." ma:contentTypeScope="" ma:versionID="266d9de7909db0ef6138ca777b180ded">
  <xsd:schema xmlns:xsd="http://www.w3.org/2001/XMLSchema" xmlns:xs="http://www.w3.org/2001/XMLSchema" xmlns:p="http://schemas.microsoft.com/office/2006/metadata/properties" xmlns:ns2="d523d8b4-15d9-487b-a77a-d7a7f82925c6" xmlns:ns3="341ef080-d7f6-42a0-8428-894c998dd238" targetNamespace="http://schemas.microsoft.com/office/2006/metadata/properties" ma:root="true" ma:fieldsID="ab2a35f972c00487802b179f083761d2" ns2:_="" ns3:_="">
    <xsd:import namespace="d523d8b4-15d9-487b-a77a-d7a7f82925c6"/>
    <xsd:import namespace="341ef080-d7f6-42a0-8428-894c998dd2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3d8b4-15d9-487b-a77a-d7a7f8292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PM_x0020_Author" ma:index="20" nillable="true" ma:displayName="DPM Author" ma:internalName="DPM_x0020_Author">
      <xsd:simpleType>
        <xsd:restriction base="dms:Text">
          <xsd:maxLength value="255"/>
        </xsd:restriction>
      </xsd:simpleType>
    </xsd:element>
    <xsd:element name="DPM_x0020_File_x0020_name" ma:index="21" nillable="true" ma:displayName="DPM File name" ma:internalName="DPM_x0020_File_x0020_name">
      <xsd:simpleType>
        <xsd:restriction base="dms:Text">
          <xsd:maxLength value="255"/>
        </xsd:restriction>
      </xsd:simpleType>
    </xsd:element>
    <xsd:element name="DPM_x0020_Version" ma:index="22"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ef080-d7f6-42a0-8428-894c998dd2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F24CF1-82C2-48F9-A54A-E8C025E53CB0}">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6cf89841-44fb-433d-8cf0-bb604ef9539f"/>
    <ds:schemaRef ds:uri="d523d8b4-15d9-487b-a77a-d7a7f82925c6"/>
  </ds:schemaRefs>
</ds:datastoreItem>
</file>

<file path=customXml/itemProps3.xml><?xml version="1.0" encoding="utf-8"?>
<ds:datastoreItem xmlns:ds="http://schemas.openxmlformats.org/officeDocument/2006/customXml" ds:itemID="{ABC24C00-DD36-493A-A7D0-E59152A93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3d8b4-15d9-487b-a77a-d7a7f82925c6"/>
    <ds:schemaRef ds:uri="341ef080-d7f6-42a0-8428-894c998dd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9AC6C-AFB9-4D7F-A7C4-CB01A2F7D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7094</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S22-PP-C-0086!!MSW-E</dc:title>
  <dc:subject>Plenipotentiary Conference (PP-18)</dc:subject>
  <dc:creator>Documents Proposals Manager (DPM)</dc:creator>
  <cp:keywords>DPM_v2022.8.31.2_prod</cp:keywords>
  <cp:lastModifiedBy>Comas Barnes, Maite</cp:lastModifiedBy>
  <cp:revision>3</cp:revision>
  <dcterms:created xsi:type="dcterms:W3CDTF">2022-09-06T15:44:00Z</dcterms:created>
  <dcterms:modified xsi:type="dcterms:W3CDTF">2022-09-06T15:44:00Z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0x010100A69984AA076DB84F9F755CCCF73A4990</vt:lpwstr>
  </property>
  <property fmtid="{D5CDD505-2E9C-101B-9397-08002B2CF9AE}" pid="3" name="MediaServiceImageTags">
    <vt:lpwstr/>
  </property>
</Properties>
</file>