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7E6958" w14:paraId="34FE1E19" w14:textId="77777777" w:rsidTr="00682B62">
        <w:trPr>
          <w:cantSplit/>
        </w:trPr>
        <w:tc>
          <w:tcPr>
            <w:tcW w:w="6911" w:type="dxa"/>
          </w:tcPr>
          <w:p w14:paraId="53ED1DA8" w14:textId="77777777" w:rsidR="00255FA1" w:rsidRPr="007E6958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E6958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 w:rsidRPr="007E6958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E6958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E6958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7E6958">
              <w:rPr>
                <w:b/>
                <w:bCs/>
                <w:szCs w:val="24"/>
              </w:rPr>
              <w:t>Bucarest</w:t>
            </w:r>
            <w:r w:rsidRPr="007E6958">
              <w:rPr>
                <w:rStyle w:val="PageNumber"/>
                <w:b/>
                <w:bCs/>
                <w:szCs w:val="24"/>
              </w:rPr>
              <w:t xml:space="preserve">, </w:t>
            </w:r>
            <w:r w:rsidRPr="007E6958">
              <w:rPr>
                <w:rStyle w:val="PageNumber"/>
                <w:b/>
                <w:szCs w:val="24"/>
              </w:rPr>
              <w:t>2</w:t>
            </w:r>
            <w:r w:rsidR="009D1BE0" w:rsidRPr="007E6958">
              <w:rPr>
                <w:rStyle w:val="PageNumber"/>
                <w:b/>
                <w:szCs w:val="24"/>
              </w:rPr>
              <w:t>6</w:t>
            </w:r>
            <w:r w:rsidRPr="007E6958">
              <w:rPr>
                <w:rStyle w:val="PageNumber"/>
                <w:b/>
                <w:szCs w:val="24"/>
              </w:rPr>
              <w:t xml:space="preserve"> de </w:t>
            </w:r>
            <w:r w:rsidR="009D1BE0" w:rsidRPr="007E6958">
              <w:rPr>
                <w:rStyle w:val="PageNumber"/>
                <w:b/>
                <w:szCs w:val="24"/>
              </w:rPr>
              <w:t>septiembre</w:t>
            </w:r>
            <w:r w:rsidRPr="007E6958">
              <w:rPr>
                <w:rStyle w:val="PageNumber"/>
                <w:b/>
                <w:szCs w:val="24"/>
              </w:rPr>
              <w:t xml:space="preserve"> </w:t>
            </w:r>
            <w:r w:rsidR="00491A25" w:rsidRPr="007E6958">
              <w:rPr>
                <w:rStyle w:val="PageNumber"/>
                <w:b/>
                <w:szCs w:val="24"/>
              </w:rPr>
              <w:t>–</w:t>
            </w:r>
            <w:r w:rsidRPr="007E6958">
              <w:rPr>
                <w:rStyle w:val="PageNumber"/>
                <w:b/>
                <w:szCs w:val="24"/>
              </w:rPr>
              <w:t xml:space="preserve"> </w:t>
            </w:r>
            <w:r w:rsidR="00C43474" w:rsidRPr="007E6958">
              <w:rPr>
                <w:rStyle w:val="PageNumber"/>
                <w:b/>
                <w:szCs w:val="24"/>
              </w:rPr>
              <w:t>1</w:t>
            </w:r>
            <w:r w:rsidR="009D1BE0" w:rsidRPr="007E6958">
              <w:rPr>
                <w:rStyle w:val="PageNumber"/>
                <w:b/>
                <w:szCs w:val="24"/>
              </w:rPr>
              <w:t>4</w:t>
            </w:r>
            <w:r w:rsidRPr="007E6958">
              <w:rPr>
                <w:rStyle w:val="PageNumber"/>
                <w:b/>
                <w:szCs w:val="24"/>
              </w:rPr>
              <w:t xml:space="preserve"> de </w:t>
            </w:r>
            <w:r w:rsidR="009D1BE0" w:rsidRPr="007E6958">
              <w:rPr>
                <w:rStyle w:val="PageNumber"/>
                <w:b/>
                <w:szCs w:val="24"/>
              </w:rPr>
              <w:t>octubre</w:t>
            </w:r>
            <w:r w:rsidRPr="007E6958">
              <w:rPr>
                <w:rStyle w:val="PageNumber"/>
                <w:b/>
                <w:szCs w:val="24"/>
              </w:rPr>
              <w:t xml:space="preserve"> de 2</w:t>
            </w:r>
            <w:r w:rsidR="009D1BE0" w:rsidRPr="007E6958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4A979A0F" w14:textId="77777777" w:rsidR="00255FA1" w:rsidRPr="007E6958" w:rsidRDefault="009D1BE0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7E6958">
              <w:rPr>
                <w:noProof/>
                <w:lang w:eastAsia="es-ES"/>
              </w:rPr>
              <w:drawing>
                <wp:inline distT="0" distB="0" distL="0" distR="0" wp14:anchorId="7129B484" wp14:editId="67FF14D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7E6958" w14:paraId="59C5E6F0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3D56719" w14:textId="77777777" w:rsidR="00255FA1" w:rsidRPr="007E6958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CE0DE87" w14:textId="77777777" w:rsidR="00255FA1" w:rsidRPr="007E6958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</w:tr>
      <w:tr w:rsidR="00255FA1" w:rsidRPr="007E6958" w14:paraId="32DF1322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83975CF" w14:textId="77777777" w:rsidR="00255FA1" w:rsidRPr="007E6958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F6939E6" w14:textId="77777777" w:rsidR="00255FA1" w:rsidRPr="007E6958" w:rsidRDefault="00255FA1" w:rsidP="004F4BB1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255FA1" w:rsidRPr="007E6958" w14:paraId="31B9EFEF" w14:textId="77777777" w:rsidTr="00682B62">
        <w:trPr>
          <w:cantSplit/>
        </w:trPr>
        <w:tc>
          <w:tcPr>
            <w:tcW w:w="6911" w:type="dxa"/>
          </w:tcPr>
          <w:p w14:paraId="32EDCC74" w14:textId="77777777" w:rsidR="00255FA1" w:rsidRPr="007E6958" w:rsidRDefault="00255FA1" w:rsidP="00587AD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7E6958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67C95475" w14:textId="77777777" w:rsidR="00255FA1" w:rsidRPr="007E6958" w:rsidRDefault="00255FA1" w:rsidP="004F4BB1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7E6958">
              <w:rPr>
                <w:rFonts w:cstheme="minorHAnsi"/>
                <w:b/>
                <w:szCs w:val="24"/>
              </w:rPr>
              <w:t>Addéndum</w:t>
            </w:r>
            <w:proofErr w:type="spellEnd"/>
            <w:r w:rsidRPr="007E6958">
              <w:rPr>
                <w:rFonts w:cstheme="minorHAnsi"/>
                <w:b/>
                <w:szCs w:val="24"/>
              </w:rPr>
              <w:t xml:space="preserve"> 22 al</w:t>
            </w:r>
            <w:r w:rsidRPr="007E6958">
              <w:rPr>
                <w:rFonts w:cstheme="minorHAnsi"/>
                <w:b/>
                <w:szCs w:val="24"/>
              </w:rPr>
              <w:br/>
              <w:t>Documento 76</w:t>
            </w:r>
            <w:r w:rsidR="00262FF4" w:rsidRPr="007E6958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7E6958" w14:paraId="2B739546" w14:textId="77777777" w:rsidTr="00682B62">
        <w:trPr>
          <w:cantSplit/>
        </w:trPr>
        <w:tc>
          <w:tcPr>
            <w:tcW w:w="6911" w:type="dxa"/>
          </w:tcPr>
          <w:p w14:paraId="45367F16" w14:textId="77777777" w:rsidR="00255FA1" w:rsidRPr="007E6958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14:paraId="56B651F9" w14:textId="77777777" w:rsidR="00255FA1" w:rsidRPr="007E6958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7E6958">
              <w:rPr>
                <w:rFonts w:cstheme="minorHAnsi"/>
                <w:b/>
                <w:szCs w:val="24"/>
              </w:rPr>
              <w:t>1 de septiembre de 2022</w:t>
            </w:r>
          </w:p>
        </w:tc>
      </w:tr>
      <w:tr w:rsidR="00255FA1" w:rsidRPr="007E6958" w14:paraId="683A1A9C" w14:textId="77777777" w:rsidTr="00682B62">
        <w:trPr>
          <w:cantSplit/>
        </w:trPr>
        <w:tc>
          <w:tcPr>
            <w:tcW w:w="6911" w:type="dxa"/>
          </w:tcPr>
          <w:p w14:paraId="0C3273C7" w14:textId="77777777" w:rsidR="00255FA1" w:rsidRPr="007E6958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14:paraId="06904880" w14:textId="77777777" w:rsidR="00255FA1" w:rsidRPr="007E6958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7E6958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255FA1" w:rsidRPr="007E6958" w14:paraId="7959C7E3" w14:textId="77777777" w:rsidTr="00682B62">
        <w:trPr>
          <w:cantSplit/>
        </w:trPr>
        <w:tc>
          <w:tcPr>
            <w:tcW w:w="10031" w:type="dxa"/>
            <w:gridSpan w:val="2"/>
          </w:tcPr>
          <w:p w14:paraId="181BB0C9" w14:textId="77777777" w:rsidR="00255FA1" w:rsidRPr="007E6958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7E6958" w14:paraId="7D74CDDD" w14:textId="77777777" w:rsidTr="00682B62">
        <w:trPr>
          <w:cantSplit/>
        </w:trPr>
        <w:tc>
          <w:tcPr>
            <w:tcW w:w="10031" w:type="dxa"/>
            <w:gridSpan w:val="2"/>
          </w:tcPr>
          <w:p w14:paraId="04564A80" w14:textId="4F91B0D8" w:rsidR="00255FA1" w:rsidRPr="007E6958" w:rsidRDefault="00255FA1" w:rsidP="00682B62">
            <w:pPr>
              <w:pStyle w:val="Source"/>
            </w:pPr>
            <w:bookmarkStart w:id="4" w:name="dsource" w:colFirst="0" w:colLast="0"/>
            <w:bookmarkEnd w:id="3"/>
            <w:r w:rsidRPr="007E6958">
              <w:t>Estados Miembros de la Comisión Interamericana de Telecomunicaciones (CITEL)</w:t>
            </w:r>
          </w:p>
        </w:tc>
      </w:tr>
      <w:tr w:rsidR="00255FA1" w:rsidRPr="007E6958" w14:paraId="010697E2" w14:textId="77777777" w:rsidTr="00682B62">
        <w:trPr>
          <w:cantSplit/>
        </w:trPr>
        <w:tc>
          <w:tcPr>
            <w:tcW w:w="10031" w:type="dxa"/>
            <w:gridSpan w:val="2"/>
          </w:tcPr>
          <w:p w14:paraId="050A8E6D" w14:textId="1531BBAC" w:rsidR="00255FA1" w:rsidRPr="007E6958" w:rsidRDefault="00255FA1" w:rsidP="0099719B">
            <w:pPr>
              <w:pStyle w:val="Title1"/>
            </w:pPr>
            <w:bookmarkStart w:id="5" w:name="dtitle1" w:colFirst="0" w:colLast="0"/>
            <w:bookmarkEnd w:id="4"/>
            <w:r w:rsidRPr="00E60AB7">
              <w:t xml:space="preserve">IAP 22 </w:t>
            </w:r>
            <w:r w:rsidR="00587ADA" w:rsidRPr="00E60AB7">
              <w:t>–</w:t>
            </w:r>
            <w:r w:rsidR="0099719B" w:rsidRPr="00E60AB7">
              <w:t xml:space="preserve"> PROPUESTA DE PROYECTO DE NUEVA RESOLUCIÓN</w:t>
            </w:r>
            <w:r w:rsidRPr="007E6958">
              <w:t xml:space="preserve"> [IAP-3]</w:t>
            </w:r>
          </w:p>
        </w:tc>
      </w:tr>
      <w:tr w:rsidR="00255FA1" w:rsidRPr="007E6958" w14:paraId="3B3DC44A" w14:textId="77777777" w:rsidTr="00682B62">
        <w:trPr>
          <w:cantSplit/>
        </w:trPr>
        <w:tc>
          <w:tcPr>
            <w:tcW w:w="10031" w:type="dxa"/>
            <w:gridSpan w:val="2"/>
          </w:tcPr>
          <w:p w14:paraId="74FD79FD" w14:textId="2F2D9F19" w:rsidR="00255FA1" w:rsidRPr="007E6958" w:rsidRDefault="0099719B" w:rsidP="0099719B">
            <w:pPr>
              <w:pStyle w:val="Title2"/>
            </w:pPr>
            <w:bookmarkStart w:id="6" w:name="dtitle2" w:colFirst="0" w:colLast="0"/>
            <w:bookmarkEnd w:id="5"/>
            <w:r w:rsidRPr="007E6958">
              <w:t xml:space="preserve">participación de la uit en memorandos de entendimiento con repercusiones financieras </w:t>
            </w:r>
            <w:r w:rsidR="00E947A4" w:rsidRPr="007E6958">
              <w:t>Y/</w:t>
            </w:r>
            <w:r w:rsidRPr="007E6958">
              <w:t>o estratégicas</w:t>
            </w:r>
          </w:p>
        </w:tc>
      </w:tr>
      <w:tr w:rsidR="00255FA1" w:rsidRPr="007E6958" w14:paraId="5A099ABD" w14:textId="77777777" w:rsidTr="00682B62">
        <w:trPr>
          <w:cantSplit/>
        </w:trPr>
        <w:tc>
          <w:tcPr>
            <w:tcW w:w="10031" w:type="dxa"/>
            <w:gridSpan w:val="2"/>
          </w:tcPr>
          <w:p w14:paraId="4BA0271F" w14:textId="77777777" w:rsidR="00255FA1" w:rsidRPr="007E6958" w:rsidRDefault="00255FA1" w:rsidP="00682B62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5C482B0C" w14:textId="00C3671F" w:rsidR="0099719B" w:rsidRPr="007E6958" w:rsidRDefault="0099719B" w:rsidP="00587ADA">
      <w:pPr>
        <w:pStyle w:val="Headingb"/>
      </w:pPr>
      <w:r w:rsidRPr="007E6958">
        <w:t>Resumen</w:t>
      </w:r>
    </w:p>
    <w:p w14:paraId="1A43E1B5" w14:textId="35E5DD11" w:rsidR="0099719B" w:rsidRPr="007E6958" w:rsidRDefault="0099719B" w:rsidP="00587ADA">
      <w:r w:rsidRPr="007E6958">
        <w:t xml:space="preserve">Esta propuesta plantea una nueva Resolución que </w:t>
      </w:r>
      <w:r w:rsidR="002F55FE" w:rsidRPr="007E6958">
        <w:t>garantice</w:t>
      </w:r>
      <w:r w:rsidRPr="007E6958">
        <w:t xml:space="preserve"> que s</w:t>
      </w:r>
      <w:r w:rsidR="00E60AB7">
        <w:t>o</w:t>
      </w:r>
      <w:r w:rsidRPr="007E6958">
        <w:t>lo se celebren Memorandos de Entendimiento (</w:t>
      </w:r>
      <w:proofErr w:type="spellStart"/>
      <w:r w:rsidRPr="007E6958">
        <w:t>MoU</w:t>
      </w:r>
      <w:proofErr w:type="spellEnd"/>
      <w:r w:rsidRPr="007E6958">
        <w:t xml:space="preserve">) con repercusiones financieras o estratégicas con la aprobación previa del Consejo, teniendo en cuenta los puntos de vista de las </w:t>
      </w:r>
      <w:r w:rsidR="00183EED" w:rsidRPr="007E6958">
        <w:t>a</w:t>
      </w:r>
      <w:r w:rsidRPr="007E6958">
        <w:t xml:space="preserve">dministraciones </w:t>
      </w:r>
      <w:r w:rsidR="00183EED" w:rsidRPr="007E6958">
        <w:t>Miembros</w:t>
      </w:r>
      <w:r w:rsidRPr="007E6958">
        <w:t>.</w:t>
      </w:r>
    </w:p>
    <w:p w14:paraId="2FF8D759" w14:textId="192E0347" w:rsidR="0099719B" w:rsidRPr="007E6958" w:rsidRDefault="0099719B" w:rsidP="00587ADA">
      <w:r w:rsidRPr="007E6958">
        <w:t xml:space="preserve">La CITEL </w:t>
      </w:r>
      <w:r w:rsidR="005A33AD" w:rsidRPr="007E6958">
        <w:t xml:space="preserve">opina que es necesaria una nueva Resolución para aclarar el proceso de aprobación de </w:t>
      </w:r>
      <w:proofErr w:type="spellStart"/>
      <w:r w:rsidR="005A33AD" w:rsidRPr="007E6958">
        <w:t>MoU</w:t>
      </w:r>
      <w:proofErr w:type="spellEnd"/>
      <w:r w:rsidR="005A33AD" w:rsidRPr="007E6958">
        <w:t xml:space="preserve"> con repercusiones financieras </w:t>
      </w:r>
      <w:r w:rsidR="00E947A4" w:rsidRPr="007E6958">
        <w:t>y/</w:t>
      </w:r>
      <w:r w:rsidR="005A33AD" w:rsidRPr="007E6958">
        <w:t xml:space="preserve">o estratégicas. Considera también que la UIT debe celebrar </w:t>
      </w:r>
      <w:proofErr w:type="spellStart"/>
      <w:r w:rsidR="005A33AD" w:rsidRPr="007E6958">
        <w:t>MoU</w:t>
      </w:r>
      <w:proofErr w:type="spellEnd"/>
      <w:r w:rsidR="005A33AD" w:rsidRPr="007E6958">
        <w:t xml:space="preserve"> que tengan un notable efecto financiero o estratégico después de su examen </w:t>
      </w:r>
      <w:r w:rsidR="00183EED" w:rsidRPr="007E6958">
        <w:t xml:space="preserve">por las administraciones Miembros </w:t>
      </w:r>
      <w:r w:rsidR="005A33AD" w:rsidRPr="007E6958">
        <w:t xml:space="preserve">y de las contribuciones </w:t>
      </w:r>
      <w:r w:rsidR="00183EED" w:rsidRPr="00E60AB7">
        <w:t xml:space="preserve">que </w:t>
      </w:r>
      <w:r w:rsidR="00E60AB7" w:rsidRPr="00E60AB7">
        <w:t>e</w:t>
      </w:r>
      <w:r w:rsidR="00183EED" w:rsidRPr="00E60AB7">
        <w:t>stas presenten</w:t>
      </w:r>
      <w:r w:rsidR="00183EED" w:rsidRPr="007E6958">
        <w:t xml:space="preserve"> al respecto</w:t>
      </w:r>
      <w:r w:rsidR="005A33AD" w:rsidRPr="007E6958">
        <w:t xml:space="preserve">. Una mayor transparencia permitirá al Consejo de la UIT cumplir mejor con sus obligaciones en relación con el rumbo general de la UIT en materia financiera y estratégica. Esta nueva Resolución aclara el papel que desempeña el Consejo en relación con tales </w:t>
      </w:r>
      <w:proofErr w:type="spellStart"/>
      <w:r w:rsidR="005A33AD" w:rsidRPr="007E6958">
        <w:t>MoU</w:t>
      </w:r>
      <w:proofErr w:type="spellEnd"/>
      <w:r w:rsidR="005A33AD" w:rsidRPr="007E6958">
        <w:t xml:space="preserve"> y garantiza un proceso transparente y participativo para que la UIT celebre </w:t>
      </w:r>
      <w:proofErr w:type="spellStart"/>
      <w:r w:rsidR="005A33AD" w:rsidRPr="007E6958">
        <w:t>MoU</w:t>
      </w:r>
      <w:proofErr w:type="spellEnd"/>
      <w:r w:rsidR="005A33AD" w:rsidRPr="007E6958">
        <w:t xml:space="preserve"> con repercusiones financieras </w:t>
      </w:r>
      <w:r w:rsidR="00E947A4" w:rsidRPr="007E6958">
        <w:t>y/</w:t>
      </w:r>
      <w:r w:rsidR="005A33AD" w:rsidRPr="007E6958">
        <w:t>o estratégicas.</w:t>
      </w:r>
    </w:p>
    <w:p w14:paraId="470381B4" w14:textId="77777777" w:rsidR="00255FA1" w:rsidRPr="007E6958" w:rsidRDefault="00255FA1" w:rsidP="00DB6B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both"/>
        <w:textAlignment w:val="auto"/>
        <w:rPr>
          <w:rStyle w:val="PageNumber"/>
        </w:rPr>
      </w:pPr>
      <w:r w:rsidRPr="007E6958">
        <w:rPr>
          <w:rStyle w:val="PageNumber"/>
        </w:rPr>
        <w:br w:type="page"/>
      </w:r>
    </w:p>
    <w:p w14:paraId="6C93A48A" w14:textId="77777777" w:rsidR="007054BB" w:rsidRPr="007E6958" w:rsidRDefault="00BF58DC">
      <w:pPr>
        <w:pStyle w:val="Proposal"/>
        <w:rPr>
          <w:lang w:val="es-ES_tradnl"/>
        </w:rPr>
      </w:pPr>
      <w:r w:rsidRPr="007E6958">
        <w:rPr>
          <w:lang w:val="es-ES_tradnl"/>
        </w:rPr>
        <w:lastRenderedPageBreak/>
        <w:t>ADD</w:t>
      </w:r>
      <w:r w:rsidRPr="007E6958">
        <w:rPr>
          <w:lang w:val="es-ES_tradnl"/>
        </w:rPr>
        <w:tab/>
        <w:t>IAP/76A22/1</w:t>
      </w:r>
    </w:p>
    <w:p w14:paraId="58E3A4F0" w14:textId="768A0F4F" w:rsidR="007054BB" w:rsidRPr="007E6958" w:rsidRDefault="00BF58DC" w:rsidP="00BA7509">
      <w:pPr>
        <w:pStyle w:val="ResNo"/>
      </w:pPr>
      <w:r w:rsidRPr="007E6958">
        <w:t>Proyecto de nueva Resolución [IAP-</w:t>
      </w:r>
      <w:r w:rsidR="00CD27E8" w:rsidRPr="007E6958">
        <w:t>3</w:t>
      </w:r>
      <w:r w:rsidRPr="007E6958">
        <w:t>]</w:t>
      </w:r>
    </w:p>
    <w:p w14:paraId="242E0110" w14:textId="0D7644B5" w:rsidR="00E947A4" w:rsidRPr="007E6958" w:rsidRDefault="00E947A4" w:rsidP="00E947A4">
      <w:pPr>
        <w:pStyle w:val="Restitle"/>
        <w:keepNext/>
        <w:keepLines/>
      </w:pPr>
      <w:r w:rsidRPr="007E6958">
        <w:t xml:space="preserve">Participación de la UIT en Memorandos de Entendimiento </w:t>
      </w:r>
      <w:r w:rsidR="007E6958" w:rsidRPr="007E6958">
        <w:br/>
      </w:r>
      <w:r w:rsidRPr="007E6958">
        <w:t>con repercusiones financieras y/o estratégicas</w:t>
      </w:r>
    </w:p>
    <w:p w14:paraId="218AAFA3" w14:textId="0E78F47F" w:rsidR="00DB6B91" w:rsidRPr="007E6958" w:rsidRDefault="00E947A4" w:rsidP="00587ADA">
      <w:pPr>
        <w:pStyle w:val="Normalaftertitle"/>
      </w:pPr>
      <w:r w:rsidRPr="007E6958">
        <w:t>La Conferencia de Plenipotenciarios de la Unión Internacional de Telecomunicaciones</w:t>
      </w:r>
      <w:r w:rsidR="00DB6B91" w:rsidRPr="007E6958">
        <w:t xml:space="preserve"> (Bucarest, 2022),</w:t>
      </w:r>
    </w:p>
    <w:p w14:paraId="083AEA08" w14:textId="77777777" w:rsidR="00DB6B91" w:rsidRPr="007E6958" w:rsidRDefault="00DB6B91" w:rsidP="00587ADA">
      <w:pPr>
        <w:pStyle w:val="Call"/>
      </w:pPr>
      <w:r w:rsidRPr="007E6958">
        <w:t>considerando</w:t>
      </w:r>
    </w:p>
    <w:p w14:paraId="5730EAA1" w14:textId="77777777" w:rsidR="00DB6B91" w:rsidRPr="007E6958" w:rsidRDefault="00DB6B91" w:rsidP="00587ADA">
      <w:r w:rsidRPr="007E6958">
        <w:rPr>
          <w:i/>
          <w:iCs/>
        </w:rPr>
        <w:t>a)</w:t>
      </w:r>
      <w:r w:rsidRPr="007E6958">
        <w:tab/>
        <w:t>que entre los fines de la Unión estipulados en el Artículo 1 de la Constitución de la UIT figura el de mantener y ampliar la cooperación internacional entre todos sus Estados Miembros para mejorar y utilizar de manera racional de las telecomunicaciones internacionales;</w:t>
      </w:r>
    </w:p>
    <w:p w14:paraId="0AA60566" w14:textId="77777777" w:rsidR="00DB6B91" w:rsidRPr="007E6958" w:rsidRDefault="00DB6B91" w:rsidP="00587ADA">
      <w:r w:rsidRPr="007E6958">
        <w:rPr>
          <w:i/>
          <w:iCs/>
        </w:rPr>
        <w:t>b)</w:t>
      </w:r>
      <w:r w:rsidRPr="007E6958">
        <w:tab/>
        <w:t>que otro de los fines de la Unión es promover a nivel internacional la adopción de un enfoque más amplio para las cuestiones de telecomunicaciones en la economía y la sociedad globales de la información, cooperando a tal fin con otras organizaciones intergubernamentales mundiales y regionales y con las organizaciones no gubernamentales interesadas en las telecomunicaciones,</w:t>
      </w:r>
    </w:p>
    <w:p w14:paraId="1E29C48B" w14:textId="7B9BAAB1" w:rsidR="00DB6B91" w:rsidRPr="007E6958" w:rsidRDefault="00FD093A" w:rsidP="00587ADA">
      <w:pPr>
        <w:pStyle w:val="Call"/>
        <w:rPr>
          <w:i w:val="0"/>
          <w:iCs/>
        </w:rPr>
      </w:pPr>
      <w:r w:rsidRPr="007E6958">
        <w:rPr>
          <w:iCs/>
        </w:rPr>
        <w:t>observando</w:t>
      </w:r>
    </w:p>
    <w:p w14:paraId="4365BB99" w14:textId="4E201EED" w:rsidR="00DB6B91" w:rsidRPr="007E6958" w:rsidRDefault="00DB6B91" w:rsidP="00587ADA">
      <w:r w:rsidRPr="007E6958">
        <w:t>que los Memorandos de Entendimiento (</w:t>
      </w:r>
      <w:proofErr w:type="spellStart"/>
      <w:r w:rsidRPr="007E6958">
        <w:t>MoU</w:t>
      </w:r>
      <w:proofErr w:type="spellEnd"/>
      <w:r w:rsidRPr="007E6958">
        <w:t>), así como los Memorandos de Cooperación y los Memorandos de Acuerdo</w:t>
      </w:r>
      <w:r w:rsidRPr="007E6958">
        <w:rPr>
          <w:rStyle w:val="FootnoteReference"/>
        </w:rPr>
        <w:footnoteReference w:customMarkFollows="1" w:id="1"/>
        <w:t>1</w:t>
      </w:r>
      <w:r w:rsidRPr="007E6958">
        <w:t xml:space="preserve"> u otros instrumentos, en los que la UIT, los Estados Miembros y los Miembros de Sector pueden participar, se utilizan a menudo para fac</w:t>
      </w:r>
      <w:r w:rsidR="00BA7509" w:rsidRPr="007E6958">
        <w:t>ilitar la acción de cooperación,</w:t>
      </w:r>
    </w:p>
    <w:p w14:paraId="79B55279" w14:textId="6685C6ED" w:rsidR="00DB6B91" w:rsidRPr="007E6958" w:rsidRDefault="00FD093A" w:rsidP="00587ADA">
      <w:pPr>
        <w:pStyle w:val="Call"/>
        <w:rPr>
          <w:i w:val="0"/>
          <w:iCs/>
        </w:rPr>
      </w:pPr>
      <w:r w:rsidRPr="007E6958">
        <w:rPr>
          <w:iCs/>
        </w:rPr>
        <w:t>señalando</w:t>
      </w:r>
    </w:p>
    <w:p w14:paraId="3C29DC93" w14:textId="558B7B12" w:rsidR="00DB6B91" w:rsidRPr="007E6958" w:rsidRDefault="00DB6B91" w:rsidP="00587ADA">
      <w:r w:rsidRPr="007E6958">
        <w:t xml:space="preserve">que la Unión ha suscrito </w:t>
      </w:r>
      <w:proofErr w:type="spellStart"/>
      <w:r w:rsidR="00BA7509" w:rsidRPr="007E6958">
        <w:t>MoU</w:t>
      </w:r>
      <w:proofErr w:type="spellEnd"/>
      <w:r w:rsidR="00BA7509" w:rsidRPr="007E6958">
        <w:t xml:space="preserve"> en los que la UIT participa</w:t>
      </w:r>
      <w:r w:rsidRPr="007E6958">
        <w:t xml:space="preserve"> que tienen repercusiones financieras y/o estratégicas,</w:t>
      </w:r>
    </w:p>
    <w:p w14:paraId="4DD068D8" w14:textId="77777777" w:rsidR="00DB6B91" w:rsidRPr="007E6958" w:rsidRDefault="00DB6B91" w:rsidP="00587ADA">
      <w:pPr>
        <w:pStyle w:val="Call"/>
        <w:rPr>
          <w:i w:val="0"/>
          <w:iCs/>
        </w:rPr>
      </w:pPr>
      <w:r w:rsidRPr="007E6958">
        <w:rPr>
          <w:iCs/>
        </w:rPr>
        <w:t>entendiendo</w:t>
      </w:r>
    </w:p>
    <w:p w14:paraId="1F27005C" w14:textId="681A4D77" w:rsidR="00DB6B91" w:rsidRPr="007E6958" w:rsidRDefault="00DB6B91" w:rsidP="00587ADA">
      <w:r w:rsidRPr="007E6958">
        <w:t xml:space="preserve">que los </w:t>
      </w:r>
      <w:proofErr w:type="spellStart"/>
      <w:r w:rsidRPr="007E6958">
        <w:t>MoU</w:t>
      </w:r>
      <w:proofErr w:type="spellEnd"/>
      <w:r w:rsidRPr="007E6958">
        <w:t xml:space="preserve"> en que los que </w:t>
      </w:r>
      <w:r w:rsidR="00F33281" w:rsidRPr="007E6958">
        <w:t xml:space="preserve">participe </w:t>
      </w:r>
      <w:r w:rsidRPr="007E6958">
        <w:t xml:space="preserve">la UIT y </w:t>
      </w:r>
      <w:r w:rsidR="00F33281" w:rsidRPr="007E6958">
        <w:t xml:space="preserve">que </w:t>
      </w:r>
      <w:r w:rsidRPr="007E6958">
        <w:t xml:space="preserve">tengan repercusiones financieras y/o </w:t>
      </w:r>
      <w:r w:rsidRPr="00E60AB7">
        <w:t>estratégicas s</w:t>
      </w:r>
      <w:r w:rsidR="00E60AB7" w:rsidRPr="00E60AB7">
        <w:t>o</w:t>
      </w:r>
      <w:r w:rsidRPr="00E60AB7">
        <w:t>lo deberían</w:t>
      </w:r>
      <w:r w:rsidRPr="007E6958">
        <w:t xml:space="preserve"> suscribirse con arreglo a criterios adoptados por el Consejo y previa aprobación </w:t>
      </w:r>
      <w:proofErr w:type="gramStart"/>
      <w:r w:rsidRPr="007E6958">
        <w:t xml:space="preserve">del </w:t>
      </w:r>
      <w:r w:rsidR="002F55FE" w:rsidRPr="007E6958">
        <w:t>mismo</w:t>
      </w:r>
      <w:proofErr w:type="gramEnd"/>
      <w:r w:rsidRPr="007E6958">
        <w:t>,</w:t>
      </w:r>
    </w:p>
    <w:p w14:paraId="0ADD5898" w14:textId="56B601D5" w:rsidR="00DB6B91" w:rsidRPr="007E6958" w:rsidRDefault="00DB6B91" w:rsidP="00587ADA">
      <w:pPr>
        <w:pStyle w:val="Call"/>
      </w:pPr>
      <w:r w:rsidRPr="007E6958">
        <w:t>resuelve</w:t>
      </w:r>
    </w:p>
    <w:p w14:paraId="445AAB1A" w14:textId="0370299F" w:rsidR="00DB6B91" w:rsidRPr="007E6958" w:rsidRDefault="00F33281" w:rsidP="00587ADA">
      <w:r w:rsidRPr="007E6958">
        <w:t>1</w:t>
      </w:r>
      <w:r w:rsidRPr="007E6958">
        <w:tab/>
        <w:t xml:space="preserve">que los </w:t>
      </w:r>
      <w:proofErr w:type="spellStart"/>
      <w:r w:rsidRPr="007E6958">
        <w:t>MoU</w:t>
      </w:r>
      <w:proofErr w:type="spellEnd"/>
      <w:r w:rsidRPr="007E6958">
        <w:t xml:space="preserve"> en los que participe la UIT y que tengan repercusiones financieras y/o estratégicas sustanciales únicamente se suscriban con la aprobación previa del Consejo;</w:t>
      </w:r>
    </w:p>
    <w:p w14:paraId="63C1BFB9" w14:textId="71C94BD0" w:rsidR="00F33281" w:rsidRPr="007E6958" w:rsidRDefault="00F33281" w:rsidP="00587ADA">
      <w:r w:rsidRPr="007E6958">
        <w:t>2</w:t>
      </w:r>
      <w:r w:rsidRPr="007E6958">
        <w:tab/>
        <w:t xml:space="preserve">que el </w:t>
      </w:r>
      <w:proofErr w:type="gramStart"/>
      <w:r w:rsidRPr="007E6958">
        <w:t>Secretario General</w:t>
      </w:r>
      <w:proofErr w:type="gramEnd"/>
      <w:r w:rsidRPr="007E6958">
        <w:t xml:space="preserve"> someta a la reunión ordinaria del Consejo, para su aprobación previa, los </w:t>
      </w:r>
      <w:proofErr w:type="spellStart"/>
      <w:r w:rsidRPr="007E6958">
        <w:t>MoU</w:t>
      </w:r>
      <w:proofErr w:type="spellEnd"/>
      <w:r w:rsidRPr="007E6958">
        <w:t xml:space="preserve"> que tengan repercusiones financieras o estratégicas sustanciales;</w:t>
      </w:r>
    </w:p>
    <w:p w14:paraId="689C6E59" w14:textId="2B616754" w:rsidR="00DB6B91" w:rsidRPr="007E6958" w:rsidRDefault="00F33281" w:rsidP="00587ADA">
      <w:r w:rsidRPr="007E6958">
        <w:lastRenderedPageBreak/>
        <w:t>3</w:t>
      </w:r>
      <w:r w:rsidRPr="007E6958">
        <w:tab/>
      </w:r>
      <w:r w:rsidR="00DB6B91" w:rsidRPr="007E6958">
        <w:t xml:space="preserve">que </w:t>
      </w:r>
      <w:r w:rsidRPr="007E6958">
        <w:t xml:space="preserve">el </w:t>
      </w:r>
      <w:proofErr w:type="gramStart"/>
      <w:r w:rsidRPr="007E6958">
        <w:t>Secretario General</w:t>
      </w:r>
      <w:proofErr w:type="gramEnd"/>
      <w:r w:rsidRPr="007E6958">
        <w:t xml:space="preserve"> </w:t>
      </w:r>
      <w:r w:rsidR="00DB6B91" w:rsidRPr="007E6958">
        <w:t xml:space="preserve">siga los criterios y directrices </w:t>
      </w:r>
      <w:r w:rsidRPr="007E6958">
        <w:t>contenidos en el Anexo I</w:t>
      </w:r>
      <w:r w:rsidR="00DB6B91" w:rsidRPr="007E6958">
        <w:t xml:space="preserve"> </w:t>
      </w:r>
      <w:r w:rsidR="00FD093A" w:rsidRPr="007E6958">
        <w:t>a</w:t>
      </w:r>
      <w:r w:rsidR="00BA7509" w:rsidRPr="007E6958">
        <w:t xml:space="preserve"> la presente Resolución </w:t>
      </w:r>
      <w:r w:rsidR="00DB6B91" w:rsidRPr="007E6958">
        <w:t xml:space="preserve">al suscribir </w:t>
      </w:r>
      <w:proofErr w:type="spellStart"/>
      <w:r w:rsidR="00DB6B91" w:rsidRPr="007E6958">
        <w:t>MoU</w:t>
      </w:r>
      <w:proofErr w:type="spellEnd"/>
      <w:r w:rsidR="00DB6B91" w:rsidRPr="007E6958">
        <w:t xml:space="preserve"> en los q</w:t>
      </w:r>
      <w:r w:rsidR="002F55FE" w:rsidRPr="007E6958">
        <w:t>ue vaya a participar la UIT</w:t>
      </w:r>
      <w:r w:rsidRPr="007E6958">
        <w:t xml:space="preserve"> que</w:t>
      </w:r>
      <w:r w:rsidR="00DB6B91" w:rsidRPr="007E6958">
        <w:t xml:space="preserve"> tengan repercusiones financieras y/o estratégicas;</w:t>
      </w:r>
    </w:p>
    <w:p w14:paraId="54422FD6" w14:textId="0883EC83" w:rsidR="00DB6B91" w:rsidRPr="007E6958" w:rsidRDefault="00B6620B" w:rsidP="00587ADA">
      <w:r w:rsidRPr="007E6958">
        <w:t>4</w:t>
      </w:r>
      <w:r w:rsidR="00DB6B91" w:rsidRPr="007E6958">
        <w:tab/>
        <w:t xml:space="preserve">que </w:t>
      </w:r>
      <w:r w:rsidRPr="007E6958">
        <w:t>se siga presentando</w:t>
      </w:r>
      <w:r w:rsidR="00DB6B91" w:rsidRPr="007E6958">
        <w:t xml:space="preserve"> </w:t>
      </w:r>
      <w:r w:rsidR="00FD093A" w:rsidRPr="007E6958">
        <w:t xml:space="preserve">a la reunión ordinaria del Consejo </w:t>
      </w:r>
      <w:r w:rsidR="00DB6B91" w:rsidRPr="007E6958">
        <w:t xml:space="preserve">un informe </w:t>
      </w:r>
      <w:r w:rsidRPr="007E6958">
        <w:t xml:space="preserve">sobre todos los </w:t>
      </w:r>
      <w:proofErr w:type="spellStart"/>
      <w:r w:rsidRPr="007E6958">
        <w:t>MoU</w:t>
      </w:r>
      <w:proofErr w:type="spellEnd"/>
      <w:r w:rsidRPr="007E6958">
        <w:t xml:space="preserve"> concertados por la UIT durante el periodo </w:t>
      </w:r>
      <w:r w:rsidR="00FD093A" w:rsidRPr="007E6958">
        <w:t>correspondiente</w:t>
      </w:r>
      <w:r w:rsidRPr="007E6958">
        <w:t>;</w:t>
      </w:r>
    </w:p>
    <w:p w14:paraId="21CC9C1D" w14:textId="3E76720C" w:rsidR="00B6620B" w:rsidRPr="007E6958" w:rsidRDefault="00B6620B" w:rsidP="005C2258">
      <w:r w:rsidRPr="007E6958">
        <w:t>5</w:t>
      </w:r>
      <w:r w:rsidRPr="007E6958">
        <w:tab/>
        <w:t xml:space="preserve">que el Consejo, al examinar la participación de la UIT en los </w:t>
      </w:r>
      <w:proofErr w:type="spellStart"/>
      <w:r w:rsidRPr="007E6958">
        <w:t>MoU</w:t>
      </w:r>
      <w:proofErr w:type="spellEnd"/>
      <w:r w:rsidRPr="007E6958">
        <w:t xml:space="preserve"> que tengan repercusiones financieras y/o estratégicas</w:t>
      </w:r>
      <w:r w:rsidR="007D4DCD" w:rsidRPr="007E6958">
        <w:t xml:space="preserve"> significativas</w:t>
      </w:r>
      <w:r w:rsidRPr="007E6958">
        <w:t>, aplique los principios siguientes:</w:t>
      </w:r>
    </w:p>
    <w:p w14:paraId="418DD396" w14:textId="77777777" w:rsidR="00B6620B" w:rsidRPr="007E6958" w:rsidRDefault="00B6620B" w:rsidP="005C2258">
      <w:pPr>
        <w:pStyle w:val="enumlev1"/>
      </w:pPr>
      <w:r w:rsidRPr="007E6958">
        <w:t>i)</w:t>
      </w:r>
      <w:r w:rsidRPr="007E6958">
        <w:tab/>
        <w:t xml:space="preserve">que toda intervención del </w:t>
      </w:r>
      <w:proofErr w:type="gramStart"/>
      <w:r w:rsidRPr="007E6958">
        <w:t>Secretario General</w:t>
      </w:r>
      <w:proofErr w:type="gramEnd"/>
      <w:r w:rsidRPr="007E6958">
        <w:t xml:space="preserve"> en este sentido contribuya al objeto de la Unión especificado en el Artículo 1 de la Constitución, sea acorde con él y se inscriba dentro de los Planes Estratégico y Financiero de la Unión;</w:t>
      </w:r>
    </w:p>
    <w:p w14:paraId="78FAED2B" w14:textId="7AF90A75" w:rsidR="00B6620B" w:rsidRPr="007E6958" w:rsidRDefault="00B6620B" w:rsidP="005C2258">
      <w:pPr>
        <w:pStyle w:val="enumlev1"/>
      </w:pPr>
      <w:proofErr w:type="spellStart"/>
      <w:r w:rsidRPr="007E6958">
        <w:t>ii</w:t>
      </w:r>
      <w:proofErr w:type="spellEnd"/>
      <w:r w:rsidRPr="007E6958">
        <w:t>)</w:t>
      </w:r>
      <w:r w:rsidRPr="007E6958">
        <w:tab/>
        <w:t xml:space="preserve">que se mantenga informados a los Estados Miembros y a los Miembros de Sector de las actividades de la UIT cuando concierte </w:t>
      </w:r>
      <w:proofErr w:type="spellStart"/>
      <w:r w:rsidRPr="007E6958">
        <w:t>MoU</w:t>
      </w:r>
      <w:proofErr w:type="spellEnd"/>
      <w:r w:rsidRPr="007E6958">
        <w:t xml:space="preserve"> que tengan repercusiones financieras y/o estratégicas sustanciales;</w:t>
      </w:r>
    </w:p>
    <w:p w14:paraId="4D6975FE" w14:textId="3189C530" w:rsidR="00B6620B" w:rsidRPr="007E6958" w:rsidRDefault="00B6620B" w:rsidP="005C2258">
      <w:pPr>
        <w:pStyle w:val="enumlev1"/>
      </w:pPr>
      <w:proofErr w:type="spellStart"/>
      <w:r w:rsidRPr="007E6958">
        <w:t>iii</w:t>
      </w:r>
      <w:proofErr w:type="spellEnd"/>
      <w:r w:rsidRPr="007E6958">
        <w:t>)</w:t>
      </w:r>
      <w:r w:rsidRPr="007E6958">
        <w:tab/>
        <w:t>que se respeten y preserven plenamente la soberanía y los derechos de los Estados Miembros de la UIT</w:t>
      </w:r>
      <w:r w:rsidR="005C2258" w:rsidRPr="007E6958">
        <w:t>,</w:t>
      </w:r>
    </w:p>
    <w:p w14:paraId="142022D0" w14:textId="5B7214A4" w:rsidR="00B6620B" w:rsidRPr="007E6958" w:rsidRDefault="00B6620B" w:rsidP="005C2258">
      <w:pPr>
        <w:rPr>
          <w:rFonts w:asciiTheme="minorHAnsi" w:hAnsiTheme="minorHAnsi" w:cstheme="minorHAnsi"/>
          <w:sz w:val="22"/>
        </w:rPr>
      </w:pPr>
      <w:r w:rsidRPr="007E6958">
        <w:t>6</w:t>
      </w:r>
      <w:r w:rsidRPr="007E6958">
        <w:tab/>
        <w:t>que la actividad anteriormente descrita figure en el Informe del Consejo a la Conferencia de Plenipotenciarios sobre la aplicación del Plan Estratégico y las actividades de la Unión.</w:t>
      </w:r>
    </w:p>
    <w:p w14:paraId="7E28AD0E" w14:textId="19F65B3F" w:rsidR="00B6620B" w:rsidRPr="007E6958" w:rsidRDefault="00B6620B" w:rsidP="00587ADA">
      <w:pPr>
        <w:pStyle w:val="AnnexNo"/>
      </w:pPr>
      <w:r w:rsidRPr="007E6958">
        <w:t>ANEXO 1</w:t>
      </w:r>
    </w:p>
    <w:p w14:paraId="7983E8FE" w14:textId="00B7EB0F" w:rsidR="00B6620B" w:rsidRPr="007E6958" w:rsidRDefault="00B6620B" w:rsidP="00B6620B">
      <w:pPr>
        <w:pStyle w:val="Annextitle"/>
      </w:pPr>
      <w:r w:rsidRPr="007E6958">
        <w:t xml:space="preserve">Criterios y directrices para la participación de la UIT en </w:t>
      </w:r>
      <w:proofErr w:type="spellStart"/>
      <w:r w:rsidRPr="007E6958">
        <w:t>MoU</w:t>
      </w:r>
      <w:proofErr w:type="spellEnd"/>
      <w:r w:rsidRPr="007E6958">
        <w:t xml:space="preserve"> con </w:t>
      </w:r>
      <w:r w:rsidR="007E6958" w:rsidRPr="007E6958">
        <w:br/>
      </w:r>
      <w:r w:rsidR="00BA7509" w:rsidRPr="007E6958">
        <w:t>repercusiones</w:t>
      </w:r>
      <w:r w:rsidRPr="007E6958">
        <w:t xml:space="preserve"> financieras y/o estratégicas</w:t>
      </w:r>
      <w:r w:rsidR="007D4DCD" w:rsidRPr="007E6958">
        <w:t xml:space="preserve"> significativas</w:t>
      </w:r>
    </w:p>
    <w:p w14:paraId="548E62AA" w14:textId="77777777" w:rsidR="00B6620B" w:rsidRPr="007E6958" w:rsidRDefault="00B6620B" w:rsidP="005C2258">
      <w:pPr>
        <w:pStyle w:val="Heading1"/>
        <w:rPr>
          <w:rFonts w:eastAsiaTheme="minorEastAsia"/>
        </w:rPr>
      </w:pPr>
      <w:r w:rsidRPr="007E6958">
        <w:t>1</w:t>
      </w:r>
      <w:r w:rsidRPr="007E6958">
        <w:tab/>
      </w:r>
      <w:proofErr w:type="gramStart"/>
      <w:r w:rsidRPr="007E6958">
        <w:t>Aplicabilidad</w:t>
      </w:r>
      <w:proofErr w:type="gramEnd"/>
    </w:p>
    <w:p w14:paraId="756C007A" w14:textId="1E07A834" w:rsidR="00B6620B" w:rsidRPr="007E6958" w:rsidRDefault="00B6620B" w:rsidP="005C2258">
      <w:r w:rsidRPr="007E6958">
        <w:rPr>
          <w:rFonts w:asciiTheme="minorHAnsi" w:hAnsiTheme="minorHAnsi"/>
          <w:szCs w:val="24"/>
        </w:rPr>
        <w:t xml:space="preserve">Los presentes </w:t>
      </w:r>
      <w:r w:rsidRPr="007E6958">
        <w:t xml:space="preserve">criterios permitirán a la UIT, para los Memorandos de Entendimiento y los instrumentos similares (en adelante, </w:t>
      </w:r>
      <w:proofErr w:type="spellStart"/>
      <w:r w:rsidRPr="007E6958">
        <w:t>MoU</w:t>
      </w:r>
      <w:proofErr w:type="spellEnd"/>
      <w:r w:rsidRPr="007E6958">
        <w:t xml:space="preserve">) que vayan a contar con la participación de la UIT, identificar los </w:t>
      </w:r>
      <w:proofErr w:type="spellStart"/>
      <w:r w:rsidRPr="007E6958">
        <w:t>MoU</w:t>
      </w:r>
      <w:proofErr w:type="spellEnd"/>
      <w:r w:rsidRPr="007E6958">
        <w:t xml:space="preserve"> que tengan </w:t>
      </w:r>
      <w:r w:rsidR="00BA7509" w:rsidRPr="007E6958">
        <w:t>repercusiones</w:t>
      </w:r>
      <w:r w:rsidRPr="007E6958">
        <w:t xml:space="preserve"> financieras y/o estratégicas significativas. Para estos </w:t>
      </w:r>
      <w:proofErr w:type="spellStart"/>
      <w:r w:rsidRPr="007E6958">
        <w:t>MoU</w:t>
      </w:r>
      <w:proofErr w:type="spellEnd"/>
      <w:r w:rsidRPr="007E6958">
        <w:t xml:space="preserve">, las directrices describen cómo la UIT </w:t>
      </w:r>
      <w:r w:rsidR="00956CD8" w:rsidRPr="007E6958">
        <w:t xml:space="preserve">los someterá al examen del Consejo y se ajustará a </w:t>
      </w:r>
      <w:r w:rsidRPr="007E6958">
        <w:t xml:space="preserve">la orientación </w:t>
      </w:r>
      <w:r w:rsidR="00956CD8" w:rsidRPr="007E6958">
        <w:t xml:space="preserve">que </w:t>
      </w:r>
      <w:r w:rsidR="00E60AB7" w:rsidRPr="00E60AB7">
        <w:t>e</w:t>
      </w:r>
      <w:r w:rsidR="00956CD8" w:rsidRPr="00E60AB7">
        <w:t>ste determine</w:t>
      </w:r>
      <w:r w:rsidRPr="007E6958">
        <w:t xml:space="preserve"> antes de su firma, de acuerdo con la directriz 4.4 </w:t>
      </w:r>
      <w:r w:rsidR="00956CD8" w:rsidRPr="007E6958">
        <w:t>siguiente</w:t>
      </w:r>
      <w:r w:rsidRPr="007E6958">
        <w:t>. Estos criterios y directrices no se aplican a los acuerdos</w:t>
      </w:r>
      <w:r w:rsidRPr="007E6958">
        <w:rPr>
          <w:color w:val="000000"/>
        </w:rPr>
        <w:t xml:space="preserve"> de </w:t>
      </w:r>
      <w:r w:rsidR="00956CD8" w:rsidRPr="007E6958">
        <w:rPr>
          <w:color w:val="000000"/>
        </w:rPr>
        <w:t>amortización</w:t>
      </w:r>
      <w:r w:rsidRPr="007E6958">
        <w:rPr>
          <w:color w:val="000000"/>
        </w:rPr>
        <w:t xml:space="preserve">, las concesiones de licencia, los acuerdos de distribución de publicaciones, los acuerdos relativos a temas de personal, los contratos para la adquisición o el alquiler de bienes, trabajos o servicios por la UIT ni a los </w:t>
      </w:r>
      <w:proofErr w:type="spellStart"/>
      <w:r w:rsidRPr="007E6958">
        <w:rPr>
          <w:color w:val="000000"/>
        </w:rPr>
        <w:t>MoU</w:t>
      </w:r>
      <w:proofErr w:type="spellEnd"/>
      <w:r w:rsidRPr="007E6958">
        <w:rPr>
          <w:color w:val="000000"/>
        </w:rPr>
        <w:t xml:space="preserve"> en los que participa la UIT que no tienen unas </w:t>
      </w:r>
      <w:r w:rsidR="00BA7509" w:rsidRPr="007E6958">
        <w:rPr>
          <w:color w:val="000000"/>
        </w:rPr>
        <w:t>repercusiones</w:t>
      </w:r>
      <w:r w:rsidRPr="007E6958">
        <w:rPr>
          <w:color w:val="000000"/>
        </w:rPr>
        <w:t xml:space="preserve"> financieras y/o estratégicas significativas</w:t>
      </w:r>
      <w:r w:rsidRPr="007E6958">
        <w:t xml:space="preserve"> y no necesitan el examen y la orientación del Consejo.</w:t>
      </w:r>
    </w:p>
    <w:p w14:paraId="4B5B37AA" w14:textId="77777777" w:rsidR="00B6620B" w:rsidRPr="007E6958" w:rsidRDefault="00B6620B" w:rsidP="005C2258">
      <w:pPr>
        <w:pStyle w:val="Heading1"/>
      </w:pPr>
      <w:r w:rsidRPr="007E6958">
        <w:t>2</w:t>
      </w:r>
      <w:r w:rsidRPr="007E6958">
        <w:tab/>
      </w:r>
      <w:proofErr w:type="gramStart"/>
      <w:r w:rsidRPr="007E6958">
        <w:t>Principios</w:t>
      </w:r>
      <w:proofErr w:type="gramEnd"/>
      <w:r w:rsidRPr="007E6958">
        <w:t xml:space="preserve"> rectores</w:t>
      </w:r>
    </w:p>
    <w:p w14:paraId="05734B9B" w14:textId="04BEFCF8" w:rsidR="00B6620B" w:rsidRPr="007E6958" w:rsidRDefault="00B6620B" w:rsidP="005C2258">
      <w:r w:rsidRPr="007E6958">
        <w:t>Los criterios y directrices que figuran en el presente Anexo han sido formulados con arreglo a los siguientes principios:</w:t>
      </w:r>
    </w:p>
    <w:p w14:paraId="33281A6E" w14:textId="62298669" w:rsidR="00B6620B" w:rsidRPr="007E6958" w:rsidRDefault="00B6620B" w:rsidP="005C2258">
      <w:pPr>
        <w:pStyle w:val="enumlev1"/>
      </w:pPr>
      <w:r w:rsidRPr="007E6958">
        <w:t>1)</w:t>
      </w:r>
      <w:r w:rsidRPr="007E6958">
        <w:tab/>
        <w:t xml:space="preserve">que toda participación de la UIT en un </w:t>
      </w:r>
      <w:proofErr w:type="spellStart"/>
      <w:r w:rsidRPr="007E6958">
        <w:t>MoU</w:t>
      </w:r>
      <w:proofErr w:type="spellEnd"/>
      <w:r w:rsidRPr="007E6958">
        <w:t xml:space="preserve"> contribuya al objeto de la Unión, especificado en el Artículo 1 de la Constitución, sea acorde con él y se inscriba dentro de los Planes Estratégico, Operacional y Financiero de la Unión;</w:t>
      </w:r>
    </w:p>
    <w:p w14:paraId="248AAC61" w14:textId="6E164661" w:rsidR="00B6620B" w:rsidRPr="007E6958" w:rsidRDefault="00B6620B" w:rsidP="005C2258">
      <w:pPr>
        <w:pStyle w:val="enumlev1"/>
      </w:pPr>
      <w:r w:rsidRPr="007E6958">
        <w:lastRenderedPageBreak/>
        <w:t>2)</w:t>
      </w:r>
      <w:r w:rsidRPr="007E6958">
        <w:tab/>
        <w:t xml:space="preserve">que se mantenga informados a los Estados Miembros y a los Miembros de Sector interesados de las actividades de la UIT cuando participe en </w:t>
      </w:r>
      <w:proofErr w:type="spellStart"/>
      <w:r w:rsidRPr="007E6958">
        <w:t>MoU</w:t>
      </w:r>
      <w:proofErr w:type="spellEnd"/>
      <w:r w:rsidRPr="007E6958">
        <w:t>, incluidos aquellos que tengan repercusiones financieras y/o estratégicas; y</w:t>
      </w:r>
    </w:p>
    <w:p w14:paraId="7703C47A" w14:textId="6796E814" w:rsidR="00B6620B" w:rsidRPr="007E6958" w:rsidRDefault="00B6620B" w:rsidP="005C2258">
      <w:pPr>
        <w:pStyle w:val="enumlev1"/>
      </w:pPr>
      <w:r w:rsidRPr="007E6958">
        <w:t>3)</w:t>
      </w:r>
      <w:r w:rsidRPr="007E6958">
        <w:tab/>
        <w:t>que se respeten y preserven plenamente la soberanía y los derechos de los Estados Miembros de la UIT.</w:t>
      </w:r>
    </w:p>
    <w:p w14:paraId="669561D9" w14:textId="5CA4FFC5" w:rsidR="00B6620B" w:rsidRPr="007E6958" w:rsidRDefault="00B6620B" w:rsidP="005C2258">
      <w:pPr>
        <w:pStyle w:val="Heading1"/>
      </w:pPr>
      <w:r w:rsidRPr="007E6958">
        <w:t>3</w:t>
      </w:r>
      <w:r w:rsidRPr="007E6958">
        <w:tab/>
      </w:r>
      <w:proofErr w:type="gramStart"/>
      <w:r w:rsidRPr="007E6958">
        <w:t>Criterios</w:t>
      </w:r>
      <w:proofErr w:type="gramEnd"/>
      <w:r w:rsidRPr="007E6958">
        <w:t xml:space="preserve"> para evaluar las </w:t>
      </w:r>
      <w:r w:rsidR="00BA7509" w:rsidRPr="007E6958">
        <w:t>repercusiones</w:t>
      </w:r>
      <w:r w:rsidRPr="007E6958">
        <w:t xml:space="preserve"> financieras y/o estratégicas</w:t>
      </w:r>
      <w:r w:rsidR="007D4DCD" w:rsidRPr="007E6958">
        <w:t xml:space="preserve"> significativas</w:t>
      </w:r>
    </w:p>
    <w:p w14:paraId="0BD7A078" w14:textId="36BC0CE6" w:rsidR="00B6620B" w:rsidRPr="007E6958" w:rsidRDefault="00B6620B" w:rsidP="005C2258">
      <w:r w:rsidRPr="007E6958">
        <w:t>3.1</w:t>
      </w:r>
      <w:r w:rsidRPr="007E6958">
        <w:tab/>
        <w:t xml:space="preserve">Se considerará que un </w:t>
      </w:r>
      <w:proofErr w:type="spellStart"/>
      <w:r w:rsidRPr="007E6958">
        <w:t>MoU</w:t>
      </w:r>
      <w:proofErr w:type="spellEnd"/>
      <w:r w:rsidRPr="007E6958">
        <w:t xml:space="preserve"> tiene </w:t>
      </w:r>
      <w:r w:rsidR="00BA7509" w:rsidRPr="007E6958">
        <w:t>repercusiones</w:t>
      </w:r>
      <w:r w:rsidRPr="007E6958">
        <w:t xml:space="preserve"> financieras y/o estratégicas</w:t>
      </w:r>
      <w:r w:rsidR="007D4DCD" w:rsidRPr="007E6958">
        <w:t xml:space="preserve"> </w:t>
      </w:r>
      <w:r w:rsidR="002F55FE" w:rsidRPr="007E6958">
        <w:t>significativas si</w:t>
      </w:r>
      <w:r w:rsidRPr="007E6958">
        <w:t xml:space="preserve"> se cumple alguno de los siguientes criterios:</w:t>
      </w:r>
    </w:p>
    <w:p w14:paraId="6A33DEE1" w14:textId="3F124CFD" w:rsidR="00B6620B" w:rsidRPr="007E6958" w:rsidRDefault="00B6620B" w:rsidP="005C2258">
      <w:pPr>
        <w:pStyle w:val="enumlev1"/>
      </w:pPr>
      <w:r w:rsidRPr="007E6958">
        <w:t>a)</w:t>
      </w:r>
      <w:r w:rsidRPr="007E6958">
        <w:tab/>
        <w:t xml:space="preserve">la participación de la UIT en el </w:t>
      </w:r>
      <w:proofErr w:type="spellStart"/>
      <w:r w:rsidRPr="007E6958">
        <w:t>MoU</w:t>
      </w:r>
      <w:proofErr w:type="spellEnd"/>
      <w:r w:rsidRPr="007E6958">
        <w:t xml:space="preserve"> impondría a la UIT la realización de gasto</w:t>
      </w:r>
      <w:r w:rsidR="001A5F30" w:rsidRPr="007E6958">
        <w:t>s por importes</w:t>
      </w:r>
      <w:r w:rsidRPr="007E6958">
        <w:t xml:space="preserve"> que desequilibr</w:t>
      </w:r>
      <w:r w:rsidR="001A5F30" w:rsidRPr="007E6958">
        <w:t>arían el</w:t>
      </w:r>
      <w:r w:rsidRPr="007E6958">
        <w:t xml:space="preserve"> presupuest</w:t>
      </w:r>
      <w:r w:rsidR="001A5F30" w:rsidRPr="007E6958">
        <w:t>o</w:t>
      </w:r>
      <w:r w:rsidRPr="007E6958">
        <w:t>;</w:t>
      </w:r>
    </w:p>
    <w:p w14:paraId="62FA3BEC" w14:textId="3C205DE0" w:rsidR="00B6620B" w:rsidRPr="007E6958" w:rsidRDefault="00B6620B" w:rsidP="005C2258">
      <w:pPr>
        <w:pStyle w:val="enumlev1"/>
      </w:pPr>
      <w:r w:rsidRPr="007E6958">
        <w:t>b)</w:t>
      </w:r>
      <w:r w:rsidRPr="007E6958">
        <w:tab/>
        <w:t>la UIT asum</w:t>
      </w:r>
      <w:r w:rsidR="001A5F30" w:rsidRPr="007E6958">
        <w:t>iría</w:t>
      </w:r>
      <w:r w:rsidRPr="007E6958">
        <w:t xml:space="preserve"> una responsabilidad, ya sea en nombre propio o en representación de </w:t>
      </w:r>
      <w:r w:rsidRPr="007E6958">
        <w:rPr>
          <w:cs/>
        </w:rPr>
        <w:t>‎</w:t>
      </w:r>
      <w:r w:rsidRPr="007E6958">
        <w:t xml:space="preserve">otra de las partes en el </w:t>
      </w:r>
      <w:proofErr w:type="spellStart"/>
      <w:r w:rsidRPr="007E6958">
        <w:t>MoU</w:t>
      </w:r>
      <w:proofErr w:type="spellEnd"/>
      <w:r w:rsidRPr="007E6958">
        <w:t>, que le impediría mantenerse dentro del presupuesto autorizado y aprobado o le impediría alcanzar los objetivos contenidos en los Planes Estratégico u Operacional;</w:t>
      </w:r>
    </w:p>
    <w:p w14:paraId="34D9B2F0" w14:textId="40BE3DA8" w:rsidR="00B6620B" w:rsidRPr="007E6958" w:rsidRDefault="00B6620B" w:rsidP="005C2258">
      <w:pPr>
        <w:pStyle w:val="enumlev1"/>
      </w:pPr>
      <w:r w:rsidRPr="007E6958">
        <w:rPr>
          <w:rFonts w:asciiTheme="minorHAnsi" w:hAnsiTheme="minorHAnsi" w:cstheme="minorHAnsi"/>
          <w:sz w:val="32"/>
          <w:szCs w:val="24"/>
          <w:cs/>
        </w:rPr>
        <w:t>c)</w:t>
      </w:r>
      <w:r w:rsidRPr="007E6958">
        <w:rPr>
          <w:rFonts w:asciiTheme="minorHAnsi" w:hAnsiTheme="minorHAnsi" w:cstheme="minorHAnsi"/>
          <w:sz w:val="32"/>
          <w:szCs w:val="24"/>
          <w:cs/>
        </w:rPr>
        <w:tab/>
      </w:r>
      <w:r w:rsidRPr="007E6958">
        <w:t>el nivel de personal o de otros recursos que la UIT debe</w:t>
      </w:r>
      <w:r w:rsidR="001A5F30" w:rsidRPr="007E6958">
        <w:t>ría</w:t>
      </w:r>
      <w:r w:rsidRPr="007E6958">
        <w:t xml:space="preserve"> desviar de actividades necesarias para la ejecución de proyectos y actividades incluidos en los Planes Estratégico y Operacional o el calendario de trabajo que la UIT ha</w:t>
      </w:r>
      <w:r w:rsidR="001A5F30" w:rsidRPr="007E6958">
        <w:t>bría</w:t>
      </w:r>
      <w:r w:rsidRPr="007E6958">
        <w:t xml:space="preserve"> de cumplir con el fin de participar en el </w:t>
      </w:r>
      <w:proofErr w:type="spellStart"/>
      <w:r w:rsidRPr="007E6958">
        <w:t>MoU</w:t>
      </w:r>
      <w:proofErr w:type="spellEnd"/>
      <w:r w:rsidRPr="007E6958">
        <w:t xml:space="preserve"> superarían los presupuestos autorizados y aprobados o </w:t>
      </w:r>
      <w:r w:rsidRPr="007E6958">
        <w:rPr>
          <w:cs/>
        </w:rPr>
        <w:t>‎</w:t>
      </w:r>
      <w:r w:rsidRPr="007E6958">
        <w:t xml:space="preserve">mermarían </w:t>
      </w:r>
      <w:r w:rsidR="001A5F30" w:rsidRPr="007E6958">
        <w:t>la</w:t>
      </w:r>
      <w:r w:rsidRPr="007E6958">
        <w:t xml:space="preserve"> capacidad</w:t>
      </w:r>
      <w:r w:rsidR="001A5F30" w:rsidRPr="007E6958">
        <w:t xml:space="preserve"> de la UIT</w:t>
      </w:r>
      <w:r w:rsidRPr="007E6958">
        <w:t xml:space="preserve"> para alcanzar los objetivos estipulados en los Planes Estratégico y Operacional; o</w:t>
      </w:r>
    </w:p>
    <w:p w14:paraId="1EB271BD" w14:textId="3B564E48" w:rsidR="00B6620B" w:rsidRPr="007E6958" w:rsidRDefault="00B6620B" w:rsidP="005C2258">
      <w:pPr>
        <w:pStyle w:val="enumlev1"/>
      </w:pPr>
      <w:r w:rsidRPr="007E6958">
        <w:t>d)</w:t>
      </w:r>
      <w:r w:rsidRPr="007E6958">
        <w:tab/>
        <w:t xml:space="preserve">la participación de la UIT en el </w:t>
      </w:r>
      <w:proofErr w:type="spellStart"/>
      <w:r w:rsidRPr="007E6958">
        <w:t>MoU</w:t>
      </w:r>
      <w:proofErr w:type="spellEnd"/>
      <w:r w:rsidRPr="007E6958">
        <w:t xml:space="preserve"> excedería claramente el mandato de la UIT de acuerdo con la Constitución, el Convenio y las Resoluciones, o los Planes Financiero, Operacional o Estratégico de la Unión.</w:t>
      </w:r>
    </w:p>
    <w:p w14:paraId="3EC21D40" w14:textId="3905B9D5" w:rsidR="00B6620B" w:rsidRPr="007E6958" w:rsidRDefault="00B6620B" w:rsidP="005C2258">
      <w:pPr>
        <w:tabs>
          <w:tab w:val="clear" w:pos="567"/>
          <w:tab w:val="left" w:pos="709"/>
        </w:tabs>
      </w:pPr>
      <w:r w:rsidRPr="007E6958">
        <w:t>3.2</w:t>
      </w:r>
      <w:r w:rsidRPr="007E6958">
        <w:tab/>
        <w:t>Además, el</w:t>
      </w:r>
      <w:r w:rsidR="001A5F30" w:rsidRPr="007E6958">
        <w:t>/la</w:t>
      </w:r>
      <w:r w:rsidRPr="007E6958">
        <w:t xml:space="preserve"> </w:t>
      </w:r>
      <w:proofErr w:type="gramStart"/>
      <w:r w:rsidRPr="007E6958">
        <w:t>Secretario</w:t>
      </w:r>
      <w:proofErr w:type="gramEnd"/>
      <w:r w:rsidR="001A5F30" w:rsidRPr="007E6958">
        <w:t>/a</w:t>
      </w:r>
      <w:r w:rsidRPr="007E6958">
        <w:t xml:space="preserve"> General debe someter a la consideración del Consejo los </w:t>
      </w:r>
      <w:proofErr w:type="spellStart"/>
      <w:r w:rsidRPr="007E6958">
        <w:t>MoU</w:t>
      </w:r>
      <w:proofErr w:type="spellEnd"/>
      <w:r w:rsidRPr="007E6958">
        <w:t xml:space="preserve"> propuestos si considera que plantean cuestiones estratégicas o financieras muy sensibles, incluso cuando no se cumple ninguno de los criterios anteriores.</w:t>
      </w:r>
    </w:p>
    <w:p w14:paraId="37E905EE" w14:textId="27AEEB0B" w:rsidR="00B6620B" w:rsidRPr="007E6958" w:rsidRDefault="00B6620B" w:rsidP="005C2258">
      <w:pPr>
        <w:pStyle w:val="Heading1"/>
      </w:pPr>
      <w:r w:rsidRPr="007E6958">
        <w:t>4</w:t>
      </w:r>
      <w:r w:rsidRPr="007E6958">
        <w:tab/>
      </w:r>
      <w:proofErr w:type="gramStart"/>
      <w:r w:rsidRPr="007E6958">
        <w:t>Directrices</w:t>
      </w:r>
      <w:proofErr w:type="gramEnd"/>
      <w:r w:rsidRPr="007E6958">
        <w:t xml:space="preserve"> para </w:t>
      </w:r>
      <w:r w:rsidR="00696355" w:rsidRPr="007E6958">
        <w:t>el examen por el Consejo</w:t>
      </w:r>
      <w:r w:rsidRPr="007E6958">
        <w:t xml:space="preserve"> de la participación de la UIT en </w:t>
      </w:r>
      <w:proofErr w:type="spellStart"/>
      <w:r w:rsidRPr="007E6958">
        <w:t>MoU</w:t>
      </w:r>
      <w:proofErr w:type="spellEnd"/>
      <w:r w:rsidRPr="007E6958">
        <w:t xml:space="preserve"> con </w:t>
      </w:r>
      <w:r w:rsidR="00BA7509" w:rsidRPr="007E6958">
        <w:t>repercusiones</w:t>
      </w:r>
      <w:r w:rsidRPr="007E6958">
        <w:t xml:space="preserve"> financieras y/o estratégicas</w:t>
      </w:r>
      <w:r w:rsidR="007D4DCD" w:rsidRPr="007E6958">
        <w:t xml:space="preserve"> significativas</w:t>
      </w:r>
      <w:r w:rsidR="00696355" w:rsidRPr="007E6958">
        <w:t xml:space="preserve"> y la formulación de orientaciones al respecto</w:t>
      </w:r>
    </w:p>
    <w:p w14:paraId="01954199" w14:textId="34D8FC2A" w:rsidR="00B6620B" w:rsidRPr="007E6958" w:rsidRDefault="00696355" w:rsidP="005C2258">
      <w:r w:rsidRPr="007E6958">
        <w:t>S</w:t>
      </w:r>
      <w:r w:rsidR="00E60AB7">
        <w:t>o</w:t>
      </w:r>
      <w:r w:rsidRPr="007E6958">
        <w:t>lo cuando los</w:t>
      </w:r>
      <w:r w:rsidR="00B6620B" w:rsidRPr="007E6958">
        <w:t xml:space="preserve"> </w:t>
      </w:r>
      <w:proofErr w:type="spellStart"/>
      <w:r w:rsidR="00B6620B" w:rsidRPr="007E6958">
        <w:t>MoU</w:t>
      </w:r>
      <w:proofErr w:type="spellEnd"/>
      <w:r w:rsidR="00B6620B" w:rsidRPr="007E6958">
        <w:t xml:space="preserve"> tenga</w:t>
      </w:r>
      <w:r w:rsidRPr="007E6958">
        <w:t>n</w:t>
      </w:r>
      <w:r w:rsidR="00B6620B" w:rsidRPr="007E6958">
        <w:t xml:space="preserve"> </w:t>
      </w:r>
      <w:r w:rsidR="00BA7509" w:rsidRPr="007E6958">
        <w:t>repercusiones</w:t>
      </w:r>
      <w:r w:rsidR="00B6620B" w:rsidRPr="007E6958">
        <w:t xml:space="preserve"> financieras y/o estratégicas </w:t>
      </w:r>
      <w:r w:rsidR="007D4DCD" w:rsidRPr="007E6958">
        <w:t xml:space="preserve">significativas </w:t>
      </w:r>
      <w:r w:rsidR="00B6620B" w:rsidRPr="007E6958">
        <w:t xml:space="preserve">de conformidad con los criterios enumerados en 3 </w:t>
      </w:r>
      <w:r w:rsidR="00B6620B" w:rsidRPr="007E6958">
        <w:rPr>
          <w:i/>
          <w:iCs/>
        </w:rPr>
        <w:t>supra</w:t>
      </w:r>
      <w:r w:rsidRPr="007E6958">
        <w:rPr>
          <w:i/>
          <w:iCs/>
        </w:rPr>
        <w:t xml:space="preserve"> </w:t>
      </w:r>
      <w:r w:rsidRPr="007E6958">
        <w:t>se deben aplicar las siguientes directrices para que el Consejo examine la participación de la UIT en ellos y formule las orientaciones correspondientes</w:t>
      </w:r>
      <w:r w:rsidR="00B6620B" w:rsidRPr="007E6958">
        <w:t>:</w:t>
      </w:r>
    </w:p>
    <w:p w14:paraId="56023EA8" w14:textId="282C447D" w:rsidR="00B6620B" w:rsidRPr="007E6958" w:rsidRDefault="00B6620B" w:rsidP="005C2258">
      <w:pPr>
        <w:pStyle w:val="enumlev1"/>
      </w:pPr>
      <w:r w:rsidRPr="007E6958">
        <w:t>1)</w:t>
      </w:r>
      <w:r w:rsidRPr="007E6958">
        <w:tab/>
        <w:t xml:space="preserve">el </w:t>
      </w:r>
      <w:proofErr w:type="gramStart"/>
      <w:r w:rsidRPr="007E6958">
        <w:t>Secretario General</w:t>
      </w:r>
      <w:proofErr w:type="gramEnd"/>
      <w:r w:rsidRPr="007E6958">
        <w:t xml:space="preserve">, de conformidad con esta Resolución, evaluará si el </w:t>
      </w:r>
      <w:proofErr w:type="spellStart"/>
      <w:r w:rsidRPr="007E6958">
        <w:t>MoU</w:t>
      </w:r>
      <w:proofErr w:type="spellEnd"/>
      <w:r w:rsidRPr="007E6958">
        <w:t xml:space="preserve"> propuesto cumple los criterios anteriormente descritos para determinar si un </w:t>
      </w:r>
      <w:proofErr w:type="spellStart"/>
      <w:r w:rsidRPr="007E6958">
        <w:t>MoU</w:t>
      </w:r>
      <w:proofErr w:type="spellEnd"/>
      <w:r w:rsidRPr="007E6958">
        <w:t xml:space="preserve"> tiene repercusiones estratégicas y/o financieras significativas;</w:t>
      </w:r>
    </w:p>
    <w:p w14:paraId="2F2A9617" w14:textId="303926C1" w:rsidR="00B6620B" w:rsidRPr="007E6958" w:rsidRDefault="00B6620B" w:rsidP="005C2258">
      <w:pPr>
        <w:pStyle w:val="enumlev1"/>
      </w:pPr>
      <w:r w:rsidRPr="007E6958">
        <w:t>2)</w:t>
      </w:r>
      <w:r w:rsidRPr="007E6958">
        <w:tab/>
        <w:t xml:space="preserve">cuando un </w:t>
      </w:r>
      <w:proofErr w:type="spellStart"/>
      <w:r w:rsidRPr="007E6958">
        <w:t>MoU</w:t>
      </w:r>
      <w:proofErr w:type="spellEnd"/>
      <w:r w:rsidRPr="007E6958">
        <w:t xml:space="preserve"> tenga repercusiones estratégicas y/o financieras significativas, el </w:t>
      </w:r>
      <w:proofErr w:type="gramStart"/>
      <w:r w:rsidRPr="007E6958">
        <w:t>Secretario General</w:t>
      </w:r>
      <w:proofErr w:type="gramEnd"/>
      <w:r w:rsidRPr="007E6958">
        <w:t xml:space="preserve"> elaborará un informe destinado al Consejo en el que describirá </w:t>
      </w:r>
      <w:r w:rsidR="00696355" w:rsidRPr="007E6958">
        <w:t>el</w:t>
      </w:r>
      <w:r w:rsidRPr="007E6958">
        <w:t xml:space="preserve"> </w:t>
      </w:r>
      <w:proofErr w:type="spellStart"/>
      <w:r w:rsidRPr="007E6958">
        <w:t>MoU</w:t>
      </w:r>
      <w:proofErr w:type="spellEnd"/>
      <w:r w:rsidR="00696355" w:rsidRPr="007E6958">
        <w:t xml:space="preserve"> propuesto</w:t>
      </w:r>
      <w:r w:rsidRPr="007E6958">
        <w:t xml:space="preserve">, las actividades que habría de llevar a cabo la UIT si participase en </w:t>
      </w:r>
      <w:r w:rsidR="00696355" w:rsidRPr="007E6958">
        <w:t>él</w:t>
      </w:r>
      <w:r w:rsidRPr="007E6958">
        <w:t xml:space="preserve">, las repercusiones estratégicas que esta participación podría tener, así como los recursos financieros y/o de </w:t>
      </w:r>
      <w:r w:rsidRPr="007E6958">
        <w:lastRenderedPageBreak/>
        <w:t xml:space="preserve">otra índole que la Unión tendría que invertir para cumplir con las obligaciones dimanantes del </w:t>
      </w:r>
      <w:proofErr w:type="spellStart"/>
      <w:r w:rsidRPr="007E6958">
        <w:t>MoU</w:t>
      </w:r>
      <w:proofErr w:type="spellEnd"/>
      <w:r w:rsidRPr="007E6958">
        <w:t xml:space="preserve"> propuesto. Además, se debe</w:t>
      </w:r>
      <w:r w:rsidR="00696355" w:rsidRPr="007E6958">
        <w:t>rá</w:t>
      </w:r>
      <w:r w:rsidRPr="007E6958">
        <w:t xml:space="preserve"> identificar la Oficina específica de la UIT o, en su caso, el Departamento de la Secretaría General responsable del </w:t>
      </w:r>
      <w:proofErr w:type="spellStart"/>
      <w:r w:rsidRPr="007E6958">
        <w:t>MoU</w:t>
      </w:r>
      <w:proofErr w:type="spellEnd"/>
      <w:r w:rsidRPr="007E6958">
        <w:t>;</w:t>
      </w:r>
    </w:p>
    <w:p w14:paraId="0FCCB43E" w14:textId="78DC4C91" w:rsidR="00B6620B" w:rsidRPr="007E6958" w:rsidRDefault="00B6620B" w:rsidP="005C2258">
      <w:pPr>
        <w:pStyle w:val="enumlev1"/>
        <w:rPr>
          <w:rFonts w:eastAsia="SimSun" w:cs="Arial"/>
        </w:rPr>
      </w:pPr>
      <w:r w:rsidRPr="007E6958">
        <w:t>3)</w:t>
      </w:r>
      <w:r w:rsidRPr="007E6958">
        <w:tab/>
        <w:t xml:space="preserve">el </w:t>
      </w:r>
      <w:proofErr w:type="gramStart"/>
      <w:r w:rsidRPr="007E6958">
        <w:t>Secretario General</w:t>
      </w:r>
      <w:proofErr w:type="gramEnd"/>
      <w:r w:rsidRPr="007E6958">
        <w:t xml:space="preserve"> someterá dicho informe a la </w:t>
      </w:r>
      <w:r w:rsidR="00B6683F" w:rsidRPr="007E6958">
        <w:t>siguiente reunión</w:t>
      </w:r>
      <w:r w:rsidRPr="007E6958">
        <w:t xml:space="preserve"> del Consejo para que </w:t>
      </w:r>
      <w:r w:rsidR="00E60AB7" w:rsidRPr="00E60AB7">
        <w:t>e</w:t>
      </w:r>
      <w:r w:rsidRPr="00E60AB7">
        <w:t>ste lo</w:t>
      </w:r>
      <w:r w:rsidRPr="007E6958">
        <w:t xml:space="preserve"> examine y formule sus orientaciones y, sobre la base de esas orientaciones</w:t>
      </w:r>
      <w:r w:rsidR="00B6683F" w:rsidRPr="007E6958">
        <w:t xml:space="preserve"> y previa aprobación del Consejo</w:t>
      </w:r>
      <w:r w:rsidRPr="007E6958">
        <w:t xml:space="preserve">, el Secretario General podrá suscribir el </w:t>
      </w:r>
      <w:proofErr w:type="spellStart"/>
      <w:r w:rsidRPr="007E6958">
        <w:t>MoU</w:t>
      </w:r>
      <w:proofErr w:type="spellEnd"/>
      <w:r w:rsidRPr="007E6958">
        <w:t xml:space="preserve"> en nombre de la Unión;</w:t>
      </w:r>
    </w:p>
    <w:p w14:paraId="3B2B77BB" w14:textId="6D7935DA" w:rsidR="00B6620B" w:rsidRPr="007E6958" w:rsidRDefault="00B6620B" w:rsidP="005C2258">
      <w:pPr>
        <w:pStyle w:val="enumlev1"/>
      </w:pPr>
      <w:r w:rsidRPr="007E6958">
        <w:t>4)</w:t>
      </w:r>
      <w:r w:rsidRPr="007E6958">
        <w:tab/>
        <w:t xml:space="preserve">si el </w:t>
      </w:r>
      <w:proofErr w:type="gramStart"/>
      <w:r w:rsidRPr="007E6958">
        <w:t>Secretario General</w:t>
      </w:r>
      <w:proofErr w:type="gramEnd"/>
      <w:r w:rsidRPr="007E6958">
        <w:t xml:space="preserve"> determina que razones demostrables de urgencia hacen necesaria la firma de un </w:t>
      </w:r>
      <w:proofErr w:type="spellStart"/>
      <w:r w:rsidRPr="007E6958">
        <w:t>MoU</w:t>
      </w:r>
      <w:proofErr w:type="spellEnd"/>
      <w:r w:rsidRPr="007E6958">
        <w:t xml:space="preserve"> antes de</w:t>
      </w:r>
      <w:r w:rsidR="00B6683F" w:rsidRPr="007E6958">
        <w:t xml:space="preserve"> que el Consejo lo examine y formule sus orientaciones al respecto</w:t>
      </w:r>
      <w:r w:rsidRPr="007E6958">
        <w:t>, el Secretario General</w:t>
      </w:r>
      <w:r w:rsidR="00B6683F" w:rsidRPr="007E6958">
        <w:t>, o su representante designado</w:t>
      </w:r>
      <w:r w:rsidRPr="007E6958">
        <w:t xml:space="preserve">, incorporará una disposición explícita en el </w:t>
      </w:r>
      <w:proofErr w:type="spellStart"/>
      <w:r w:rsidRPr="007E6958">
        <w:t>MoU</w:t>
      </w:r>
      <w:proofErr w:type="spellEnd"/>
      <w:r w:rsidRPr="007E6958">
        <w:t xml:space="preserve"> que permita su terminación o modificación con efectos inmediatos, indicando que el Consejo de la UIT puede </w:t>
      </w:r>
      <w:r w:rsidR="00B6683F" w:rsidRPr="007E6958">
        <w:t>exigir</w:t>
      </w:r>
      <w:r w:rsidRPr="007E6958">
        <w:t xml:space="preserve"> la terminación o modificación del </w:t>
      </w:r>
      <w:proofErr w:type="spellStart"/>
      <w:r w:rsidRPr="007E6958">
        <w:t>MoU</w:t>
      </w:r>
      <w:proofErr w:type="spellEnd"/>
      <w:r w:rsidRPr="007E6958">
        <w:t>;</w:t>
      </w:r>
    </w:p>
    <w:p w14:paraId="0D9D062C" w14:textId="5E13E714" w:rsidR="00B6620B" w:rsidRPr="007E6958" w:rsidRDefault="00B6620B" w:rsidP="005C2258">
      <w:pPr>
        <w:pStyle w:val="enumlev1"/>
        <w:keepNext/>
        <w:keepLines/>
      </w:pPr>
      <w:r w:rsidRPr="007E6958">
        <w:t>5)</w:t>
      </w:r>
      <w:r w:rsidRPr="007E6958">
        <w:tab/>
        <w:t xml:space="preserve">una vez concluidas las actividades contempladas en el </w:t>
      </w:r>
      <w:proofErr w:type="spellStart"/>
      <w:r w:rsidRPr="007E6958">
        <w:t>MoU</w:t>
      </w:r>
      <w:proofErr w:type="spellEnd"/>
      <w:r w:rsidRPr="007E6958">
        <w:t xml:space="preserve">, el </w:t>
      </w:r>
      <w:proofErr w:type="gramStart"/>
      <w:r w:rsidRPr="007E6958">
        <w:t>Secretario General</w:t>
      </w:r>
      <w:proofErr w:type="gramEnd"/>
      <w:r w:rsidRPr="007E6958">
        <w:t xml:space="preserve"> remitirá un informe al Consejo en el que describirá los resultados obtenidos, los recursos invertidos y, si los hubiese, los siguientes pasos que se ha previsto </w:t>
      </w:r>
      <w:r w:rsidR="00B6683F" w:rsidRPr="007E6958">
        <w:t>dar</w:t>
      </w:r>
      <w:r w:rsidRPr="007E6958">
        <w:t xml:space="preserve"> como resultado de la compleción del </w:t>
      </w:r>
      <w:proofErr w:type="spellStart"/>
      <w:r w:rsidRPr="007E6958">
        <w:t>MoU</w:t>
      </w:r>
      <w:proofErr w:type="spellEnd"/>
      <w:r w:rsidRPr="007E6958">
        <w:t>; y</w:t>
      </w:r>
    </w:p>
    <w:p w14:paraId="31A25219" w14:textId="3C94BFE9" w:rsidR="00DB6B91" w:rsidRPr="007E6958" w:rsidRDefault="006111FF" w:rsidP="005C2258">
      <w:r w:rsidRPr="007E6958">
        <w:t>a</w:t>
      </w:r>
      <w:r w:rsidR="00B6620B" w:rsidRPr="007E6958">
        <w:t xml:space="preserve">demás de estos informes, el </w:t>
      </w:r>
      <w:proofErr w:type="gramStart"/>
      <w:r w:rsidR="00B6620B" w:rsidRPr="007E6958">
        <w:t>Secretario General</w:t>
      </w:r>
      <w:proofErr w:type="gramEnd"/>
      <w:r w:rsidR="00B6620B" w:rsidRPr="007E6958">
        <w:t xml:space="preserve"> deberá presentar anualmente al Consejo una lista de todos los </w:t>
      </w:r>
      <w:proofErr w:type="spellStart"/>
      <w:r w:rsidR="00B6620B" w:rsidRPr="007E6958">
        <w:t>MoU</w:t>
      </w:r>
      <w:proofErr w:type="spellEnd"/>
      <w:r w:rsidR="00B6620B" w:rsidRPr="007E6958">
        <w:t xml:space="preserve"> vigentes y </w:t>
      </w:r>
      <w:r w:rsidRPr="007E6958">
        <w:t xml:space="preserve">de </w:t>
      </w:r>
      <w:r w:rsidR="00B6620B" w:rsidRPr="007E6958">
        <w:t>las actividades realizadas en virtud de los mismos.</w:t>
      </w:r>
    </w:p>
    <w:p w14:paraId="74EB6F1A" w14:textId="77777777" w:rsidR="005C2258" w:rsidRPr="007E6958" w:rsidRDefault="005C2258" w:rsidP="00411C49">
      <w:pPr>
        <w:pStyle w:val="Reasons"/>
      </w:pPr>
    </w:p>
    <w:p w14:paraId="071234FB" w14:textId="77777777" w:rsidR="005C2258" w:rsidRPr="007E6958" w:rsidRDefault="005C2258">
      <w:pPr>
        <w:jc w:val="center"/>
      </w:pPr>
      <w:r w:rsidRPr="007E6958">
        <w:t>______________</w:t>
      </w:r>
    </w:p>
    <w:sectPr w:rsidR="005C2258" w:rsidRPr="007E6958" w:rsidSect="00A70E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E5F3" w14:textId="77777777" w:rsidR="003849C9" w:rsidRDefault="003849C9">
      <w:r>
        <w:separator/>
      </w:r>
    </w:p>
  </w:endnote>
  <w:endnote w:type="continuationSeparator" w:id="0">
    <w:p w14:paraId="507A8D3B" w14:textId="77777777" w:rsidR="003849C9" w:rsidRDefault="0038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3360" w14:textId="77777777" w:rsidR="002873A6" w:rsidRDefault="00287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B2F6" w14:textId="7843DB42" w:rsidR="00BF58DC" w:rsidRPr="002873A6" w:rsidRDefault="00BF58DC" w:rsidP="002873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03F9" w14:textId="76B9312A"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Pr="00587ADA">
        <w:rPr>
          <w:rStyle w:val="Hyperlink"/>
          <w:sz w:val="22"/>
          <w:szCs w:val="22"/>
          <w:lang w:val="en-GB"/>
        </w:rPr>
        <w:t>www.itu.int/plenipotentiary/</w:t>
      </w:r>
    </w:hyperlink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3825" w14:textId="77777777" w:rsidR="003849C9" w:rsidRDefault="003849C9">
      <w:r>
        <w:t>____________________</w:t>
      </w:r>
    </w:p>
  </w:footnote>
  <w:footnote w:type="continuationSeparator" w:id="0">
    <w:p w14:paraId="2EDD8B5A" w14:textId="77777777" w:rsidR="003849C9" w:rsidRDefault="003849C9">
      <w:r>
        <w:continuationSeparator/>
      </w:r>
    </w:p>
  </w:footnote>
  <w:footnote w:id="1">
    <w:p w14:paraId="0AD487FF" w14:textId="3C71C79E" w:rsidR="00DB6B91" w:rsidRDefault="00DB6B91" w:rsidP="00DB6B91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>
        <w:rPr>
          <w:lang w:val="es-ES"/>
        </w:rPr>
        <w:t>En la presente Resolución el término "</w:t>
      </w:r>
      <w:proofErr w:type="spellStart"/>
      <w:r>
        <w:rPr>
          <w:lang w:val="es-ES"/>
        </w:rPr>
        <w:t>MoU</w:t>
      </w:r>
      <w:proofErr w:type="spellEnd"/>
      <w:r>
        <w:rPr>
          <w:lang w:val="es-ES"/>
        </w:rPr>
        <w:t>", comprende los Memorandos de Cooperación y los Memorandos de Acuerdo.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4FE5" w14:textId="77777777" w:rsidR="002873A6" w:rsidRDefault="00287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4C5F" w14:textId="59D90EA9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F55FE">
      <w:rPr>
        <w:noProof/>
      </w:rPr>
      <w:t>5</w:t>
    </w:r>
    <w:r>
      <w:fldChar w:fldCharType="end"/>
    </w:r>
  </w:p>
  <w:p w14:paraId="4EC5C95A" w14:textId="77777777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/76(Add.22)-</w:t>
    </w:r>
    <w:r w:rsidRPr="00010B43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43B5" w14:textId="77777777" w:rsidR="002873A6" w:rsidRDefault="00287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12D45"/>
    <w:multiLevelType w:val="hybridMultilevel"/>
    <w:tmpl w:val="40EE6C4C"/>
    <w:lvl w:ilvl="0" w:tplc="E3C6D5A2">
      <w:start w:val="1"/>
      <w:numFmt w:val="decimal"/>
      <w:lvlText w:val="%1"/>
      <w:lvlJc w:val="left"/>
      <w:pPr>
        <w:ind w:left="930" w:hanging="570"/>
      </w:pPr>
      <w:rPr>
        <w:rFonts w:ascii="Calibri" w:hAnsi="Calibri"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14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10546D"/>
    <w:rsid w:val="00135F93"/>
    <w:rsid w:val="001632E3"/>
    <w:rsid w:val="00183EED"/>
    <w:rsid w:val="001A5F30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873A6"/>
    <w:rsid w:val="0029190E"/>
    <w:rsid w:val="002923DE"/>
    <w:rsid w:val="00292D4E"/>
    <w:rsid w:val="002C6527"/>
    <w:rsid w:val="002E44FC"/>
    <w:rsid w:val="002F55FE"/>
    <w:rsid w:val="00347415"/>
    <w:rsid w:val="003707E5"/>
    <w:rsid w:val="00375610"/>
    <w:rsid w:val="003849C9"/>
    <w:rsid w:val="00391611"/>
    <w:rsid w:val="003D0027"/>
    <w:rsid w:val="003E6E73"/>
    <w:rsid w:val="00442521"/>
    <w:rsid w:val="00460034"/>
    <w:rsid w:val="004712AF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87ADA"/>
    <w:rsid w:val="005A33AD"/>
    <w:rsid w:val="005C2258"/>
    <w:rsid w:val="005D1164"/>
    <w:rsid w:val="005D6488"/>
    <w:rsid w:val="005F6278"/>
    <w:rsid w:val="00601280"/>
    <w:rsid w:val="006111FF"/>
    <w:rsid w:val="00641DBD"/>
    <w:rsid w:val="006426C0"/>
    <w:rsid w:val="006455D2"/>
    <w:rsid w:val="006537F3"/>
    <w:rsid w:val="00696355"/>
    <w:rsid w:val="006B5512"/>
    <w:rsid w:val="006C190D"/>
    <w:rsid w:val="007054BB"/>
    <w:rsid w:val="00720686"/>
    <w:rsid w:val="00737EFF"/>
    <w:rsid w:val="00750806"/>
    <w:rsid w:val="007605C2"/>
    <w:rsid w:val="007875D2"/>
    <w:rsid w:val="007D4DCD"/>
    <w:rsid w:val="007D61E2"/>
    <w:rsid w:val="007E6958"/>
    <w:rsid w:val="007F6EBC"/>
    <w:rsid w:val="00882773"/>
    <w:rsid w:val="008B4706"/>
    <w:rsid w:val="008B6676"/>
    <w:rsid w:val="008C3FA8"/>
    <w:rsid w:val="008E51C5"/>
    <w:rsid w:val="008F7109"/>
    <w:rsid w:val="00901F10"/>
    <w:rsid w:val="009107B0"/>
    <w:rsid w:val="009220DE"/>
    <w:rsid w:val="00930E84"/>
    <w:rsid w:val="00956CD8"/>
    <w:rsid w:val="0099270D"/>
    <w:rsid w:val="0099551E"/>
    <w:rsid w:val="0099719B"/>
    <w:rsid w:val="009A1A86"/>
    <w:rsid w:val="009C334B"/>
    <w:rsid w:val="009D1BE0"/>
    <w:rsid w:val="009E0C42"/>
    <w:rsid w:val="00A70E95"/>
    <w:rsid w:val="00AA1F73"/>
    <w:rsid w:val="00AB34CA"/>
    <w:rsid w:val="00AD400E"/>
    <w:rsid w:val="00AF0DC5"/>
    <w:rsid w:val="00B012B7"/>
    <w:rsid w:val="00B30C52"/>
    <w:rsid w:val="00B374F8"/>
    <w:rsid w:val="00B501AB"/>
    <w:rsid w:val="00B6620B"/>
    <w:rsid w:val="00B6683F"/>
    <w:rsid w:val="00B73978"/>
    <w:rsid w:val="00B77C4D"/>
    <w:rsid w:val="00BA7509"/>
    <w:rsid w:val="00BB13FE"/>
    <w:rsid w:val="00BB77E4"/>
    <w:rsid w:val="00BC7EE2"/>
    <w:rsid w:val="00BF5475"/>
    <w:rsid w:val="00BF58DC"/>
    <w:rsid w:val="00C20ED7"/>
    <w:rsid w:val="00C42D2D"/>
    <w:rsid w:val="00C43474"/>
    <w:rsid w:val="00C61A48"/>
    <w:rsid w:val="00C80F8F"/>
    <w:rsid w:val="00C84355"/>
    <w:rsid w:val="00C84A65"/>
    <w:rsid w:val="00CA3051"/>
    <w:rsid w:val="00CA5E2B"/>
    <w:rsid w:val="00CD20D9"/>
    <w:rsid w:val="00CD27E8"/>
    <w:rsid w:val="00CD701A"/>
    <w:rsid w:val="00D05AAE"/>
    <w:rsid w:val="00D05E6B"/>
    <w:rsid w:val="00D254A6"/>
    <w:rsid w:val="00D33245"/>
    <w:rsid w:val="00D42B55"/>
    <w:rsid w:val="00D57D70"/>
    <w:rsid w:val="00DA1179"/>
    <w:rsid w:val="00DB6B91"/>
    <w:rsid w:val="00E05D81"/>
    <w:rsid w:val="00E467D9"/>
    <w:rsid w:val="00E53DFC"/>
    <w:rsid w:val="00E60AB7"/>
    <w:rsid w:val="00E66FC3"/>
    <w:rsid w:val="00E677DD"/>
    <w:rsid w:val="00E77F17"/>
    <w:rsid w:val="00E809D8"/>
    <w:rsid w:val="00E921EC"/>
    <w:rsid w:val="00E947A4"/>
    <w:rsid w:val="00EB23D0"/>
    <w:rsid w:val="00EC395A"/>
    <w:rsid w:val="00F01632"/>
    <w:rsid w:val="00F04858"/>
    <w:rsid w:val="00F13AA4"/>
    <w:rsid w:val="00F33281"/>
    <w:rsid w:val="00F3510D"/>
    <w:rsid w:val="00F37E52"/>
    <w:rsid w:val="00F43C07"/>
    <w:rsid w:val="00F43D44"/>
    <w:rsid w:val="00F80E6E"/>
    <w:rsid w:val="00FD093A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91CA4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FootnoteTextChar">
    <w:name w:val="Footnote Text Char"/>
    <w:basedOn w:val="DefaultParagraphFont"/>
    <w:link w:val="FootnoteText"/>
    <w:rsid w:val="00DB6B91"/>
    <w:rPr>
      <w:rFonts w:ascii="Calibri" w:hAnsi="Calibri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3328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6620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2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6620B"/>
    <w:rPr>
      <w:rFonts w:ascii="Calibri" w:hAnsi="Calibr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6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620B"/>
    <w:rPr>
      <w:rFonts w:ascii="Calibri" w:hAnsi="Calibri"/>
      <w:b/>
      <w:bCs/>
      <w:lang w:val="es-ES_tradnl" w:eastAsia="en-US"/>
    </w:rPr>
  </w:style>
  <w:style w:type="paragraph" w:styleId="Revision">
    <w:name w:val="Revision"/>
    <w:hidden/>
    <w:uiPriority w:val="99"/>
    <w:semiHidden/>
    <w:rsid w:val="00B6620B"/>
    <w:rPr>
      <w:rFonts w:ascii="Calibri" w:hAnsi="Calibri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7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514ca8c-25f8-4163-bd13-f0d67dd20c39" targetNamespace="http://schemas.microsoft.com/office/2006/metadata/properties" ma:root="true" ma:fieldsID="d41af5c836d734370eb92e7ee5f83852" ns2:_="" ns3:_="">
    <xsd:import namespace="996b2e75-67fd-4955-a3b0-5ab9934cb50b"/>
    <xsd:import namespace="4514ca8c-25f8-4163-bd13-f0d67dd20c3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4ca8c-25f8-4163-bd13-f0d67dd20c3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514ca8c-25f8-4163-bd13-f0d67dd20c39">DPM</DPM_x0020_Author>
    <DPM_x0020_File_x0020_name xmlns="4514ca8c-25f8-4163-bd13-f0d67dd20c39">S22-PP-C-0076!A22!MSW-S</DPM_x0020_File_x0020_name>
    <DPM_x0020_Version xmlns="4514ca8c-25f8-4163-bd13-f0d67dd20c39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514ca8c-25f8-4163-bd13-f0d67dd20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514ca8c-25f8-4163-bd13-f0d67dd20c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S22-PP-C-0076!A22!MSW-S</vt:lpstr>
    </vt:vector>
  </TitlesOfParts>
  <Manager/>
  <Company/>
  <LinksUpToDate>false</LinksUpToDate>
  <CharactersWithSpaces>10495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S22-PP-C-0076!A22!MSW-S</dc:title>
  <dc:subject>Plenipotentiary Conference (PP-18)</dc:subject>
  <dc:creator>Documents Proposals Manager (DPM)</dc:creator>
  <cp:keywords>DPM_v2022.8.31.2_prod</cp:keywords>
  <dc:description/>
  <cp:lastModifiedBy>Arnould, Carine</cp:lastModifiedBy>
  <cp:revision>17</cp:revision>
  <dcterms:created xsi:type="dcterms:W3CDTF">2022-09-07T09:26:00Z</dcterms:created>
  <dcterms:modified xsi:type="dcterms:W3CDTF">2022-09-16T10:48:00Z</dcterms:modified>
  <cp:category>Conference document</cp:category>
</cp:coreProperties>
</file>