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606064" w14:paraId="6E1A6A88" w14:textId="77777777" w:rsidTr="006A046E">
        <w:trPr>
          <w:cantSplit/>
        </w:trPr>
        <w:tc>
          <w:tcPr>
            <w:tcW w:w="6911" w:type="dxa"/>
          </w:tcPr>
          <w:p w14:paraId="47C127E1" w14:textId="77777777" w:rsidR="00BD1614" w:rsidRPr="00606064" w:rsidRDefault="00BD1614" w:rsidP="00445E43">
            <w:pPr>
              <w:rPr>
                <w:b/>
                <w:bCs/>
                <w:position w:val="6"/>
                <w:szCs w:val="24"/>
              </w:rPr>
            </w:pPr>
            <w:bookmarkStart w:id="0" w:name="dbreak"/>
            <w:bookmarkStart w:id="1" w:name="dpp"/>
            <w:bookmarkEnd w:id="0"/>
            <w:bookmarkEnd w:id="1"/>
            <w:r w:rsidRPr="00606064">
              <w:rPr>
                <w:rFonts w:cs="Times"/>
                <w:b/>
                <w:sz w:val="30"/>
                <w:szCs w:val="30"/>
              </w:rPr>
              <w:t>Conférence de plénipotentiaires</w:t>
            </w:r>
            <w:r w:rsidRPr="00606064">
              <w:rPr>
                <w:b/>
                <w:smallCaps/>
                <w:sz w:val="30"/>
                <w:szCs w:val="30"/>
              </w:rPr>
              <w:t xml:space="preserve"> (PP-</w:t>
            </w:r>
            <w:r w:rsidR="002A7A1D" w:rsidRPr="00606064">
              <w:rPr>
                <w:b/>
                <w:smallCaps/>
                <w:sz w:val="30"/>
                <w:szCs w:val="30"/>
              </w:rPr>
              <w:t>22</w:t>
            </w:r>
            <w:r w:rsidRPr="00606064">
              <w:rPr>
                <w:b/>
                <w:smallCaps/>
                <w:sz w:val="30"/>
                <w:szCs w:val="30"/>
              </w:rPr>
              <w:t>)</w:t>
            </w:r>
            <w:r w:rsidRPr="00606064">
              <w:rPr>
                <w:b/>
                <w:smallCaps/>
                <w:sz w:val="36"/>
              </w:rPr>
              <w:br/>
            </w:r>
            <w:r w:rsidR="002A7A1D" w:rsidRPr="00606064">
              <w:rPr>
                <w:rFonts w:cs="Times New Roman Bold"/>
                <w:b/>
                <w:bCs/>
                <w:szCs w:val="24"/>
              </w:rPr>
              <w:t>Bucarest</w:t>
            </w:r>
            <w:r w:rsidRPr="00606064">
              <w:rPr>
                <w:rFonts w:cs="Times New Roman Bold"/>
                <w:b/>
                <w:bCs/>
                <w:szCs w:val="24"/>
              </w:rPr>
              <w:t>, 2</w:t>
            </w:r>
            <w:r w:rsidR="002A7A1D" w:rsidRPr="00606064">
              <w:rPr>
                <w:rFonts w:cs="Times New Roman Bold"/>
                <w:b/>
                <w:bCs/>
                <w:szCs w:val="24"/>
              </w:rPr>
              <w:t>6</w:t>
            </w:r>
            <w:r w:rsidRPr="00606064">
              <w:rPr>
                <w:rFonts w:cs="Times New Roman Bold"/>
                <w:b/>
                <w:bCs/>
                <w:szCs w:val="24"/>
              </w:rPr>
              <w:t xml:space="preserve"> </w:t>
            </w:r>
            <w:r w:rsidR="002A7A1D" w:rsidRPr="00606064">
              <w:rPr>
                <w:rFonts w:cs="Times New Roman Bold"/>
                <w:b/>
                <w:bCs/>
                <w:szCs w:val="24"/>
              </w:rPr>
              <w:t>septembre</w:t>
            </w:r>
            <w:r w:rsidRPr="00606064">
              <w:rPr>
                <w:rFonts w:cs="Times New Roman Bold"/>
                <w:b/>
                <w:bCs/>
                <w:szCs w:val="24"/>
              </w:rPr>
              <w:t xml:space="preserve"> </w:t>
            </w:r>
            <w:r w:rsidR="001E2226" w:rsidRPr="00606064">
              <w:rPr>
                <w:rFonts w:cs="Times New Roman Bold"/>
                <w:b/>
                <w:bCs/>
                <w:szCs w:val="24"/>
              </w:rPr>
              <w:t>–</w:t>
            </w:r>
            <w:r w:rsidRPr="00606064">
              <w:rPr>
                <w:rFonts w:cs="Times New Roman Bold"/>
                <w:b/>
                <w:bCs/>
                <w:szCs w:val="24"/>
              </w:rPr>
              <w:t xml:space="preserve"> </w:t>
            </w:r>
            <w:r w:rsidR="001E2226" w:rsidRPr="00606064">
              <w:rPr>
                <w:rFonts w:cs="Times New Roman Bold"/>
                <w:b/>
                <w:bCs/>
                <w:szCs w:val="24"/>
              </w:rPr>
              <w:t>1</w:t>
            </w:r>
            <w:r w:rsidR="002A7A1D" w:rsidRPr="00606064">
              <w:rPr>
                <w:rFonts w:cs="Times New Roman Bold"/>
                <w:b/>
                <w:bCs/>
                <w:szCs w:val="24"/>
              </w:rPr>
              <w:t>4</w:t>
            </w:r>
            <w:r w:rsidRPr="00606064">
              <w:rPr>
                <w:rFonts w:cs="Times New Roman Bold"/>
                <w:b/>
                <w:bCs/>
                <w:szCs w:val="24"/>
              </w:rPr>
              <w:t xml:space="preserve"> </w:t>
            </w:r>
            <w:r w:rsidR="002A7A1D" w:rsidRPr="00606064">
              <w:rPr>
                <w:rFonts w:cs="Times New Roman Bold"/>
                <w:b/>
                <w:bCs/>
                <w:szCs w:val="24"/>
              </w:rPr>
              <w:t>octobre</w:t>
            </w:r>
            <w:r w:rsidRPr="00606064">
              <w:rPr>
                <w:rFonts w:cs="Times New Roman Bold"/>
                <w:b/>
                <w:bCs/>
                <w:szCs w:val="24"/>
              </w:rPr>
              <w:t xml:space="preserve"> 20</w:t>
            </w:r>
            <w:r w:rsidR="002A7A1D" w:rsidRPr="00606064">
              <w:rPr>
                <w:rFonts w:cs="Times New Roman Bold"/>
                <w:b/>
                <w:bCs/>
                <w:szCs w:val="24"/>
              </w:rPr>
              <w:t>22</w:t>
            </w:r>
          </w:p>
        </w:tc>
        <w:tc>
          <w:tcPr>
            <w:tcW w:w="3120" w:type="dxa"/>
          </w:tcPr>
          <w:p w14:paraId="5823BD1A" w14:textId="77777777" w:rsidR="00BD1614" w:rsidRPr="00606064" w:rsidRDefault="002A7A1D" w:rsidP="00445E43">
            <w:pPr>
              <w:spacing w:before="0"/>
              <w:rPr>
                <w:rFonts w:cstheme="minorHAnsi"/>
              </w:rPr>
            </w:pPr>
            <w:bookmarkStart w:id="2" w:name="ditulogo"/>
            <w:bookmarkEnd w:id="2"/>
            <w:r w:rsidRPr="00606064">
              <w:rPr>
                <w:noProof/>
                <w:lang w:val="en-US"/>
              </w:rPr>
              <w:drawing>
                <wp:inline distT="0" distB="0" distL="0" distR="0" wp14:anchorId="7295191B" wp14:editId="5CF12235">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606064" w14:paraId="6146B31B" w14:textId="77777777" w:rsidTr="006A046E">
        <w:trPr>
          <w:cantSplit/>
        </w:trPr>
        <w:tc>
          <w:tcPr>
            <w:tcW w:w="6911" w:type="dxa"/>
            <w:tcBorders>
              <w:bottom w:val="single" w:sz="12" w:space="0" w:color="auto"/>
            </w:tcBorders>
          </w:tcPr>
          <w:p w14:paraId="0675C651" w14:textId="77777777" w:rsidR="00BD1614" w:rsidRPr="00606064" w:rsidRDefault="00BD1614" w:rsidP="00445E43">
            <w:pPr>
              <w:spacing w:before="0" w:after="48"/>
              <w:rPr>
                <w:rFonts w:cstheme="minorHAnsi"/>
                <w:b/>
                <w:smallCaps/>
                <w:szCs w:val="24"/>
              </w:rPr>
            </w:pPr>
            <w:bookmarkStart w:id="3" w:name="dhead"/>
          </w:p>
        </w:tc>
        <w:tc>
          <w:tcPr>
            <w:tcW w:w="3120" w:type="dxa"/>
            <w:tcBorders>
              <w:bottom w:val="single" w:sz="12" w:space="0" w:color="auto"/>
            </w:tcBorders>
          </w:tcPr>
          <w:p w14:paraId="6F45BBE8" w14:textId="77777777" w:rsidR="00BD1614" w:rsidRPr="00606064" w:rsidRDefault="00BD1614" w:rsidP="00445E43">
            <w:pPr>
              <w:spacing w:before="0" w:after="48"/>
              <w:rPr>
                <w:rFonts w:cstheme="minorHAnsi"/>
                <w:b/>
                <w:smallCaps/>
                <w:szCs w:val="24"/>
              </w:rPr>
            </w:pPr>
          </w:p>
        </w:tc>
      </w:tr>
      <w:tr w:rsidR="00BD1614" w:rsidRPr="00606064" w14:paraId="040ADFF1" w14:textId="77777777" w:rsidTr="006A046E">
        <w:trPr>
          <w:cantSplit/>
        </w:trPr>
        <w:tc>
          <w:tcPr>
            <w:tcW w:w="6911" w:type="dxa"/>
            <w:tcBorders>
              <w:top w:val="single" w:sz="12" w:space="0" w:color="auto"/>
            </w:tcBorders>
          </w:tcPr>
          <w:p w14:paraId="70520E83" w14:textId="77777777" w:rsidR="00BD1614" w:rsidRPr="00606064" w:rsidRDefault="00BD1614" w:rsidP="00445E43">
            <w:pPr>
              <w:spacing w:before="0"/>
              <w:rPr>
                <w:rFonts w:cstheme="minorHAnsi"/>
                <w:b/>
                <w:smallCaps/>
                <w:szCs w:val="24"/>
              </w:rPr>
            </w:pPr>
          </w:p>
        </w:tc>
        <w:tc>
          <w:tcPr>
            <w:tcW w:w="3120" w:type="dxa"/>
            <w:tcBorders>
              <w:top w:val="single" w:sz="12" w:space="0" w:color="auto"/>
            </w:tcBorders>
          </w:tcPr>
          <w:p w14:paraId="1703B386" w14:textId="77777777" w:rsidR="00BD1614" w:rsidRPr="00606064" w:rsidRDefault="00BD1614" w:rsidP="00445E43">
            <w:pPr>
              <w:spacing w:before="0"/>
              <w:rPr>
                <w:rFonts w:cstheme="minorHAnsi"/>
                <w:szCs w:val="24"/>
              </w:rPr>
            </w:pPr>
          </w:p>
        </w:tc>
      </w:tr>
      <w:tr w:rsidR="00BD1614" w:rsidRPr="00606064" w14:paraId="5CF8B4CD" w14:textId="77777777" w:rsidTr="006A046E">
        <w:trPr>
          <w:cantSplit/>
        </w:trPr>
        <w:tc>
          <w:tcPr>
            <w:tcW w:w="6911" w:type="dxa"/>
          </w:tcPr>
          <w:p w14:paraId="303DE63C" w14:textId="77777777" w:rsidR="00BD1614" w:rsidRPr="00606064" w:rsidRDefault="00BD1614" w:rsidP="00445E43">
            <w:pPr>
              <w:pStyle w:val="Committee"/>
              <w:framePr w:hSpace="0" w:wrap="auto" w:hAnchor="text" w:yAlign="inline"/>
              <w:spacing w:after="0" w:line="240" w:lineRule="auto"/>
              <w:rPr>
                <w:lang w:val="fr-FR"/>
              </w:rPr>
            </w:pPr>
            <w:r w:rsidRPr="00606064">
              <w:rPr>
                <w:lang w:val="fr-FR"/>
              </w:rPr>
              <w:t>SÉANCE PLÉNIÈRE</w:t>
            </w:r>
          </w:p>
        </w:tc>
        <w:tc>
          <w:tcPr>
            <w:tcW w:w="3120" w:type="dxa"/>
          </w:tcPr>
          <w:p w14:paraId="51B662CA" w14:textId="77777777" w:rsidR="00BD1614" w:rsidRPr="00606064" w:rsidRDefault="00BD1614" w:rsidP="00445E43">
            <w:pPr>
              <w:spacing w:before="0"/>
              <w:rPr>
                <w:rFonts w:cstheme="minorHAnsi"/>
                <w:szCs w:val="24"/>
              </w:rPr>
            </w:pPr>
            <w:r w:rsidRPr="00606064">
              <w:rPr>
                <w:rFonts w:cstheme="minorHAnsi"/>
                <w:b/>
                <w:szCs w:val="24"/>
              </w:rPr>
              <w:t>Addendum 22 au</w:t>
            </w:r>
            <w:r w:rsidRPr="00606064">
              <w:rPr>
                <w:rFonts w:cstheme="minorHAnsi"/>
                <w:b/>
                <w:szCs w:val="24"/>
              </w:rPr>
              <w:br/>
              <w:t>Document 76</w:t>
            </w:r>
            <w:r w:rsidR="005F63BD" w:rsidRPr="00606064">
              <w:rPr>
                <w:rFonts w:cstheme="minorHAnsi"/>
                <w:b/>
                <w:szCs w:val="24"/>
              </w:rPr>
              <w:t>-F</w:t>
            </w:r>
          </w:p>
        </w:tc>
      </w:tr>
      <w:tr w:rsidR="00BD1614" w:rsidRPr="00606064" w14:paraId="0B21E5C1" w14:textId="77777777" w:rsidTr="006A046E">
        <w:trPr>
          <w:cantSplit/>
        </w:trPr>
        <w:tc>
          <w:tcPr>
            <w:tcW w:w="6911" w:type="dxa"/>
          </w:tcPr>
          <w:p w14:paraId="4C3CF902" w14:textId="77777777" w:rsidR="00BD1614" w:rsidRPr="00606064" w:rsidRDefault="00BD1614" w:rsidP="00445E43">
            <w:pPr>
              <w:spacing w:before="0"/>
              <w:rPr>
                <w:rFonts w:cstheme="minorHAnsi"/>
                <w:b/>
                <w:szCs w:val="24"/>
              </w:rPr>
            </w:pPr>
          </w:p>
        </w:tc>
        <w:tc>
          <w:tcPr>
            <w:tcW w:w="3120" w:type="dxa"/>
          </w:tcPr>
          <w:p w14:paraId="5A29A814" w14:textId="70774999" w:rsidR="00BD1614" w:rsidRPr="00606064" w:rsidRDefault="00BD1614" w:rsidP="00445E43">
            <w:pPr>
              <w:spacing w:before="0"/>
              <w:rPr>
                <w:rFonts w:cstheme="minorHAnsi"/>
                <w:b/>
                <w:szCs w:val="24"/>
              </w:rPr>
            </w:pPr>
            <w:r w:rsidRPr="00606064">
              <w:rPr>
                <w:rFonts w:cstheme="minorHAnsi"/>
                <w:b/>
                <w:szCs w:val="24"/>
              </w:rPr>
              <w:t>1</w:t>
            </w:r>
            <w:r w:rsidR="00861148" w:rsidRPr="00606064">
              <w:rPr>
                <w:rFonts w:cstheme="minorHAnsi"/>
                <w:b/>
                <w:szCs w:val="24"/>
              </w:rPr>
              <w:t>er</w:t>
            </w:r>
            <w:r w:rsidRPr="00606064">
              <w:rPr>
                <w:rFonts w:cstheme="minorHAnsi"/>
                <w:b/>
                <w:szCs w:val="24"/>
              </w:rPr>
              <w:t xml:space="preserve"> septembre 2022</w:t>
            </w:r>
          </w:p>
        </w:tc>
      </w:tr>
      <w:tr w:rsidR="00BD1614" w:rsidRPr="00606064" w14:paraId="1F7025B4" w14:textId="77777777" w:rsidTr="006A046E">
        <w:trPr>
          <w:cantSplit/>
        </w:trPr>
        <w:tc>
          <w:tcPr>
            <w:tcW w:w="6911" w:type="dxa"/>
          </w:tcPr>
          <w:p w14:paraId="2E77D277" w14:textId="77777777" w:rsidR="00BD1614" w:rsidRPr="00606064" w:rsidRDefault="00BD1614" w:rsidP="00445E43">
            <w:pPr>
              <w:spacing w:before="0"/>
              <w:rPr>
                <w:rFonts w:cstheme="minorHAnsi"/>
                <w:b/>
                <w:smallCaps/>
                <w:szCs w:val="24"/>
              </w:rPr>
            </w:pPr>
          </w:p>
        </w:tc>
        <w:tc>
          <w:tcPr>
            <w:tcW w:w="3120" w:type="dxa"/>
          </w:tcPr>
          <w:p w14:paraId="45D1DF4B" w14:textId="77777777" w:rsidR="00BD1614" w:rsidRPr="00606064" w:rsidRDefault="00BD1614" w:rsidP="00445E43">
            <w:pPr>
              <w:spacing w:before="0"/>
              <w:rPr>
                <w:rFonts w:cstheme="minorHAnsi"/>
                <w:b/>
                <w:szCs w:val="24"/>
              </w:rPr>
            </w:pPr>
            <w:proofErr w:type="gramStart"/>
            <w:r w:rsidRPr="00606064">
              <w:rPr>
                <w:rFonts w:cstheme="minorHAnsi"/>
                <w:b/>
                <w:szCs w:val="24"/>
              </w:rPr>
              <w:t>Original:</w:t>
            </w:r>
            <w:proofErr w:type="gramEnd"/>
            <w:r w:rsidRPr="00606064">
              <w:rPr>
                <w:rFonts w:cstheme="minorHAnsi"/>
                <w:b/>
                <w:szCs w:val="24"/>
              </w:rPr>
              <w:t xml:space="preserve"> anglais</w:t>
            </w:r>
          </w:p>
        </w:tc>
      </w:tr>
      <w:tr w:rsidR="00BD1614" w:rsidRPr="00606064" w14:paraId="71276333" w14:textId="77777777" w:rsidTr="006A046E">
        <w:trPr>
          <w:cantSplit/>
        </w:trPr>
        <w:tc>
          <w:tcPr>
            <w:tcW w:w="10031" w:type="dxa"/>
            <w:gridSpan w:val="2"/>
          </w:tcPr>
          <w:p w14:paraId="2C631B9F" w14:textId="77777777" w:rsidR="00BD1614" w:rsidRPr="00606064" w:rsidRDefault="00BD1614" w:rsidP="00445E43">
            <w:pPr>
              <w:spacing w:before="0"/>
              <w:rPr>
                <w:rFonts w:cstheme="minorHAnsi"/>
                <w:b/>
                <w:szCs w:val="24"/>
              </w:rPr>
            </w:pPr>
          </w:p>
        </w:tc>
      </w:tr>
      <w:tr w:rsidR="00BD1614" w:rsidRPr="00606064" w14:paraId="467ADAEE" w14:textId="77777777" w:rsidTr="006A046E">
        <w:trPr>
          <w:cantSplit/>
        </w:trPr>
        <w:tc>
          <w:tcPr>
            <w:tcW w:w="10031" w:type="dxa"/>
            <w:gridSpan w:val="2"/>
          </w:tcPr>
          <w:p w14:paraId="0F157D76" w14:textId="5A2AA66D" w:rsidR="00BD1614" w:rsidRPr="00606064" w:rsidRDefault="00BD1614" w:rsidP="00445E43">
            <w:pPr>
              <w:pStyle w:val="Source"/>
            </w:pPr>
            <w:bookmarkStart w:id="4" w:name="dsource" w:colFirst="0" w:colLast="0"/>
            <w:bookmarkEnd w:id="3"/>
            <w:r w:rsidRPr="00606064">
              <w:t>États Membres de la Commission interaméricaine des télécommunications (CITEL</w:t>
            </w:r>
            <w:r w:rsidR="004D22C4" w:rsidRPr="00606064">
              <w:t>)</w:t>
            </w:r>
          </w:p>
        </w:tc>
      </w:tr>
      <w:tr w:rsidR="00BD1614" w:rsidRPr="00606064" w14:paraId="5C3C3639" w14:textId="77777777" w:rsidTr="006A046E">
        <w:trPr>
          <w:cantSplit/>
        </w:trPr>
        <w:tc>
          <w:tcPr>
            <w:tcW w:w="10031" w:type="dxa"/>
            <w:gridSpan w:val="2"/>
          </w:tcPr>
          <w:p w14:paraId="722DA5BD" w14:textId="2ADFCD0B" w:rsidR="00BD1614" w:rsidRPr="00606064" w:rsidRDefault="00BD1614" w:rsidP="00445E43">
            <w:pPr>
              <w:pStyle w:val="Title1"/>
            </w:pPr>
            <w:bookmarkStart w:id="5" w:name="dtitle1" w:colFirst="0" w:colLast="0"/>
            <w:bookmarkEnd w:id="4"/>
            <w:r w:rsidRPr="00606064">
              <w:t xml:space="preserve">IAP 22 </w:t>
            </w:r>
            <w:r w:rsidR="004D22C4" w:rsidRPr="00606064">
              <w:t>–</w:t>
            </w:r>
            <w:r w:rsidRPr="00606064">
              <w:t xml:space="preserve"> </w:t>
            </w:r>
            <w:r w:rsidR="00785E7A" w:rsidRPr="00606064">
              <w:t>Avant-</w:t>
            </w:r>
            <w:r w:rsidR="00861148" w:rsidRPr="00606064">
              <w:t>PROJET DE</w:t>
            </w:r>
            <w:r w:rsidRPr="00606064">
              <w:t xml:space="preserve"> </w:t>
            </w:r>
            <w:r w:rsidR="00E874FE" w:rsidRPr="00606064">
              <w:t xml:space="preserve">NOUVELLE </w:t>
            </w:r>
            <w:r w:rsidRPr="00606064">
              <w:t>R</w:t>
            </w:r>
            <w:r w:rsidR="00861148" w:rsidRPr="00606064">
              <w:t>É</w:t>
            </w:r>
            <w:r w:rsidRPr="00606064">
              <w:t>SOLUTION [IAP-3]</w:t>
            </w:r>
          </w:p>
        </w:tc>
      </w:tr>
      <w:tr w:rsidR="00BD1614" w:rsidRPr="00606064" w14:paraId="4C16962A" w14:textId="77777777" w:rsidTr="006A046E">
        <w:trPr>
          <w:cantSplit/>
        </w:trPr>
        <w:tc>
          <w:tcPr>
            <w:tcW w:w="10031" w:type="dxa"/>
            <w:gridSpan w:val="2"/>
          </w:tcPr>
          <w:p w14:paraId="0CF91E93" w14:textId="31C74F48" w:rsidR="00BD1614" w:rsidRPr="00606064" w:rsidRDefault="00861148" w:rsidP="007D03A3">
            <w:pPr>
              <w:pStyle w:val="Title2"/>
              <w:rPr>
                <w:bCs/>
              </w:rPr>
            </w:pPr>
            <w:bookmarkStart w:id="6" w:name="dtitle2" w:colFirst="0" w:colLast="0"/>
            <w:bookmarkEnd w:id="5"/>
            <w:r w:rsidRPr="00606064">
              <w:rPr>
                <w:bCs/>
              </w:rPr>
              <w:t>Participation de l'UIT aux mÉmorandums d'accord</w:t>
            </w:r>
            <w:r w:rsidR="007D03A3">
              <w:rPr>
                <w:bCs/>
              </w:rPr>
              <w:t xml:space="preserve"> </w:t>
            </w:r>
            <w:r w:rsidRPr="00606064">
              <w:rPr>
                <w:bCs/>
              </w:rPr>
              <w:t xml:space="preserve">ayant </w:t>
            </w:r>
            <w:r w:rsidR="007D03A3">
              <w:rPr>
                <w:bCs/>
              </w:rPr>
              <w:br/>
            </w:r>
            <w:r w:rsidRPr="00606064">
              <w:rPr>
                <w:bCs/>
              </w:rPr>
              <w:t>des incidences financiÈres ou stratÉgiques</w:t>
            </w:r>
          </w:p>
        </w:tc>
      </w:tr>
      <w:tr w:rsidR="00BD1614" w:rsidRPr="00606064" w14:paraId="1BE8D42C" w14:textId="77777777" w:rsidTr="006A046E">
        <w:trPr>
          <w:cantSplit/>
        </w:trPr>
        <w:tc>
          <w:tcPr>
            <w:tcW w:w="10031" w:type="dxa"/>
            <w:gridSpan w:val="2"/>
          </w:tcPr>
          <w:p w14:paraId="198B9BE8" w14:textId="77777777" w:rsidR="00BD1614" w:rsidRPr="00606064" w:rsidRDefault="00BD1614" w:rsidP="00445E43">
            <w:pPr>
              <w:pStyle w:val="Agendaitem"/>
              <w:rPr>
                <w:lang w:val="fr-FR"/>
              </w:rPr>
            </w:pPr>
            <w:bookmarkStart w:id="7" w:name="dtitle3" w:colFirst="0" w:colLast="0"/>
            <w:bookmarkEnd w:id="6"/>
          </w:p>
        </w:tc>
      </w:tr>
    </w:tbl>
    <w:bookmarkEnd w:id="7"/>
    <w:p w14:paraId="334885A3" w14:textId="625A1E55" w:rsidR="004D22C4" w:rsidRPr="00606064" w:rsidRDefault="00861148" w:rsidP="00445E43">
      <w:pPr>
        <w:pStyle w:val="Headingb"/>
      </w:pPr>
      <w:proofErr w:type="gramStart"/>
      <w:r w:rsidRPr="00606064">
        <w:t>Résumé</w:t>
      </w:r>
      <w:r w:rsidR="004D22C4" w:rsidRPr="00606064">
        <w:t>:</w:t>
      </w:r>
      <w:proofErr w:type="gramEnd"/>
    </w:p>
    <w:p w14:paraId="003B840D" w14:textId="1E0F4DE6" w:rsidR="004D22C4" w:rsidRPr="00606064" w:rsidRDefault="00FE5189" w:rsidP="00445E43">
      <w:r w:rsidRPr="00606064">
        <w:t xml:space="preserve">La présente proposition </w:t>
      </w:r>
      <w:r w:rsidR="00785E7A" w:rsidRPr="00606064">
        <w:t>de</w:t>
      </w:r>
      <w:r w:rsidRPr="00606064">
        <w:t xml:space="preserve"> nouvelle</w:t>
      </w:r>
      <w:r w:rsidR="004D22C4" w:rsidRPr="00606064">
        <w:t xml:space="preserve"> R</w:t>
      </w:r>
      <w:r w:rsidRPr="00606064">
        <w:t>é</w:t>
      </w:r>
      <w:r w:rsidR="004D22C4" w:rsidRPr="00606064">
        <w:t>solution</w:t>
      </w:r>
      <w:r w:rsidR="00785E7A" w:rsidRPr="00606064">
        <w:t xml:space="preserve"> vise à faire en sorte </w:t>
      </w:r>
      <w:r w:rsidRPr="00606064">
        <w:t xml:space="preserve">que les </w:t>
      </w:r>
      <w:r w:rsidR="008F25A5" w:rsidRPr="00606064">
        <w:t>mémorandums</w:t>
      </w:r>
      <w:r w:rsidRPr="00606064">
        <w:t xml:space="preserve"> d'accord ayant des incidences stratégiques </w:t>
      </w:r>
      <w:r w:rsidR="00E617F6" w:rsidRPr="00606064">
        <w:t xml:space="preserve">ou financières </w:t>
      </w:r>
      <w:r w:rsidRPr="00606064">
        <w:t xml:space="preserve">ne soient conclus </w:t>
      </w:r>
      <w:r w:rsidR="00785E7A" w:rsidRPr="00606064">
        <w:t>qu</w:t>
      </w:r>
      <w:r w:rsidR="00A4422C" w:rsidRPr="00606064">
        <w:t>'</w:t>
      </w:r>
      <w:r w:rsidR="00785E7A" w:rsidRPr="00606064">
        <w:t>après</w:t>
      </w:r>
      <w:r w:rsidRPr="00606064">
        <w:t xml:space="preserve"> </w:t>
      </w:r>
      <w:r w:rsidR="00785E7A" w:rsidRPr="00606064">
        <w:t xml:space="preserve">approbation </w:t>
      </w:r>
      <w:r w:rsidRPr="00606064">
        <w:t>par le Conseil</w:t>
      </w:r>
      <w:r w:rsidR="008F25A5" w:rsidRPr="00606064">
        <w:t xml:space="preserve">, compte tenu des avis des </w:t>
      </w:r>
      <w:r w:rsidR="004D22C4" w:rsidRPr="00606064">
        <w:t>Administrations</w:t>
      </w:r>
      <w:r w:rsidR="00F619ED" w:rsidRPr="00606064">
        <w:t xml:space="preserve"> des </w:t>
      </w:r>
      <w:r w:rsidR="00A4422C" w:rsidRPr="00606064">
        <w:t>É</w:t>
      </w:r>
      <w:r w:rsidR="00F619ED" w:rsidRPr="00606064">
        <w:t>tats</w:t>
      </w:r>
      <w:r w:rsidR="008F25A5" w:rsidRPr="00606064">
        <w:t xml:space="preserve"> </w:t>
      </w:r>
      <w:r w:rsidR="00F619ED" w:rsidRPr="00606064">
        <w:t>Membres</w:t>
      </w:r>
      <w:r w:rsidR="004D22C4" w:rsidRPr="00606064">
        <w:t>.</w:t>
      </w:r>
    </w:p>
    <w:p w14:paraId="4A4FDF9F" w14:textId="59C6AE05" w:rsidR="00BD1614" w:rsidRPr="00606064" w:rsidRDefault="008F25A5" w:rsidP="00445E43">
      <w:r w:rsidRPr="00606064">
        <w:t xml:space="preserve">La </w:t>
      </w:r>
      <w:r w:rsidR="004D22C4" w:rsidRPr="00606064">
        <w:t xml:space="preserve">CITEL </w:t>
      </w:r>
      <w:r w:rsidRPr="00606064">
        <w:t xml:space="preserve">est d'avis qu'une nouvelle Résolution est nécessaire pour </w:t>
      </w:r>
      <w:r w:rsidR="004028A7" w:rsidRPr="00606064">
        <w:t xml:space="preserve">préciser </w:t>
      </w:r>
      <w:r w:rsidRPr="00606064">
        <w:t>le processus d'approbation des mémorandums d'accord</w:t>
      </w:r>
      <w:r w:rsidR="004028A7" w:rsidRPr="00606064">
        <w:t xml:space="preserve"> ayant des incidences stratégiques ou financières</w:t>
      </w:r>
      <w:r w:rsidR="004D22C4" w:rsidRPr="00606064">
        <w:t xml:space="preserve">. </w:t>
      </w:r>
      <w:r w:rsidRPr="00606064">
        <w:t xml:space="preserve">Elle estime qu'avant que l'UIT conclue </w:t>
      </w:r>
      <w:r w:rsidR="00273E42" w:rsidRPr="00606064">
        <w:t>des mémorandums d'accord ayant des incidences financières et stratégiques importantes,</w:t>
      </w:r>
      <w:r w:rsidR="004D22C4" w:rsidRPr="00606064">
        <w:t xml:space="preserve"> </w:t>
      </w:r>
      <w:r w:rsidR="00273E42" w:rsidRPr="00606064">
        <w:t xml:space="preserve">les Administrations </w:t>
      </w:r>
      <w:r w:rsidR="00953C31" w:rsidRPr="00606064">
        <w:t xml:space="preserve">des </w:t>
      </w:r>
      <w:r w:rsidR="00A4422C" w:rsidRPr="00606064">
        <w:t>É</w:t>
      </w:r>
      <w:r w:rsidR="00953C31" w:rsidRPr="00606064">
        <w:t xml:space="preserve">tats Membres </w:t>
      </w:r>
      <w:r w:rsidR="00273E42" w:rsidRPr="00606064">
        <w:t xml:space="preserve">devraient pouvoir les examiner et </w:t>
      </w:r>
      <w:r w:rsidR="00953C31" w:rsidRPr="00606064">
        <w:t xml:space="preserve">faire connaître </w:t>
      </w:r>
      <w:r w:rsidR="00273E42" w:rsidRPr="00606064">
        <w:t>leur</w:t>
      </w:r>
      <w:r w:rsidR="00953C31" w:rsidRPr="00606064">
        <w:t>s</w:t>
      </w:r>
      <w:r w:rsidR="00273E42" w:rsidRPr="00606064">
        <w:t xml:space="preserve"> vue</w:t>
      </w:r>
      <w:r w:rsidR="00953C31" w:rsidRPr="00606064">
        <w:t>s</w:t>
      </w:r>
      <w:r w:rsidR="004D22C4" w:rsidRPr="00606064">
        <w:t xml:space="preserve">. </w:t>
      </w:r>
      <w:r w:rsidR="00273E42" w:rsidRPr="00606064">
        <w:t xml:space="preserve">Davantage de transparence à cet égard permettrait au Conseil de l'UIT de mieux s'acquitter de ses obligations </w:t>
      </w:r>
      <w:r w:rsidR="00E874FE" w:rsidRPr="00606064">
        <w:t xml:space="preserve">s'agissant </w:t>
      </w:r>
      <w:r w:rsidR="00953C31" w:rsidRPr="00606064">
        <w:t>de la définition des</w:t>
      </w:r>
      <w:r w:rsidR="00E874FE" w:rsidRPr="00606064">
        <w:t xml:space="preserve"> orientations financières et stratégiques</w:t>
      </w:r>
      <w:r w:rsidR="004D22C4" w:rsidRPr="00606064">
        <w:t xml:space="preserve"> </w:t>
      </w:r>
      <w:r w:rsidR="00E874FE" w:rsidRPr="00606064">
        <w:t xml:space="preserve">globales de l'Union. </w:t>
      </w:r>
      <w:r w:rsidR="00953C31" w:rsidRPr="00606064">
        <w:t>Cette</w:t>
      </w:r>
      <w:r w:rsidR="00E874FE" w:rsidRPr="00606064">
        <w:t xml:space="preserve"> nouvelle </w:t>
      </w:r>
      <w:r w:rsidR="004D22C4" w:rsidRPr="00606064">
        <w:t>R</w:t>
      </w:r>
      <w:r w:rsidR="00E874FE" w:rsidRPr="00606064">
        <w:t>é</w:t>
      </w:r>
      <w:r w:rsidR="004D22C4" w:rsidRPr="00606064">
        <w:t xml:space="preserve">solution </w:t>
      </w:r>
      <w:r w:rsidR="00953C31" w:rsidRPr="00606064">
        <w:t xml:space="preserve">clarifie </w:t>
      </w:r>
      <w:r w:rsidR="00E874FE" w:rsidRPr="00606064">
        <w:t xml:space="preserve">le rôle du Conseil concernant ces mémorandums d'accord et </w:t>
      </w:r>
      <w:r w:rsidR="00F8719B" w:rsidRPr="00606064">
        <w:t xml:space="preserve">permet de faire en sorte que </w:t>
      </w:r>
      <w:r w:rsidR="00E874FE" w:rsidRPr="00606064">
        <w:t xml:space="preserve">le processus </w:t>
      </w:r>
      <w:r w:rsidR="00944977" w:rsidRPr="00606064">
        <w:t>par lequel l'UIT</w:t>
      </w:r>
      <w:r w:rsidR="00E874FE" w:rsidRPr="00606064">
        <w:t xml:space="preserve"> conclu</w:t>
      </w:r>
      <w:r w:rsidR="00944977" w:rsidRPr="00606064">
        <w:t>t</w:t>
      </w:r>
      <w:r w:rsidR="00E874FE" w:rsidRPr="00606064">
        <w:t xml:space="preserve"> de</w:t>
      </w:r>
      <w:r w:rsidR="00944977" w:rsidRPr="00606064">
        <w:t>s</w:t>
      </w:r>
      <w:r w:rsidR="00E874FE" w:rsidRPr="00606064">
        <w:t xml:space="preserve"> mémorandums d'accord ayant des incidences stratégiques ou financières </w:t>
      </w:r>
      <w:r w:rsidR="00F8719B" w:rsidRPr="00606064">
        <w:t xml:space="preserve">soit </w:t>
      </w:r>
      <w:r w:rsidR="00E874FE" w:rsidRPr="00606064">
        <w:t>transparent et participatif</w:t>
      </w:r>
      <w:r w:rsidR="004D22C4" w:rsidRPr="00606064">
        <w:t>.</w:t>
      </w:r>
      <w:r w:rsidR="00BD1614" w:rsidRPr="00606064">
        <w:br w:type="page"/>
      </w:r>
    </w:p>
    <w:p w14:paraId="1D0D3822" w14:textId="77777777" w:rsidR="006E7E63" w:rsidRPr="00606064" w:rsidRDefault="0013340C" w:rsidP="00445E43">
      <w:pPr>
        <w:pStyle w:val="Proposal"/>
      </w:pPr>
      <w:r w:rsidRPr="00606064">
        <w:lastRenderedPageBreak/>
        <w:t>ADD</w:t>
      </w:r>
      <w:r w:rsidRPr="00606064">
        <w:tab/>
        <w:t>IAP/76A22/1</w:t>
      </w:r>
    </w:p>
    <w:p w14:paraId="1F2F3703" w14:textId="621A35B9" w:rsidR="006E7E63" w:rsidRPr="00606064" w:rsidRDefault="0013340C" w:rsidP="00445E43">
      <w:pPr>
        <w:pStyle w:val="ResNo"/>
      </w:pPr>
      <w:r w:rsidRPr="00606064">
        <w:t>Projet de nouvelle Résolution [IAP</w:t>
      </w:r>
      <w:r w:rsidR="004D22C4" w:rsidRPr="00606064">
        <w:t>-3</w:t>
      </w:r>
      <w:r w:rsidRPr="00606064">
        <w:t>]</w:t>
      </w:r>
    </w:p>
    <w:p w14:paraId="50394068" w14:textId="7747F7D8" w:rsidR="004D22C4" w:rsidRPr="00606064" w:rsidRDefault="004D22C4" w:rsidP="00445E43">
      <w:pPr>
        <w:pStyle w:val="Restitle"/>
      </w:pPr>
      <w:r w:rsidRPr="00606064">
        <w:t>Participation de l'UIT aux mémorandums d'accord</w:t>
      </w:r>
      <w:r w:rsidR="007D03A3">
        <w:t xml:space="preserve"> </w:t>
      </w:r>
      <w:r w:rsidRPr="00606064">
        <w:t xml:space="preserve">ayant </w:t>
      </w:r>
      <w:r w:rsidR="007D03A3">
        <w:br/>
      </w:r>
      <w:r w:rsidRPr="00606064">
        <w:t>des incidences financières ou stratégiques</w:t>
      </w:r>
    </w:p>
    <w:p w14:paraId="07887457" w14:textId="5D8EC95E" w:rsidR="004D22C4" w:rsidRPr="00606064" w:rsidRDefault="004D22C4" w:rsidP="00445E43">
      <w:pPr>
        <w:pStyle w:val="Normalaftertitle"/>
      </w:pPr>
      <w:r w:rsidRPr="00606064">
        <w:t>La Conférence de plénipotentiaires de l'Union internationale des télécommunications (Bucarest,</w:t>
      </w:r>
      <w:r w:rsidR="00A4422C" w:rsidRPr="00606064">
        <w:t> </w:t>
      </w:r>
      <w:r w:rsidRPr="00606064">
        <w:t>2022),</w:t>
      </w:r>
    </w:p>
    <w:p w14:paraId="18E3D7B8" w14:textId="77777777" w:rsidR="004D22C4" w:rsidRPr="00606064" w:rsidRDefault="004D22C4" w:rsidP="00445E43">
      <w:pPr>
        <w:pStyle w:val="Call"/>
      </w:pPr>
      <w:proofErr w:type="gramStart"/>
      <w:r w:rsidRPr="00606064">
        <w:t>considérant</w:t>
      </w:r>
      <w:proofErr w:type="gramEnd"/>
    </w:p>
    <w:p w14:paraId="77D76477" w14:textId="523970A2" w:rsidR="004D22C4" w:rsidRPr="00606064" w:rsidRDefault="004D22C4" w:rsidP="00445E43">
      <w:r w:rsidRPr="00606064">
        <w:rPr>
          <w:i/>
          <w:iCs/>
        </w:rPr>
        <w:t>a)</w:t>
      </w:r>
      <w:r w:rsidRPr="00606064">
        <w:tab/>
        <w:t xml:space="preserve">que, conformément à l'article 1 de sa Constitution, l'Union a notamment pour objet de maintenir et d'étendre la coopération internationale entre tous ses </w:t>
      </w:r>
      <w:r w:rsidR="00A4422C" w:rsidRPr="00606064">
        <w:t>É</w:t>
      </w:r>
      <w:r w:rsidRPr="00606064">
        <w:t xml:space="preserve">tats Membres pour l'amélioration et l'emploi rationnel des télécommunications </w:t>
      </w:r>
      <w:proofErr w:type="gramStart"/>
      <w:r w:rsidRPr="00606064">
        <w:t>internationales;</w:t>
      </w:r>
      <w:proofErr w:type="gramEnd"/>
    </w:p>
    <w:p w14:paraId="1D361308" w14:textId="77777777" w:rsidR="004D22C4" w:rsidRPr="00606064" w:rsidRDefault="004D22C4" w:rsidP="00445E43">
      <w:r w:rsidRPr="00606064">
        <w:rPr>
          <w:i/>
          <w:iCs/>
        </w:rPr>
        <w:t>b)</w:t>
      </w:r>
      <w:r w:rsidRPr="00606064">
        <w:tab/>
        <w:t>que l'Union a également pour objet de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14:paraId="3E84DFAA" w14:textId="77777777" w:rsidR="004D22C4" w:rsidRPr="00606064" w:rsidRDefault="004D22C4" w:rsidP="00445E43">
      <w:pPr>
        <w:pStyle w:val="Call"/>
      </w:pPr>
      <w:proofErr w:type="gramStart"/>
      <w:r w:rsidRPr="00606064">
        <w:t>notant</w:t>
      </w:r>
      <w:proofErr w:type="gramEnd"/>
    </w:p>
    <w:p w14:paraId="4135D5E7" w14:textId="2EA1D144" w:rsidR="004D22C4" w:rsidRPr="00606064" w:rsidRDefault="004D22C4" w:rsidP="00445E43">
      <w:proofErr w:type="gramStart"/>
      <w:r w:rsidRPr="00606064">
        <w:t>que</w:t>
      </w:r>
      <w:proofErr w:type="gramEnd"/>
      <w:r w:rsidRPr="00606064">
        <w:t xml:space="preserve"> </w:t>
      </w:r>
      <w:r w:rsidR="00694C71" w:rsidRPr="00606064">
        <w:t xml:space="preserve">les </w:t>
      </w:r>
      <w:r w:rsidRPr="00606064">
        <w:t>mémorandums d'accords ainsi que</w:t>
      </w:r>
      <w:r w:rsidR="00694C71" w:rsidRPr="00606064">
        <w:t xml:space="preserve"> les </w:t>
      </w:r>
      <w:r w:rsidRPr="00606064">
        <w:t>mémorandums de coopération</w:t>
      </w:r>
      <w:r w:rsidR="00694C71" w:rsidRPr="00606064">
        <w:rPr>
          <w:rStyle w:val="FootnoteReference"/>
        </w:rPr>
        <w:footnoteReference w:id="1"/>
      </w:r>
      <w:r w:rsidRPr="00606064">
        <w:t xml:space="preserve">, ou d'autres instruments, auxquels peuvent participer l'UIT, les </w:t>
      </w:r>
      <w:r w:rsidR="00A4422C" w:rsidRPr="00606064">
        <w:t>É</w:t>
      </w:r>
      <w:r w:rsidRPr="00606064">
        <w:t xml:space="preserve">tats Membres et les Membres des Secteurs, </w:t>
      </w:r>
      <w:r w:rsidR="006B5DE6" w:rsidRPr="00606064">
        <w:t xml:space="preserve">sont </w:t>
      </w:r>
      <w:r w:rsidRPr="00606064">
        <w:t>souvent utilisé</w:t>
      </w:r>
      <w:r w:rsidR="006B5DE6" w:rsidRPr="00606064">
        <w:t>s</w:t>
      </w:r>
      <w:r w:rsidRPr="00606064">
        <w:t xml:space="preserve"> pour faciliter une action concertée</w:t>
      </w:r>
      <w:r w:rsidR="002F2370" w:rsidRPr="00606064">
        <w:t>,</w:t>
      </w:r>
    </w:p>
    <w:p w14:paraId="495BDCA7" w14:textId="77777777" w:rsidR="004D22C4" w:rsidRPr="00606064" w:rsidRDefault="004D22C4" w:rsidP="00445E43">
      <w:pPr>
        <w:pStyle w:val="Call"/>
      </w:pPr>
      <w:proofErr w:type="gramStart"/>
      <w:r w:rsidRPr="00606064">
        <w:t>constatant</w:t>
      </w:r>
      <w:proofErr w:type="gramEnd"/>
    </w:p>
    <w:p w14:paraId="642CD56C" w14:textId="7F84C07C" w:rsidR="004D22C4" w:rsidRPr="00606064" w:rsidRDefault="004D22C4" w:rsidP="00445E43">
      <w:proofErr w:type="gramStart"/>
      <w:r w:rsidRPr="00606064">
        <w:t>que</w:t>
      </w:r>
      <w:proofErr w:type="gramEnd"/>
      <w:r w:rsidRPr="00606064">
        <w:t xml:space="preserve"> l'Union a conclu des mémorandums d'accord auxquels elle est partie </w:t>
      </w:r>
      <w:r w:rsidR="000E0C41" w:rsidRPr="00606064">
        <w:t xml:space="preserve">et </w:t>
      </w:r>
      <w:r w:rsidRPr="00606064">
        <w:t>qui ont des incidences financières ou stratégiques</w:t>
      </w:r>
      <w:r w:rsidR="002F2370" w:rsidRPr="00606064">
        <w:t>,</w:t>
      </w:r>
    </w:p>
    <w:p w14:paraId="27047983" w14:textId="77777777" w:rsidR="004D22C4" w:rsidRPr="00606064" w:rsidRDefault="004D22C4" w:rsidP="00445E43">
      <w:pPr>
        <w:pStyle w:val="Call"/>
      </w:pPr>
      <w:proofErr w:type="gramStart"/>
      <w:r w:rsidRPr="00606064">
        <w:t>estimant</w:t>
      </w:r>
      <w:proofErr w:type="gramEnd"/>
    </w:p>
    <w:p w14:paraId="71B651EE" w14:textId="77777777" w:rsidR="004D22C4" w:rsidRPr="00606064" w:rsidRDefault="004D22C4" w:rsidP="00445E43">
      <w:proofErr w:type="gramStart"/>
      <w:r w:rsidRPr="00606064">
        <w:t>que</w:t>
      </w:r>
      <w:proofErr w:type="gramEnd"/>
      <w:r w:rsidRPr="00606064">
        <w:t xml:space="preserve"> les mémorandums d'accord auxquels l'UIT est partie et qui ont des incidences financières ou stratégiques ne devraient être conclus que conformément aux critères adoptés par le Conseil et sous réserve de l'approbation du Conseil,</w:t>
      </w:r>
    </w:p>
    <w:p w14:paraId="7A721244" w14:textId="5CC7282F" w:rsidR="004D22C4" w:rsidRPr="00606064" w:rsidRDefault="004D22C4" w:rsidP="00445E43">
      <w:pPr>
        <w:pStyle w:val="Call"/>
      </w:pPr>
      <w:proofErr w:type="gramStart"/>
      <w:r w:rsidRPr="00606064">
        <w:t>décide</w:t>
      </w:r>
      <w:proofErr w:type="gramEnd"/>
    </w:p>
    <w:p w14:paraId="14B89518" w14:textId="0ACDFA0C" w:rsidR="002F2370" w:rsidRPr="00606064" w:rsidRDefault="002F2370" w:rsidP="00445E43">
      <w:r w:rsidRPr="00606064">
        <w:t>1</w:t>
      </w:r>
      <w:r w:rsidRPr="00606064">
        <w:tab/>
      </w:r>
      <w:r w:rsidR="00631805" w:rsidRPr="00606064">
        <w:t xml:space="preserve">que les mémorandums d'accord auxquels l'UIT </w:t>
      </w:r>
      <w:r w:rsidR="000E0C41" w:rsidRPr="00606064">
        <w:t xml:space="preserve">est partie et </w:t>
      </w:r>
      <w:r w:rsidR="00631805" w:rsidRPr="00606064">
        <w:t>qui ont des incidences financières ou stratégiques importantes ne devr</w:t>
      </w:r>
      <w:r w:rsidR="004839A5" w:rsidRPr="00606064">
        <w:t>o</w:t>
      </w:r>
      <w:r w:rsidR="00631805" w:rsidRPr="00606064">
        <w:t xml:space="preserve">nt être conclus que sous réserve de l'approbation préalable du </w:t>
      </w:r>
      <w:proofErr w:type="gramStart"/>
      <w:r w:rsidR="00631805" w:rsidRPr="00606064">
        <w:t>Conseil</w:t>
      </w:r>
      <w:r w:rsidRPr="00606064">
        <w:t>;</w:t>
      </w:r>
      <w:proofErr w:type="gramEnd"/>
    </w:p>
    <w:p w14:paraId="77D61C8B" w14:textId="28DB78D2" w:rsidR="002F2370" w:rsidRPr="00606064" w:rsidRDefault="002F2370" w:rsidP="00445E43">
      <w:r w:rsidRPr="00606064">
        <w:t>2</w:t>
      </w:r>
      <w:r w:rsidRPr="00606064">
        <w:tab/>
      </w:r>
      <w:r w:rsidR="00631805" w:rsidRPr="00606064">
        <w:t>que le Secrétaire général soumettra</w:t>
      </w:r>
      <w:r w:rsidR="003F13DB" w:rsidRPr="00606064">
        <w:t xml:space="preserve"> au Conseil à sa session ordinaire, pour approbation préalable,</w:t>
      </w:r>
      <w:r w:rsidR="00631805" w:rsidRPr="00606064">
        <w:t xml:space="preserve"> les mémorandums d'accord qui ont des incidences financières ou stratégiques </w:t>
      </w:r>
      <w:proofErr w:type="gramStart"/>
      <w:r w:rsidR="00631805" w:rsidRPr="00606064">
        <w:t>importantes</w:t>
      </w:r>
      <w:r w:rsidRPr="00606064">
        <w:t>;</w:t>
      </w:r>
      <w:proofErr w:type="gramEnd"/>
    </w:p>
    <w:p w14:paraId="0533AFD2" w14:textId="3043FEA9" w:rsidR="004D22C4" w:rsidRPr="00606064" w:rsidRDefault="002F2370" w:rsidP="00445E43">
      <w:r w:rsidRPr="00606064">
        <w:lastRenderedPageBreak/>
        <w:t>3</w:t>
      </w:r>
      <w:r w:rsidR="004D22C4" w:rsidRPr="00606064">
        <w:tab/>
      </w:r>
      <w:r w:rsidR="00040776" w:rsidRPr="00606064">
        <w:t xml:space="preserve">que le Secrétaire général </w:t>
      </w:r>
      <w:r w:rsidR="004D22C4" w:rsidRPr="00606064">
        <w:t>se conformer</w:t>
      </w:r>
      <w:r w:rsidR="00040776" w:rsidRPr="00606064">
        <w:t>a</w:t>
      </w:r>
      <w:r w:rsidR="004D22C4" w:rsidRPr="00606064">
        <w:t xml:space="preserve"> aux critères et aux lignes directrices énoncés dans l'Annexe 1 de la présente Résolution lors de la conclusion de mémorandums d'accord auxquels l'UIT sera partie et qui ont des incidences financières ou </w:t>
      </w:r>
      <w:proofErr w:type="gramStart"/>
      <w:r w:rsidR="004D22C4" w:rsidRPr="00606064">
        <w:t>stratégiques;</w:t>
      </w:r>
      <w:proofErr w:type="gramEnd"/>
    </w:p>
    <w:p w14:paraId="2AECBB2B" w14:textId="03CB896E" w:rsidR="004D22C4" w:rsidRPr="00606064" w:rsidRDefault="002F2370" w:rsidP="00445E43">
      <w:r w:rsidRPr="00606064">
        <w:t>4</w:t>
      </w:r>
      <w:r w:rsidR="004D22C4" w:rsidRPr="00606064">
        <w:tab/>
      </w:r>
      <w:r w:rsidR="00040776" w:rsidRPr="00606064">
        <w:t>qu'</w:t>
      </w:r>
      <w:r w:rsidRPr="00606064">
        <w:t xml:space="preserve">un rapport sur </w:t>
      </w:r>
      <w:r w:rsidR="003F13DB" w:rsidRPr="00606064">
        <w:t xml:space="preserve">tous </w:t>
      </w:r>
      <w:r w:rsidRPr="00606064">
        <w:t>les mémorandums d'accord conclus par l'UIT pendant la période considérée continuera d'être soumis</w:t>
      </w:r>
      <w:r w:rsidR="00040776" w:rsidRPr="00606064">
        <w:t xml:space="preserve"> </w:t>
      </w:r>
      <w:r w:rsidR="003F13DB" w:rsidRPr="00606064">
        <w:t xml:space="preserve">au Conseil à sa </w:t>
      </w:r>
      <w:r w:rsidR="00040776" w:rsidRPr="00606064">
        <w:t xml:space="preserve">session </w:t>
      </w:r>
      <w:proofErr w:type="gramStart"/>
      <w:r w:rsidR="00040776" w:rsidRPr="00606064">
        <w:t>ordinaire</w:t>
      </w:r>
      <w:r w:rsidRPr="00606064">
        <w:t>;</w:t>
      </w:r>
      <w:proofErr w:type="gramEnd"/>
    </w:p>
    <w:p w14:paraId="1E5ED90D" w14:textId="57F4E252" w:rsidR="002F2370" w:rsidRPr="00606064" w:rsidRDefault="002F2370" w:rsidP="00445E43">
      <w:r w:rsidRPr="00606064">
        <w:t>5</w:t>
      </w:r>
      <w:r w:rsidRPr="00606064">
        <w:tab/>
      </w:r>
      <w:r w:rsidR="00040776" w:rsidRPr="00606064">
        <w:t>que le</w:t>
      </w:r>
      <w:r w:rsidR="00002C0C" w:rsidRPr="00606064">
        <w:t xml:space="preserve"> Conseil, lorsqu'il examinera la participation de l'UIT à des mémorandums d'accord </w:t>
      </w:r>
      <w:r w:rsidR="003F13DB" w:rsidRPr="00606064">
        <w:t>ayant</w:t>
      </w:r>
      <w:r w:rsidR="00002C0C" w:rsidRPr="00606064">
        <w:t xml:space="preserve"> des incidences financières ou stratégiques importantes, appliquera les principes </w:t>
      </w:r>
      <w:proofErr w:type="gramStart"/>
      <w:r w:rsidR="00002C0C" w:rsidRPr="00606064">
        <w:t>suivants</w:t>
      </w:r>
      <w:r w:rsidRPr="00606064">
        <w:t>:</w:t>
      </w:r>
      <w:proofErr w:type="gramEnd"/>
    </w:p>
    <w:p w14:paraId="56669A88" w14:textId="24871024" w:rsidR="00002C0C" w:rsidRPr="00606064" w:rsidRDefault="00002C0C" w:rsidP="00445E43">
      <w:pPr>
        <w:pStyle w:val="enumlev1"/>
      </w:pPr>
      <w:r w:rsidRPr="00606064">
        <w:t>i)</w:t>
      </w:r>
      <w:r w:rsidRPr="00606064">
        <w:tab/>
        <w:t>toute</w:t>
      </w:r>
      <w:r w:rsidR="000E2CC1" w:rsidRPr="00606064">
        <w:t xml:space="preserve"> </w:t>
      </w:r>
      <w:r w:rsidR="00B14FF0" w:rsidRPr="00606064">
        <w:t>activité</w:t>
      </w:r>
      <w:r w:rsidRPr="00606064">
        <w:t xml:space="preserve"> du Secrétaire général à ce titre devra</w:t>
      </w:r>
      <w:r w:rsidR="00B14FF0" w:rsidRPr="00606064">
        <w:t xml:space="preserve"> contribuer à la réalisation de </w:t>
      </w:r>
      <w:r w:rsidRPr="00606064">
        <w:t>l'objet de l'Union énoncé dans l'article 1 de la Constitution et</w:t>
      </w:r>
      <w:r w:rsidR="00B14FF0" w:rsidRPr="00606064">
        <w:t xml:space="preserve"> s'inscrire dans le cadre de celui-ci, ainsi que </w:t>
      </w:r>
      <w:r w:rsidR="000E2CC1" w:rsidRPr="00606064">
        <w:t xml:space="preserve">dans le cadre </w:t>
      </w:r>
      <w:r w:rsidRPr="00606064">
        <w:t xml:space="preserve">des plans stratégique et financier de </w:t>
      </w:r>
      <w:proofErr w:type="gramStart"/>
      <w:r w:rsidRPr="00606064">
        <w:t>l'Union;</w:t>
      </w:r>
      <w:proofErr w:type="gramEnd"/>
    </w:p>
    <w:p w14:paraId="394337E3" w14:textId="7FEDD314" w:rsidR="00002C0C" w:rsidRPr="00606064" w:rsidRDefault="00002C0C" w:rsidP="00445E43">
      <w:pPr>
        <w:pStyle w:val="enumlev1"/>
      </w:pPr>
      <w:r w:rsidRPr="00606064">
        <w:t>ii)</w:t>
      </w:r>
      <w:r w:rsidRPr="00606064">
        <w:tab/>
        <w:t>les États Membres et les Membres de Secteur seront tenus informés des activités</w:t>
      </w:r>
      <w:r w:rsidR="004839A5" w:rsidRPr="00606064">
        <w:t xml:space="preserve"> </w:t>
      </w:r>
      <w:r w:rsidR="000E2CC1" w:rsidRPr="00606064">
        <w:t xml:space="preserve">de </w:t>
      </w:r>
      <w:r w:rsidRPr="00606064">
        <w:t>l'UIT lorsqu</w:t>
      </w:r>
      <w:r w:rsidR="000E2CC1" w:rsidRPr="00606064">
        <w:t xml:space="preserve">e celle-ci est partie </w:t>
      </w:r>
      <w:r w:rsidRPr="00606064">
        <w:t xml:space="preserve">à des mémorandums d'accord </w:t>
      </w:r>
      <w:r w:rsidR="000E2CC1" w:rsidRPr="00606064">
        <w:t xml:space="preserve">ayant </w:t>
      </w:r>
      <w:r w:rsidRPr="00606064">
        <w:t xml:space="preserve">des incidences financières ou stratégiques </w:t>
      </w:r>
      <w:proofErr w:type="gramStart"/>
      <w:r w:rsidRPr="00606064">
        <w:t>importantes;</w:t>
      </w:r>
      <w:proofErr w:type="gramEnd"/>
    </w:p>
    <w:p w14:paraId="62C3D4A8" w14:textId="30213036" w:rsidR="00002C0C" w:rsidRPr="00606064" w:rsidRDefault="00002C0C" w:rsidP="00445E43">
      <w:pPr>
        <w:pStyle w:val="enumlev1"/>
      </w:pPr>
      <w:r w:rsidRPr="00606064">
        <w:t>iii)</w:t>
      </w:r>
      <w:r w:rsidRPr="00606064">
        <w:tab/>
        <w:t>la souveraineté et les droits des États Membres de l'UIT</w:t>
      </w:r>
      <w:r w:rsidR="00B14FF0" w:rsidRPr="00606064">
        <w:t xml:space="preserve"> devront</w:t>
      </w:r>
      <w:r w:rsidRPr="00606064">
        <w:t xml:space="preserve"> être pleinement respectés et préservés.</w:t>
      </w:r>
    </w:p>
    <w:p w14:paraId="0D7037FC" w14:textId="57EFF03A" w:rsidR="002F2370" w:rsidRPr="00606064" w:rsidRDefault="00592EB9" w:rsidP="00445E43">
      <w:r w:rsidRPr="00606064">
        <w:t>6</w:t>
      </w:r>
      <w:r w:rsidRPr="00606064">
        <w:tab/>
      </w:r>
      <w:r w:rsidR="0078482B" w:rsidRPr="00606064">
        <w:t>qu</w:t>
      </w:r>
      <w:r w:rsidR="00A4422C" w:rsidRPr="00606064">
        <w:t>'</w:t>
      </w:r>
      <w:r w:rsidR="004839A5" w:rsidRPr="00606064">
        <w:t xml:space="preserve">il sera fait état de </w:t>
      </w:r>
      <w:r w:rsidR="0078482B" w:rsidRPr="00606064">
        <w:t>l</w:t>
      </w:r>
      <w:r w:rsidR="002F2370" w:rsidRPr="00606064">
        <w:t>'</w:t>
      </w:r>
      <w:r w:rsidR="00002C0C" w:rsidRPr="00606064">
        <w:t xml:space="preserve">activité ci-dessus dans le rapport </w:t>
      </w:r>
      <w:r w:rsidR="004839A5" w:rsidRPr="00606064">
        <w:t>du</w:t>
      </w:r>
      <w:r w:rsidR="00002C0C" w:rsidRPr="00606064">
        <w:t xml:space="preserve"> Conseil à la Conférence de plénipotentiaires sur la mise en œuvre du Plan stratégique et des activités de l'Union.</w:t>
      </w:r>
    </w:p>
    <w:p w14:paraId="48B48700" w14:textId="77777777" w:rsidR="004D22C4" w:rsidRPr="00606064" w:rsidRDefault="004D22C4" w:rsidP="00445E43">
      <w:pPr>
        <w:pStyle w:val="AnnexNo"/>
      </w:pPr>
      <w:r w:rsidRPr="00606064">
        <w:t>ANNEXE 1</w:t>
      </w:r>
    </w:p>
    <w:p w14:paraId="6FE3C1D7" w14:textId="43DB7169" w:rsidR="004D22C4" w:rsidRPr="00606064" w:rsidRDefault="004D22C4" w:rsidP="00445E43">
      <w:pPr>
        <w:pStyle w:val="Annextitle"/>
      </w:pPr>
      <w:r w:rsidRPr="00606064">
        <w:t>Critères et lignes directrices régissant la participation de l'UIT aux mémorandums</w:t>
      </w:r>
      <w:r w:rsidR="00592EB9" w:rsidRPr="00606064">
        <w:br/>
      </w:r>
      <w:r w:rsidRPr="00606064">
        <w:t>d'accord ayant des incidences financières ou stratégiques</w:t>
      </w:r>
    </w:p>
    <w:p w14:paraId="0F904D12" w14:textId="77777777" w:rsidR="004D22C4" w:rsidRPr="00606064" w:rsidRDefault="004D22C4" w:rsidP="00445E43">
      <w:pPr>
        <w:pStyle w:val="Heading1"/>
      </w:pPr>
      <w:r w:rsidRPr="00606064">
        <w:t>1</w:t>
      </w:r>
      <w:r w:rsidRPr="00606064">
        <w:tab/>
        <w:t>Applicabilité</w:t>
      </w:r>
    </w:p>
    <w:p w14:paraId="2DE957AC" w14:textId="66C9EF04" w:rsidR="004D22C4" w:rsidRPr="00606064" w:rsidRDefault="004D22C4" w:rsidP="00445E43">
      <w:r w:rsidRPr="00606064">
        <w:t>En ce qui concerne les mémorandums d'accord ainsi que les instruments analogues auxquels l'UIT sera partie, les critères ci-dessous permettront à l'UIT d'identifier les mémorandums qui ont des incidences financières ou stratégiques importantes. Pour ce</w:t>
      </w:r>
      <w:r w:rsidR="0078482B" w:rsidRPr="00606064">
        <w:t>s</w:t>
      </w:r>
      <w:r w:rsidRPr="00606064">
        <w:t xml:space="preserve"> mémorandums d'accord, les lignes directrices décrivent la manière dont l'UIT obtiendra que le Conseil procède à un examen et fournisse des orientations, sous réserve de la ligne directrice 4.4 ci-dessous. Les présents critères et les présentes lignes directrices ne s'appliquent pas aux accords d'amortissement, aux accords de licence, aux accords relatifs à la distribution des publications, aux accords relatifs aux questions de personnel, aux marchés d'achat ou de location de biens, travaux ou services conclus par l'UIT </w:t>
      </w:r>
      <w:r w:rsidR="0078482B" w:rsidRPr="00606064">
        <w:t>ou</w:t>
      </w:r>
      <w:r w:rsidRPr="00606064">
        <w:t xml:space="preserve"> </w:t>
      </w:r>
      <w:r w:rsidR="0078482B" w:rsidRPr="00606064">
        <w:t xml:space="preserve">aux </w:t>
      </w:r>
      <w:r w:rsidRPr="00606064">
        <w:t xml:space="preserve">mémorandums d'accord conclus par l'UIT </w:t>
      </w:r>
      <w:r w:rsidR="0078482B" w:rsidRPr="00606064">
        <w:t xml:space="preserve">qui </w:t>
      </w:r>
      <w:r w:rsidRPr="00606064">
        <w:t>n'ont pas d'incidences financières ou stratégiques importantes et ne nécessitent pas que le Conseil procède à un examen et fournisse des orientations.</w:t>
      </w:r>
    </w:p>
    <w:p w14:paraId="6BD53ACC" w14:textId="77777777" w:rsidR="004D22C4" w:rsidRPr="00606064" w:rsidRDefault="004D22C4" w:rsidP="00A4422C">
      <w:pPr>
        <w:pStyle w:val="Heading1"/>
      </w:pPr>
      <w:r w:rsidRPr="00606064">
        <w:lastRenderedPageBreak/>
        <w:t>2</w:t>
      </w:r>
      <w:r w:rsidRPr="00606064">
        <w:tab/>
        <w:t>Principes directeurs</w:t>
      </w:r>
    </w:p>
    <w:p w14:paraId="6E3D91BA" w14:textId="40AF219E" w:rsidR="004D22C4" w:rsidRPr="00606064" w:rsidRDefault="004D22C4" w:rsidP="00A4422C">
      <w:pPr>
        <w:keepNext/>
        <w:keepLines/>
      </w:pPr>
      <w:r w:rsidRPr="00606064">
        <w:t>Les critères et les lignes directrices exposés dans la présente Annexe sont fondés sur les principes ci-</w:t>
      </w:r>
      <w:proofErr w:type="gramStart"/>
      <w:r w:rsidRPr="00606064">
        <w:t>après:</w:t>
      </w:r>
      <w:proofErr w:type="gramEnd"/>
    </w:p>
    <w:p w14:paraId="4B0C82E2" w14:textId="77777777" w:rsidR="004D22C4" w:rsidRPr="00606064" w:rsidRDefault="004D22C4" w:rsidP="00A4422C">
      <w:pPr>
        <w:pStyle w:val="enumlev1"/>
        <w:keepNext/>
        <w:keepLines/>
      </w:pPr>
      <w:r w:rsidRPr="00606064">
        <w:t>1)</w:t>
      </w:r>
      <w:r w:rsidRPr="00606064">
        <w:tab/>
        <w:t>La participation de l'UIT à un mémorandum d'accord contribuera à la réalisation de l'objet de l'Union énoncé à l'article 1 de la Constitution et s'inscrira dans le cadre de celui-ci, ainsi que dans le cadre des plans stratégique et financier de l'Union.</w:t>
      </w:r>
    </w:p>
    <w:p w14:paraId="3A05EAC0" w14:textId="079466CD" w:rsidR="004D22C4" w:rsidRPr="00606064" w:rsidRDefault="004D22C4" w:rsidP="00445E43">
      <w:pPr>
        <w:pStyle w:val="enumlev1"/>
      </w:pPr>
      <w:r w:rsidRPr="00606064">
        <w:t>2)</w:t>
      </w:r>
      <w:r w:rsidRPr="00606064">
        <w:tab/>
        <w:t xml:space="preserve">Les </w:t>
      </w:r>
      <w:r w:rsidR="00A4422C" w:rsidRPr="00606064">
        <w:t>É</w:t>
      </w:r>
      <w:r w:rsidRPr="00606064">
        <w:t>tats Membres et les Membres des Secteurs intéressés seront tenus informés des activités de l'UIT lorsque celle-ci participe à des mémorandums d'accord, y compris à ceux qui ont des incidences financières ou stratégiques.</w:t>
      </w:r>
    </w:p>
    <w:p w14:paraId="100B88A4" w14:textId="35EB7C97" w:rsidR="004D22C4" w:rsidRPr="00606064" w:rsidRDefault="004D22C4" w:rsidP="00445E43">
      <w:pPr>
        <w:pStyle w:val="enumlev1"/>
      </w:pPr>
      <w:r w:rsidRPr="00606064">
        <w:t>3)</w:t>
      </w:r>
      <w:r w:rsidRPr="00606064">
        <w:tab/>
        <w:t xml:space="preserve">La souveraineté et les droits des </w:t>
      </w:r>
      <w:r w:rsidR="00A4422C" w:rsidRPr="00606064">
        <w:t>É</w:t>
      </w:r>
      <w:r w:rsidRPr="00606064">
        <w:t>tats Membres de l'UIT s</w:t>
      </w:r>
      <w:r w:rsidR="008F5D2D" w:rsidRPr="00606064">
        <w:t>er</w:t>
      </w:r>
      <w:r w:rsidRPr="00606064">
        <w:t>ont pleinement respectés et préservés.</w:t>
      </w:r>
    </w:p>
    <w:p w14:paraId="2585BA98" w14:textId="77777777" w:rsidR="004D22C4" w:rsidRPr="00606064" w:rsidRDefault="004D22C4" w:rsidP="00445E43">
      <w:pPr>
        <w:pStyle w:val="Heading1"/>
      </w:pPr>
      <w:r w:rsidRPr="00606064">
        <w:t>3</w:t>
      </w:r>
      <w:r w:rsidRPr="00606064">
        <w:tab/>
        <w:t>Critères d'évaluation des incidences financières ou stratégiques importantes</w:t>
      </w:r>
    </w:p>
    <w:p w14:paraId="165429D8" w14:textId="61C79349" w:rsidR="004D22C4" w:rsidRPr="00606064" w:rsidRDefault="004D22C4" w:rsidP="00445E43">
      <w:r w:rsidRPr="00606064">
        <w:t>3.1</w:t>
      </w:r>
      <w:r w:rsidRPr="00606064">
        <w:tab/>
        <w:t xml:space="preserve">Les mémorandums d'accord sont considérés comme ayant des incidences financières ou stratégiques </w:t>
      </w:r>
      <w:r w:rsidR="00F05997" w:rsidRPr="00606064">
        <w:t>importantes</w:t>
      </w:r>
      <w:r w:rsidR="00A4422C" w:rsidRPr="00606064">
        <w:t xml:space="preserve"> </w:t>
      </w:r>
      <w:r w:rsidR="007D2944" w:rsidRPr="00606064">
        <w:t xml:space="preserve">si </w:t>
      </w:r>
      <w:r w:rsidRPr="00606064">
        <w:t xml:space="preserve">l'un des critères suivants est </w:t>
      </w:r>
      <w:proofErr w:type="gramStart"/>
      <w:r w:rsidRPr="00606064">
        <w:t>rempli:</w:t>
      </w:r>
      <w:proofErr w:type="gramEnd"/>
      <w:r w:rsidRPr="00606064">
        <w:t xml:space="preserve"> </w:t>
      </w:r>
    </w:p>
    <w:p w14:paraId="35D60807" w14:textId="6DB63706" w:rsidR="004D22C4" w:rsidRPr="00606064" w:rsidRDefault="0013340C" w:rsidP="00445E43">
      <w:pPr>
        <w:pStyle w:val="enumlev1"/>
      </w:pPr>
      <w:r w:rsidRPr="00606064">
        <w:t>a</w:t>
      </w:r>
      <w:r w:rsidR="004D22C4" w:rsidRPr="00606064">
        <w:t>)</w:t>
      </w:r>
      <w:r w:rsidR="004D22C4" w:rsidRPr="00606064">
        <w:tab/>
        <w:t xml:space="preserve">la participation de l'UIT aux mémorandums d'accord exigera de la part de l'UIT des dépenses dont le montant créerait des déséquilibres </w:t>
      </w:r>
      <w:proofErr w:type="gramStart"/>
      <w:r w:rsidR="004D22C4" w:rsidRPr="00606064">
        <w:t>budgétaires;</w:t>
      </w:r>
      <w:proofErr w:type="gramEnd"/>
    </w:p>
    <w:p w14:paraId="6EFED619" w14:textId="3E8DBB30" w:rsidR="004D22C4" w:rsidRPr="00606064" w:rsidRDefault="0013340C" w:rsidP="00445E43">
      <w:pPr>
        <w:pStyle w:val="enumlev1"/>
      </w:pPr>
      <w:r w:rsidRPr="00606064">
        <w:t>b</w:t>
      </w:r>
      <w:r w:rsidR="004D22C4" w:rsidRPr="00606064">
        <w:t>)</w:t>
      </w:r>
      <w:r w:rsidR="004D22C4" w:rsidRPr="00606064">
        <w:tab/>
        <w:t xml:space="preserve">l'UIT assume une responsabilité, soit en son nom propre, soit au nom d'autres parties au mémorandum d'accord, qui nuirait à la capacité de l'Union de respecter les limites du budget autorisé et approuvé ou d'atteindre les objectifs énoncés dans le plan stratégique ou les plans </w:t>
      </w:r>
      <w:proofErr w:type="gramStart"/>
      <w:r w:rsidR="004D22C4" w:rsidRPr="00606064">
        <w:t>opérationnels;</w:t>
      </w:r>
      <w:proofErr w:type="gramEnd"/>
    </w:p>
    <w:p w14:paraId="416869F4" w14:textId="308C0523" w:rsidR="004D22C4" w:rsidRPr="00606064" w:rsidRDefault="0013340C" w:rsidP="00445E43">
      <w:pPr>
        <w:pStyle w:val="enumlev1"/>
      </w:pPr>
      <w:r w:rsidRPr="00606064">
        <w:t>c</w:t>
      </w:r>
      <w:r w:rsidR="004D22C4" w:rsidRPr="00606064">
        <w:t>)</w:t>
      </w:r>
      <w:r w:rsidR="004D22C4" w:rsidRPr="00606064">
        <w:tab/>
        <w:t xml:space="preserve">le niveau des effectifs ou des autres ressources que l'UIT doit réaffecter à d'autres fins pour mettre en </w:t>
      </w:r>
      <w:proofErr w:type="spellStart"/>
      <w:r w:rsidR="004D22C4" w:rsidRPr="00606064">
        <w:t>oeuvre</w:t>
      </w:r>
      <w:proofErr w:type="spellEnd"/>
      <w:r w:rsidR="004D22C4" w:rsidRPr="00606064">
        <w:t xml:space="preserve"> les projets et activités figurant dans le plan stratégique et les plans opérationnels approuvés ou les échéances fixées pour les travaux que doit effectuer l'UIT afin d'appuyer sa participation au mémorandum d'accord sera supérieur aux budgets autorisés et approuvés ou nuiront à la capacité de l'UIT d'atteindre les objectifs énoncés dans le plan stratégique ou les plans opérationnels; ou</w:t>
      </w:r>
    </w:p>
    <w:p w14:paraId="5DB58CA2" w14:textId="3B8F9B2E" w:rsidR="004D22C4" w:rsidRPr="00606064" w:rsidRDefault="0013340C" w:rsidP="00445E43">
      <w:pPr>
        <w:pStyle w:val="enumlev1"/>
      </w:pPr>
      <w:r w:rsidRPr="00606064">
        <w:t>d</w:t>
      </w:r>
      <w:r w:rsidR="004D22C4" w:rsidRPr="00606064">
        <w:t>)</w:t>
      </w:r>
      <w:r w:rsidR="004D22C4" w:rsidRPr="00606064">
        <w:tab/>
        <w:t>la participation de l'UIT au mémorandum d'accord ne relèverait pas du mandat de l'UIT, tel qu'il est énoncé dans la Constitution, la Convention et les Résolutions de l'UIT, ou ne s'inscrirait pas dans le cadre du plan financier, du plan stratégique ou des plans opérationnels de l'Union.</w:t>
      </w:r>
    </w:p>
    <w:p w14:paraId="18E0F846" w14:textId="4CCBB63D" w:rsidR="004D22C4" w:rsidRPr="00606064" w:rsidRDefault="004D22C4" w:rsidP="00445E43">
      <w:r w:rsidRPr="00606064">
        <w:t>3.2</w:t>
      </w:r>
      <w:r w:rsidRPr="00606064">
        <w:tab/>
        <w:t>En outre, le Secrétaire général devrait porter le mémorandum proposé à l'attention du Conseil s'il estime que ledit mémorandum soulève des questions stratégiques ou financières sensibles, même si aucun des critères énoncés ci-dessus n'est rempli.</w:t>
      </w:r>
    </w:p>
    <w:p w14:paraId="09A14B9B" w14:textId="77777777" w:rsidR="004D22C4" w:rsidRPr="00606064" w:rsidRDefault="004D22C4" w:rsidP="00A4422C">
      <w:pPr>
        <w:pStyle w:val="Heading1"/>
      </w:pPr>
      <w:r w:rsidRPr="00606064">
        <w:lastRenderedPageBreak/>
        <w:t>4</w:t>
      </w:r>
      <w:r w:rsidRPr="00606064">
        <w:tab/>
        <w:t>Lignes directrices relatives à l'obtention d'un examen et d'orientations du Conseil quant à la participation de l'UIT aux mémorandums d'accord ayant des incidences financières ou stratégiques importantes</w:t>
      </w:r>
    </w:p>
    <w:p w14:paraId="0BDE394D" w14:textId="3E1B3254" w:rsidR="004D22C4" w:rsidRPr="00606064" w:rsidRDefault="000A28C2" w:rsidP="00A4422C">
      <w:pPr>
        <w:keepNext/>
        <w:keepLines/>
      </w:pPr>
      <w:r w:rsidRPr="00606064">
        <w:t>I</w:t>
      </w:r>
      <w:r w:rsidR="004D22C4" w:rsidRPr="00606064">
        <w:t>l convient de suivre les lignes directrices ci-après pour que le Conseil procède à un examen et fournisse des orientations concernant la participation de l'UIT uniquement en ce qui concerne les mémorandums d'accord ayant des incidences financières ou stratégiques importantes, telles que déterminées selon les critères indiqués au point 3 ci-</w:t>
      </w:r>
      <w:proofErr w:type="gramStart"/>
      <w:r w:rsidR="004D22C4" w:rsidRPr="00606064">
        <w:t>dessus:</w:t>
      </w:r>
      <w:proofErr w:type="gramEnd"/>
    </w:p>
    <w:p w14:paraId="6748F718" w14:textId="34669722" w:rsidR="004D22C4" w:rsidRPr="00606064" w:rsidRDefault="004D22C4" w:rsidP="00445E43">
      <w:pPr>
        <w:pStyle w:val="enumlev1"/>
      </w:pPr>
      <w:r w:rsidRPr="00606064">
        <w:t>1)</w:t>
      </w:r>
      <w:r w:rsidRPr="00606064">
        <w:tab/>
        <w:t xml:space="preserve">le Secrétaire général, </w:t>
      </w:r>
      <w:r w:rsidR="0097484C" w:rsidRPr="00606064">
        <w:t>conformément à la présente Résolution</w:t>
      </w:r>
      <w:r w:rsidRPr="00606064">
        <w:t xml:space="preserve">, évaluera si un mémorandum d'accord en projet répond aux critères décrits ci-dessus pour déterminer si un mémorandum d'accord a des incidences financières ou stratégiques </w:t>
      </w:r>
      <w:proofErr w:type="gramStart"/>
      <w:r w:rsidRPr="00606064">
        <w:t>importantes;</w:t>
      </w:r>
      <w:proofErr w:type="gramEnd"/>
    </w:p>
    <w:p w14:paraId="753C2F6E" w14:textId="73F4DEA8" w:rsidR="004D22C4" w:rsidRPr="00606064" w:rsidRDefault="004D22C4" w:rsidP="00445E43">
      <w:pPr>
        <w:pStyle w:val="enumlev1"/>
      </w:pPr>
      <w:r w:rsidRPr="00606064">
        <w:t>2)</w:t>
      </w:r>
      <w:r w:rsidRPr="00606064">
        <w:tab/>
        <w:t xml:space="preserve">en ce qui concerne les mémorandums d'accord ayant des incidences financières ou stratégiques importantes, </w:t>
      </w:r>
      <w:r w:rsidR="0097484C" w:rsidRPr="00606064">
        <w:t>le Secrétaire général</w:t>
      </w:r>
      <w:r w:rsidRPr="00606064">
        <w:t xml:space="preserve"> établira une contribution à l'intention du Conseil, décrivant le mémorandum d'accord proposé, l'activité qui devrait être menée à bien par l'UIT si celle-ci était amenée à participer au mémorandum d'accord et les incidences stratégiques que pourrait avoir cette participation, ainsi que les ressources financières et les autres ressources que l'UIT devrait engager pour s'acquitter de ses obligations au titre du mémorandum d'accord proposé. En outre, il conviendra d'identifier le Bureau concerné de l'UIT ou, selon le cas, le Département du Secrétariat général responsable du mémorandum </w:t>
      </w:r>
      <w:proofErr w:type="gramStart"/>
      <w:r w:rsidRPr="00606064">
        <w:t>d'accord;</w:t>
      </w:r>
      <w:proofErr w:type="gramEnd"/>
    </w:p>
    <w:p w14:paraId="20F47564" w14:textId="140EC321" w:rsidR="004D22C4" w:rsidRPr="00606064" w:rsidRDefault="004D22C4" w:rsidP="00445E43">
      <w:pPr>
        <w:pStyle w:val="enumlev1"/>
      </w:pPr>
      <w:r w:rsidRPr="00606064">
        <w:t>3)</w:t>
      </w:r>
      <w:r w:rsidRPr="00606064">
        <w:tab/>
        <w:t xml:space="preserve">le Secrétaire général soumet cette contribution </w:t>
      </w:r>
      <w:r w:rsidR="0097484C" w:rsidRPr="00606064">
        <w:t xml:space="preserve">à la session suivante du </w:t>
      </w:r>
      <w:r w:rsidRPr="00606064">
        <w:t>Conseil pour qu'il procède à un examen et fournisse des orientations, et sur la base de ces orientations, le Secrétaire général pourra conclure ledit mémorandum d'accord au nom de l'UIT</w:t>
      </w:r>
      <w:r w:rsidR="0097484C" w:rsidRPr="00606064">
        <w:t xml:space="preserve">, s'il est approuvé par le </w:t>
      </w:r>
      <w:proofErr w:type="gramStart"/>
      <w:r w:rsidR="0097484C" w:rsidRPr="00606064">
        <w:t>Conseil</w:t>
      </w:r>
      <w:r w:rsidRPr="00606064">
        <w:t>;</w:t>
      </w:r>
      <w:proofErr w:type="gramEnd"/>
    </w:p>
    <w:p w14:paraId="5D483C7E" w14:textId="6C09F1DD" w:rsidR="004D22C4" w:rsidRPr="00606064" w:rsidRDefault="004D22C4" w:rsidP="00445E43">
      <w:pPr>
        <w:pStyle w:val="enumlev1"/>
      </w:pPr>
      <w:r w:rsidRPr="00606064">
        <w:t>4)</w:t>
      </w:r>
      <w:r w:rsidRPr="00606064">
        <w:tab/>
        <w:t>si le Secrétaire général détermine que des circonstances</w:t>
      </w:r>
      <w:r w:rsidR="008916ED" w:rsidRPr="00606064">
        <w:t xml:space="preserve"> manifestement</w:t>
      </w:r>
      <w:r w:rsidRPr="00606064">
        <w:t xml:space="preserve"> urgentes nécessitent l'entrée en vigueur d'un mémorandum d'accord avant que le Conseil ait procédé à son examen et fourni des orientations, le Secrétaire général, ou son représentant désigné, insère une disposition expresse dans le mémorandum d'accord, permettant la dénonciation ou la modification </w:t>
      </w:r>
      <w:r w:rsidR="00E617F6" w:rsidRPr="00606064">
        <w:t xml:space="preserve">avec effet immédiat </w:t>
      </w:r>
      <w:r w:rsidRPr="00606064">
        <w:t>et notant que le Conseil de l'UIT pourrait exiger la dénonciation ou la modification du mémorandum d'accord;</w:t>
      </w:r>
    </w:p>
    <w:p w14:paraId="37458C55" w14:textId="77777777" w:rsidR="004D22C4" w:rsidRPr="00606064" w:rsidRDefault="004D22C4" w:rsidP="00445E43">
      <w:pPr>
        <w:pStyle w:val="enumlev1"/>
      </w:pPr>
      <w:r w:rsidRPr="00606064">
        <w:t>5)</w:t>
      </w:r>
      <w:r w:rsidRPr="00606064">
        <w:tab/>
        <w:t xml:space="preserve">une fois que l'activité envisagée dans le mémorandum d'accord a été menée à bien, le Secrétaire général établit à l'intention du Conseil un rapport décrivant les résultats obtenus, les ressources engagées et les mesures suivantes, le cas échéant, qu'il est prévu de prendre par suite de la mise en </w:t>
      </w:r>
      <w:proofErr w:type="spellStart"/>
      <w:r w:rsidRPr="00606064">
        <w:t>oeuvre</w:t>
      </w:r>
      <w:proofErr w:type="spellEnd"/>
      <w:r w:rsidRPr="00606064">
        <w:t xml:space="preserve"> du mémorandum d'accord.</w:t>
      </w:r>
    </w:p>
    <w:p w14:paraId="2FB7988D" w14:textId="75C27067" w:rsidR="000A28C2" w:rsidRPr="00606064" w:rsidRDefault="004D22C4" w:rsidP="00445E43">
      <w:r w:rsidRPr="00606064">
        <w:t xml:space="preserve">En plus de ces rapports, le Secrétaire général soumet chaque année au Conseil une liste de tous les mémorandums d'accord </w:t>
      </w:r>
      <w:r w:rsidR="00E617F6" w:rsidRPr="00606064">
        <w:t>en vigueur et des activités</w:t>
      </w:r>
      <w:r w:rsidR="00497492" w:rsidRPr="00606064">
        <w:t xml:space="preserve"> menées</w:t>
      </w:r>
      <w:r w:rsidR="00E617F6" w:rsidRPr="00606064">
        <w:t xml:space="preserve"> en application </w:t>
      </w:r>
      <w:r w:rsidR="00497492" w:rsidRPr="00606064">
        <w:t>desdits mémorandums</w:t>
      </w:r>
      <w:r w:rsidR="00A4422C" w:rsidRPr="00606064">
        <w:t>.</w:t>
      </w:r>
    </w:p>
    <w:p w14:paraId="1D8D4475" w14:textId="77777777" w:rsidR="000A28C2" w:rsidRPr="00606064" w:rsidRDefault="000A28C2" w:rsidP="00445E43">
      <w:pPr>
        <w:pStyle w:val="Reasons"/>
      </w:pPr>
    </w:p>
    <w:p w14:paraId="0A22C2BA" w14:textId="0F752EAA" w:rsidR="006E7E63" w:rsidRPr="00606064" w:rsidRDefault="000A28C2" w:rsidP="00445E43">
      <w:pPr>
        <w:jc w:val="center"/>
      </w:pPr>
      <w:r w:rsidRPr="00606064">
        <w:t>______________</w:t>
      </w:r>
    </w:p>
    <w:sectPr w:rsidR="006E7E63" w:rsidRPr="00606064" w:rsidSect="003A0B7D">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72C0" w14:textId="77777777" w:rsidR="00A37D48" w:rsidRDefault="00A37D48">
      <w:r>
        <w:separator/>
      </w:r>
    </w:p>
  </w:endnote>
  <w:endnote w:type="continuationSeparator" w:id="0">
    <w:p w14:paraId="324A9563" w14:textId="77777777" w:rsidR="00A37D48" w:rsidRDefault="00A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9D5" w14:textId="77777777" w:rsidR="00157CD2" w:rsidRDefault="00157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2EB4" w14:textId="706C36B2" w:rsidR="0013340C" w:rsidRPr="003F0B7C" w:rsidRDefault="0013340C" w:rsidP="003F0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726E" w14:textId="3A732B79" w:rsidR="000C467B" w:rsidRDefault="000D15FB" w:rsidP="007D03A3">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6C31" w14:textId="77777777" w:rsidR="00A37D48" w:rsidRDefault="00A37D48">
      <w:r>
        <w:t>____________________</w:t>
      </w:r>
    </w:p>
  </w:footnote>
  <w:footnote w:type="continuationSeparator" w:id="0">
    <w:p w14:paraId="420EAF65" w14:textId="77777777" w:rsidR="00A37D48" w:rsidRDefault="00A37D48">
      <w:r>
        <w:continuationSeparator/>
      </w:r>
    </w:p>
  </w:footnote>
  <w:footnote w:id="1">
    <w:p w14:paraId="4C69853B" w14:textId="273C68C3" w:rsidR="00694C71" w:rsidRPr="00445E43" w:rsidRDefault="00694C71">
      <w:pPr>
        <w:pStyle w:val="FootnoteText"/>
        <w:rPr>
          <w:lang w:val="fr-CH"/>
        </w:rPr>
      </w:pPr>
      <w:r>
        <w:rPr>
          <w:rStyle w:val="FootnoteReference"/>
        </w:rPr>
        <w:footnoteRef/>
      </w:r>
      <w:r w:rsidR="007D03A3">
        <w:tab/>
      </w:r>
      <w:r w:rsidRPr="00694C71">
        <w:t xml:space="preserve">Le terme "mémorandum d'accord", chaque fois qu'il est utilisé dans la présente </w:t>
      </w:r>
      <w:r w:rsidR="003F13DB">
        <w:t>R</w:t>
      </w:r>
      <w:r w:rsidRPr="00694C71">
        <w:t>ésolution, désigne également les mémorandums de coopération.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7BCC" w14:textId="77777777" w:rsidR="00157CD2" w:rsidRDefault="00157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E88B" w14:textId="4CA2AF44" w:rsidR="00BD1614" w:rsidRDefault="00BD1614" w:rsidP="00BD1614">
    <w:pPr>
      <w:pStyle w:val="Header"/>
    </w:pPr>
    <w:r>
      <w:fldChar w:fldCharType="begin"/>
    </w:r>
    <w:r>
      <w:instrText xml:space="preserve"> PAGE </w:instrText>
    </w:r>
    <w:r>
      <w:fldChar w:fldCharType="separate"/>
    </w:r>
    <w:r w:rsidR="00157CD2">
      <w:rPr>
        <w:noProof/>
      </w:rPr>
      <w:t>5</w:t>
    </w:r>
    <w:r>
      <w:fldChar w:fldCharType="end"/>
    </w:r>
  </w:p>
  <w:p w14:paraId="33B90AB7" w14:textId="77777777" w:rsidR="00BD1614" w:rsidRDefault="00BD1614" w:rsidP="001E2226">
    <w:pPr>
      <w:pStyle w:val="Header"/>
    </w:pPr>
    <w:r>
      <w:t>PP</w:t>
    </w:r>
    <w:r w:rsidR="002A7A1D">
      <w:t>22</w:t>
    </w:r>
    <w:r>
      <w:t>/76(Add.</w:t>
    </w:r>
    <w:proofErr w:type="gramStart"/>
    <w:r>
      <w:t>22)-</w:t>
    </w:r>
    <w:proofErr w:type="gramEnd"/>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DC0F" w14:textId="77777777" w:rsidR="00157CD2" w:rsidRDefault="00157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FEA9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30A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8D6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C29C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8A51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02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F48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362E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6C5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E88530"/>
    <w:lvl w:ilvl="0">
      <w:start w:val="1"/>
      <w:numFmt w:val="bullet"/>
      <w:lvlText w:val=""/>
      <w:lvlJc w:val="left"/>
      <w:pPr>
        <w:tabs>
          <w:tab w:val="num" w:pos="360"/>
        </w:tabs>
        <w:ind w:left="360" w:hanging="360"/>
      </w:pPr>
      <w:rPr>
        <w:rFonts w:ascii="Symbol" w:hAnsi="Symbol" w:hint="default"/>
      </w:rPr>
    </w:lvl>
  </w:abstractNum>
  <w:num w:numId="1" w16cid:durableId="1143700031">
    <w:abstractNumId w:val="9"/>
  </w:num>
  <w:num w:numId="2" w16cid:durableId="1138036728">
    <w:abstractNumId w:val="7"/>
  </w:num>
  <w:num w:numId="3" w16cid:durableId="1145852070">
    <w:abstractNumId w:val="6"/>
  </w:num>
  <w:num w:numId="4" w16cid:durableId="1879275941">
    <w:abstractNumId w:val="5"/>
  </w:num>
  <w:num w:numId="5" w16cid:durableId="1246188238">
    <w:abstractNumId w:val="4"/>
  </w:num>
  <w:num w:numId="6" w16cid:durableId="1478184539">
    <w:abstractNumId w:val="8"/>
  </w:num>
  <w:num w:numId="7" w16cid:durableId="772017446">
    <w:abstractNumId w:val="3"/>
  </w:num>
  <w:num w:numId="8" w16cid:durableId="365716700">
    <w:abstractNumId w:val="2"/>
  </w:num>
  <w:num w:numId="9" w16cid:durableId="428815196">
    <w:abstractNumId w:val="1"/>
  </w:num>
  <w:num w:numId="10" w16cid:durableId="84949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2C0C"/>
    <w:rsid w:val="000054D8"/>
    <w:rsid w:val="00040776"/>
    <w:rsid w:val="00060D74"/>
    <w:rsid w:val="00072D5C"/>
    <w:rsid w:val="0008398C"/>
    <w:rsid w:val="00084308"/>
    <w:rsid w:val="000A28C2"/>
    <w:rsid w:val="000B14B6"/>
    <w:rsid w:val="000C467B"/>
    <w:rsid w:val="000D15FB"/>
    <w:rsid w:val="000E0C41"/>
    <w:rsid w:val="000E2CC1"/>
    <w:rsid w:val="000F58F7"/>
    <w:rsid w:val="001051E4"/>
    <w:rsid w:val="0013340C"/>
    <w:rsid w:val="001354EA"/>
    <w:rsid w:val="00136FCE"/>
    <w:rsid w:val="00153BA4"/>
    <w:rsid w:val="00157CD2"/>
    <w:rsid w:val="001941AD"/>
    <w:rsid w:val="0019732C"/>
    <w:rsid w:val="001A0682"/>
    <w:rsid w:val="001B4D8D"/>
    <w:rsid w:val="001D31B2"/>
    <w:rsid w:val="001E1B9B"/>
    <w:rsid w:val="001E2226"/>
    <w:rsid w:val="001F6233"/>
    <w:rsid w:val="002355CD"/>
    <w:rsid w:val="00270B14"/>
    <w:rsid w:val="00270B2F"/>
    <w:rsid w:val="00273E42"/>
    <w:rsid w:val="002A0E1B"/>
    <w:rsid w:val="002A7A1D"/>
    <w:rsid w:val="002C1059"/>
    <w:rsid w:val="002C2F9C"/>
    <w:rsid w:val="002F2370"/>
    <w:rsid w:val="00322DEA"/>
    <w:rsid w:val="00355FBD"/>
    <w:rsid w:val="00381461"/>
    <w:rsid w:val="00391C12"/>
    <w:rsid w:val="003A0B7D"/>
    <w:rsid w:val="003A45C2"/>
    <w:rsid w:val="003C4BE2"/>
    <w:rsid w:val="003D147D"/>
    <w:rsid w:val="003D637A"/>
    <w:rsid w:val="003F0B7C"/>
    <w:rsid w:val="003F13DB"/>
    <w:rsid w:val="004028A7"/>
    <w:rsid w:val="00430015"/>
    <w:rsid w:val="00445E43"/>
    <w:rsid w:val="004678D0"/>
    <w:rsid w:val="00482954"/>
    <w:rsid w:val="004839A5"/>
    <w:rsid w:val="004951C0"/>
    <w:rsid w:val="00497492"/>
    <w:rsid w:val="004C7646"/>
    <w:rsid w:val="004D22C4"/>
    <w:rsid w:val="00524001"/>
    <w:rsid w:val="00562156"/>
    <w:rsid w:val="00564B63"/>
    <w:rsid w:val="00575DC7"/>
    <w:rsid w:val="005836C2"/>
    <w:rsid w:val="00592EB9"/>
    <w:rsid w:val="005A4EFD"/>
    <w:rsid w:val="005A5ABE"/>
    <w:rsid w:val="005C2ECC"/>
    <w:rsid w:val="005C6744"/>
    <w:rsid w:val="005E419E"/>
    <w:rsid w:val="005E7E77"/>
    <w:rsid w:val="005F63BD"/>
    <w:rsid w:val="00606064"/>
    <w:rsid w:val="00611CF1"/>
    <w:rsid w:val="006201D9"/>
    <w:rsid w:val="006277DB"/>
    <w:rsid w:val="00631805"/>
    <w:rsid w:val="00635B7B"/>
    <w:rsid w:val="00655B98"/>
    <w:rsid w:val="006710E6"/>
    <w:rsid w:val="00686973"/>
    <w:rsid w:val="00694C71"/>
    <w:rsid w:val="00696B2D"/>
    <w:rsid w:val="006A2656"/>
    <w:rsid w:val="006A3475"/>
    <w:rsid w:val="006A6342"/>
    <w:rsid w:val="006B5DE6"/>
    <w:rsid w:val="006B6C9C"/>
    <w:rsid w:val="006C7AE3"/>
    <w:rsid w:val="006D55E8"/>
    <w:rsid w:val="006E1921"/>
    <w:rsid w:val="006E7E63"/>
    <w:rsid w:val="006F36F9"/>
    <w:rsid w:val="0070576B"/>
    <w:rsid w:val="00713335"/>
    <w:rsid w:val="00727C2F"/>
    <w:rsid w:val="00735F13"/>
    <w:rsid w:val="007717F2"/>
    <w:rsid w:val="00772E3B"/>
    <w:rsid w:val="0078134C"/>
    <w:rsid w:val="0078482B"/>
    <w:rsid w:val="00785E7A"/>
    <w:rsid w:val="007A5830"/>
    <w:rsid w:val="007D03A3"/>
    <w:rsid w:val="007D21FB"/>
    <w:rsid w:val="007D2944"/>
    <w:rsid w:val="00801256"/>
    <w:rsid w:val="00861148"/>
    <w:rsid w:val="008703CB"/>
    <w:rsid w:val="008916ED"/>
    <w:rsid w:val="008B61AF"/>
    <w:rsid w:val="008C33C2"/>
    <w:rsid w:val="008C6137"/>
    <w:rsid w:val="008E2DB4"/>
    <w:rsid w:val="008F25A5"/>
    <w:rsid w:val="008F5D2D"/>
    <w:rsid w:val="00901DD5"/>
    <w:rsid w:val="0090735B"/>
    <w:rsid w:val="00912D5E"/>
    <w:rsid w:val="00934340"/>
    <w:rsid w:val="00944977"/>
    <w:rsid w:val="00953C31"/>
    <w:rsid w:val="00956DC7"/>
    <w:rsid w:val="00966CD3"/>
    <w:rsid w:val="0097484C"/>
    <w:rsid w:val="00987A20"/>
    <w:rsid w:val="009A0E15"/>
    <w:rsid w:val="009D4037"/>
    <w:rsid w:val="009F0592"/>
    <w:rsid w:val="00A20E72"/>
    <w:rsid w:val="00A246DC"/>
    <w:rsid w:val="00A37D48"/>
    <w:rsid w:val="00A4422C"/>
    <w:rsid w:val="00A47BAF"/>
    <w:rsid w:val="00A542D3"/>
    <w:rsid w:val="00A5784F"/>
    <w:rsid w:val="00A8436E"/>
    <w:rsid w:val="00A95B66"/>
    <w:rsid w:val="00AE0667"/>
    <w:rsid w:val="00B14FF0"/>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BD5"/>
    <w:rsid w:val="00CC4DC5"/>
    <w:rsid w:val="00CE1A7C"/>
    <w:rsid w:val="00D0464B"/>
    <w:rsid w:val="00D12C74"/>
    <w:rsid w:val="00D2263F"/>
    <w:rsid w:val="00D33745"/>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617F6"/>
    <w:rsid w:val="00E874FE"/>
    <w:rsid w:val="00E93D35"/>
    <w:rsid w:val="00EA45DB"/>
    <w:rsid w:val="00ED2CD9"/>
    <w:rsid w:val="00F05997"/>
    <w:rsid w:val="00F07DA7"/>
    <w:rsid w:val="00F564C1"/>
    <w:rsid w:val="00F619ED"/>
    <w:rsid w:val="00F77FA2"/>
    <w:rsid w:val="00F8357A"/>
    <w:rsid w:val="00F8719B"/>
    <w:rsid w:val="00FA1B77"/>
    <w:rsid w:val="00FB4B65"/>
    <w:rsid w:val="00FB74B8"/>
    <w:rsid w:val="00FC49E0"/>
    <w:rsid w:val="00FE5189"/>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F116F"/>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Revision">
    <w:name w:val="Revision"/>
    <w:hidden/>
    <w:uiPriority w:val="99"/>
    <w:semiHidden/>
    <w:rsid w:val="006B5DE6"/>
    <w:rPr>
      <w:rFonts w:ascii="Calibri" w:hAnsi="Calibri"/>
      <w:sz w:val="24"/>
      <w:lang w:val="fr-FR" w:eastAsia="en-US"/>
    </w:rPr>
  </w:style>
  <w:style w:type="character" w:styleId="CommentReference">
    <w:name w:val="annotation reference"/>
    <w:basedOn w:val="DefaultParagraphFont"/>
    <w:semiHidden/>
    <w:unhideWhenUsed/>
    <w:rsid w:val="008916ED"/>
    <w:rPr>
      <w:sz w:val="16"/>
      <w:szCs w:val="16"/>
    </w:rPr>
  </w:style>
  <w:style w:type="paragraph" w:styleId="CommentText">
    <w:name w:val="annotation text"/>
    <w:basedOn w:val="Normal"/>
    <w:link w:val="CommentTextChar"/>
    <w:unhideWhenUsed/>
    <w:rsid w:val="008916ED"/>
    <w:rPr>
      <w:sz w:val="20"/>
    </w:rPr>
  </w:style>
  <w:style w:type="character" w:customStyle="1" w:styleId="CommentTextChar">
    <w:name w:val="Comment Text Char"/>
    <w:basedOn w:val="DefaultParagraphFont"/>
    <w:link w:val="CommentText"/>
    <w:rsid w:val="008916ED"/>
    <w:rPr>
      <w:rFonts w:ascii="Calibri" w:hAnsi="Calibri"/>
      <w:lang w:val="fr-FR" w:eastAsia="en-US"/>
    </w:rPr>
  </w:style>
  <w:style w:type="paragraph" w:styleId="CommentSubject">
    <w:name w:val="annotation subject"/>
    <w:basedOn w:val="CommentText"/>
    <w:next w:val="CommentText"/>
    <w:link w:val="CommentSubjectChar"/>
    <w:semiHidden/>
    <w:unhideWhenUsed/>
    <w:rsid w:val="008916ED"/>
    <w:rPr>
      <w:b/>
      <w:bCs/>
    </w:rPr>
  </w:style>
  <w:style w:type="character" w:customStyle="1" w:styleId="CommentSubjectChar">
    <w:name w:val="Comment Subject Char"/>
    <w:basedOn w:val="CommentTextChar"/>
    <w:link w:val="CommentSubject"/>
    <w:semiHidden/>
    <w:rsid w:val="008916ED"/>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a25d448c-71c3-4c5c-b412-f4b0c34cc422">DPM</DPM_x0020_Author>
    <DPM_x0020_File_x0020_name xmlns="a25d448c-71c3-4c5c-b412-f4b0c34cc422">S22-PP-C-0076!A22!MSW-F</DPM_x0020_File_x0020_name>
    <DPM_x0020_Version xmlns="a25d448c-71c3-4c5c-b412-f4b0c34cc422">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5d448c-71c3-4c5c-b412-f4b0c34cc422" targetNamespace="http://schemas.microsoft.com/office/2006/metadata/properties" ma:root="true" ma:fieldsID="d41af5c836d734370eb92e7ee5f83852" ns2:_="" ns3:_="">
    <xsd:import namespace="996b2e75-67fd-4955-a3b0-5ab9934cb50b"/>
    <xsd:import namespace="a25d448c-71c3-4c5c-b412-f4b0c34cc42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5d448c-71c3-4c5c-b412-f4b0c34cc42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CE0AF-3C2F-47B2-AB5A-9267CA36FB37}">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25d448c-71c3-4c5c-b412-f4b0c34cc422"/>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5d448c-71c3-4c5c-b412-f4b0c34cc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S22-PP-C-0076!A22!MSW-F</vt:lpstr>
    </vt:vector>
  </TitlesOfParts>
  <Manager/>
  <Company/>
  <LinksUpToDate>false</LinksUpToDate>
  <CharactersWithSpaces>11340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S22-PP-C-0076!A22!MSW-F</dc:title>
  <dc:subject>Plenipotentiary Conference (PP-18)</dc:subject>
  <dc:creator>Documents Proposals Manager (DPM)</dc:creator>
  <cp:keywords>DPM_v2022.8.31.2_prod</cp:keywords>
  <dc:description/>
  <cp:lastModifiedBy>Arnould, Carine</cp:lastModifiedBy>
  <cp:revision>7</cp:revision>
  <dcterms:created xsi:type="dcterms:W3CDTF">2022-09-09T07:57:00Z</dcterms:created>
  <dcterms:modified xsi:type="dcterms:W3CDTF">2022-09-16T10:47:00Z</dcterms:modified>
  <cp:category>Conference document</cp:category>
</cp:coreProperties>
</file>