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D8327C" w14:paraId="5BBEA750" w14:textId="77777777" w:rsidTr="0047125B">
        <w:trPr>
          <w:cantSplit/>
        </w:trPr>
        <w:tc>
          <w:tcPr>
            <w:tcW w:w="6804" w:type="dxa"/>
          </w:tcPr>
          <w:p w14:paraId="4C0F4EC0" w14:textId="77777777" w:rsidR="00F96AB4" w:rsidRPr="00D8327C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8327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8327C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8327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8327C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8327C">
              <w:rPr>
                <w:b/>
                <w:bCs/>
                <w:lang w:val="ru-RU"/>
              </w:rPr>
              <w:t>Бухарест</w:t>
            </w:r>
            <w:r w:rsidRPr="00D8327C">
              <w:rPr>
                <w:b/>
                <w:bCs/>
                <w:lang w:val="ru-RU"/>
              </w:rPr>
              <w:t>, 2</w:t>
            </w:r>
            <w:r w:rsidR="00513BE3" w:rsidRPr="00D8327C">
              <w:rPr>
                <w:b/>
                <w:bCs/>
                <w:lang w:val="ru-RU"/>
              </w:rPr>
              <w:t>6</w:t>
            </w:r>
            <w:r w:rsidRPr="00D8327C">
              <w:rPr>
                <w:b/>
                <w:bCs/>
                <w:lang w:val="ru-RU"/>
              </w:rPr>
              <w:t xml:space="preserve"> </w:t>
            </w:r>
            <w:r w:rsidR="00513BE3" w:rsidRPr="00D8327C">
              <w:rPr>
                <w:b/>
                <w:bCs/>
                <w:lang w:val="ru-RU"/>
              </w:rPr>
              <w:t xml:space="preserve">сентября </w:t>
            </w:r>
            <w:r w:rsidRPr="00D8327C">
              <w:rPr>
                <w:b/>
                <w:bCs/>
                <w:lang w:val="ru-RU"/>
              </w:rPr>
              <w:t xml:space="preserve">– </w:t>
            </w:r>
            <w:r w:rsidR="002D024B" w:rsidRPr="00D8327C">
              <w:rPr>
                <w:b/>
                <w:bCs/>
                <w:lang w:val="ru-RU"/>
              </w:rPr>
              <w:t>1</w:t>
            </w:r>
            <w:r w:rsidR="00513BE3" w:rsidRPr="00D8327C">
              <w:rPr>
                <w:b/>
                <w:bCs/>
                <w:lang w:val="ru-RU"/>
              </w:rPr>
              <w:t>4</w:t>
            </w:r>
            <w:r w:rsidRPr="00D8327C">
              <w:rPr>
                <w:b/>
                <w:bCs/>
                <w:lang w:val="ru-RU"/>
              </w:rPr>
              <w:t xml:space="preserve"> </w:t>
            </w:r>
            <w:r w:rsidR="00513BE3" w:rsidRPr="00D8327C">
              <w:rPr>
                <w:b/>
                <w:bCs/>
                <w:lang w:val="ru-RU"/>
              </w:rPr>
              <w:t xml:space="preserve">октября </w:t>
            </w:r>
            <w:r w:rsidRPr="00D8327C">
              <w:rPr>
                <w:b/>
                <w:bCs/>
                <w:lang w:val="ru-RU"/>
              </w:rPr>
              <w:t>20</w:t>
            </w:r>
            <w:r w:rsidR="00513BE3" w:rsidRPr="00D8327C">
              <w:rPr>
                <w:b/>
                <w:bCs/>
                <w:lang w:val="ru-RU"/>
              </w:rPr>
              <w:t>22</w:t>
            </w:r>
            <w:r w:rsidRPr="00D8327C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024CEA21" w14:textId="77777777" w:rsidR="00F96AB4" w:rsidRPr="00D8327C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8327C">
              <w:rPr>
                <w:noProof/>
                <w:lang w:val="ru-RU"/>
              </w:rPr>
              <w:drawing>
                <wp:inline distT="0" distB="0" distL="0" distR="0" wp14:anchorId="0B1926B0" wp14:editId="5EEDE53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8327C" w14:paraId="2BAA50D1" w14:textId="77777777" w:rsidTr="0047125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C25922A" w14:textId="77777777" w:rsidR="00F96AB4" w:rsidRPr="00D8327C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8652788" w14:textId="77777777" w:rsidR="00F96AB4" w:rsidRPr="00D8327C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8327C" w14:paraId="5B0DD8D7" w14:textId="77777777" w:rsidTr="0047125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FEB358C" w14:textId="77777777" w:rsidR="00F96AB4" w:rsidRPr="00D8327C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D720A9C" w14:textId="77777777" w:rsidR="00F96AB4" w:rsidRPr="00D8327C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8327C" w14:paraId="34168839" w14:textId="77777777" w:rsidTr="0047125B">
        <w:trPr>
          <w:cantSplit/>
        </w:trPr>
        <w:tc>
          <w:tcPr>
            <w:tcW w:w="6804" w:type="dxa"/>
          </w:tcPr>
          <w:p w14:paraId="3D448599" w14:textId="77777777" w:rsidR="00F96AB4" w:rsidRPr="00D8327C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8327C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08C62217" w14:textId="77777777" w:rsidR="00F96AB4" w:rsidRPr="00D8327C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8327C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15</w:t>
            </w:r>
            <w:r w:rsidRPr="00D8327C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D8327C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8327C" w14:paraId="386E3979" w14:textId="77777777" w:rsidTr="0047125B">
        <w:trPr>
          <w:cantSplit/>
        </w:trPr>
        <w:tc>
          <w:tcPr>
            <w:tcW w:w="6804" w:type="dxa"/>
          </w:tcPr>
          <w:p w14:paraId="5F74D191" w14:textId="77777777" w:rsidR="00F96AB4" w:rsidRPr="00D8327C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F987FDE" w14:textId="77777777" w:rsidR="00F96AB4" w:rsidRPr="00D8327C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8327C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D8327C" w14:paraId="089FA580" w14:textId="77777777" w:rsidTr="0047125B">
        <w:trPr>
          <w:cantSplit/>
        </w:trPr>
        <w:tc>
          <w:tcPr>
            <w:tcW w:w="6804" w:type="dxa"/>
          </w:tcPr>
          <w:p w14:paraId="779F97EB" w14:textId="77777777" w:rsidR="00F96AB4" w:rsidRPr="00D8327C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093FEB8" w14:textId="77777777" w:rsidR="00F96AB4" w:rsidRPr="00D8327C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8327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8327C" w14:paraId="6D4B3E84" w14:textId="77777777" w:rsidTr="00E63DAB">
        <w:trPr>
          <w:cantSplit/>
        </w:trPr>
        <w:tc>
          <w:tcPr>
            <w:tcW w:w="10031" w:type="dxa"/>
            <w:gridSpan w:val="2"/>
          </w:tcPr>
          <w:p w14:paraId="6F9CCC01" w14:textId="77777777" w:rsidR="00F96AB4" w:rsidRPr="00D8327C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8327C" w14:paraId="72686792" w14:textId="77777777" w:rsidTr="00E63DAB">
        <w:trPr>
          <w:cantSplit/>
        </w:trPr>
        <w:tc>
          <w:tcPr>
            <w:tcW w:w="10031" w:type="dxa"/>
            <w:gridSpan w:val="2"/>
          </w:tcPr>
          <w:p w14:paraId="7AAA4D67" w14:textId="77777777" w:rsidR="00F96AB4" w:rsidRPr="00D8327C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8327C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D8327C" w14:paraId="60D62A30" w14:textId="77777777" w:rsidTr="00E63DAB">
        <w:trPr>
          <w:cantSplit/>
        </w:trPr>
        <w:tc>
          <w:tcPr>
            <w:tcW w:w="10031" w:type="dxa"/>
            <w:gridSpan w:val="2"/>
          </w:tcPr>
          <w:p w14:paraId="2A5A2F52" w14:textId="1405B3CE" w:rsidR="00F96AB4" w:rsidRPr="00D8327C" w:rsidRDefault="00F96AB4" w:rsidP="0047125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8327C">
              <w:rPr>
                <w:lang w:val="ru-RU"/>
              </w:rPr>
              <w:t xml:space="preserve">IAP 15 </w:t>
            </w:r>
            <w:r w:rsidR="0047125B" w:rsidRPr="00D8327C">
              <w:rPr>
                <w:lang w:val="ru-RU"/>
              </w:rPr>
              <w:t>−</w:t>
            </w:r>
            <w:r w:rsidRPr="00D8327C">
              <w:rPr>
                <w:lang w:val="ru-RU"/>
              </w:rPr>
              <w:t xml:space="preserve"> </w:t>
            </w:r>
            <w:r w:rsidR="00754D7E" w:rsidRPr="00D8327C">
              <w:rPr>
                <w:lang w:val="ru-RU"/>
              </w:rPr>
              <w:t>ПРЕДЛОЖЕНИЕ О ВНЕСЕНИИ ИЗМЕНЕНИЙ В РЕЗОЛЮЦИЮ</w:t>
            </w:r>
            <w:r w:rsidRPr="00D8327C">
              <w:rPr>
                <w:lang w:val="ru-RU"/>
              </w:rPr>
              <w:t xml:space="preserve"> 196</w:t>
            </w:r>
          </w:p>
        </w:tc>
      </w:tr>
      <w:tr w:rsidR="00F96AB4" w:rsidRPr="00D8327C" w14:paraId="69D0A46F" w14:textId="77777777" w:rsidTr="00E63DAB">
        <w:trPr>
          <w:cantSplit/>
        </w:trPr>
        <w:tc>
          <w:tcPr>
            <w:tcW w:w="10031" w:type="dxa"/>
            <w:gridSpan w:val="2"/>
          </w:tcPr>
          <w:p w14:paraId="131D65A2" w14:textId="091389F9" w:rsidR="00F96AB4" w:rsidRPr="00D8327C" w:rsidRDefault="00142E9A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8327C">
              <w:rPr>
                <w:lang w:val="ru-RU"/>
              </w:rPr>
              <w:t xml:space="preserve">О </w:t>
            </w:r>
            <w:r w:rsidR="0047125B" w:rsidRPr="00D8327C">
              <w:rPr>
                <w:lang w:val="ru-RU"/>
              </w:rPr>
              <w:t>Защит</w:t>
            </w:r>
            <w:r w:rsidRPr="00D8327C">
              <w:rPr>
                <w:lang w:val="ru-RU"/>
              </w:rPr>
              <w:t>Е</w:t>
            </w:r>
            <w:r w:rsidR="0047125B" w:rsidRPr="00D8327C">
              <w:rPr>
                <w:lang w:val="ru-RU"/>
              </w:rPr>
              <w:t xml:space="preserve"> пользователей/потребителей услуг электросвязи</w:t>
            </w:r>
          </w:p>
        </w:tc>
      </w:tr>
      <w:tr w:rsidR="00F96AB4" w:rsidRPr="00D8327C" w14:paraId="4F8607E3" w14:textId="77777777" w:rsidTr="00E63DAB">
        <w:trPr>
          <w:cantSplit/>
        </w:trPr>
        <w:tc>
          <w:tcPr>
            <w:tcW w:w="10031" w:type="dxa"/>
            <w:gridSpan w:val="2"/>
          </w:tcPr>
          <w:p w14:paraId="04411317" w14:textId="77777777" w:rsidR="00F96AB4" w:rsidRPr="00D8327C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8327C" w:rsidRPr="00333706" w14:paraId="2135FDC3" w14:textId="77777777" w:rsidTr="00650ED3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14:paraId="3CAD9873" w14:textId="77777777" w:rsidR="00D8327C" w:rsidRPr="00333706" w:rsidRDefault="00D8327C" w:rsidP="00650ED3">
            <w:pPr>
              <w:pStyle w:val="Headingb"/>
              <w:rPr>
                <w:lang w:val="ru-RU"/>
              </w:rPr>
            </w:pPr>
            <w:r w:rsidRPr="00333706">
              <w:rPr>
                <w:lang w:val="ru-RU"/>
              </w:rPr>
              <w:t>Резюме</w:t>
            </w:r>
          </w:p>
          <w:p w14:paraId="6ABE4A51" w14:textId="3982C940" w:rsidR="00D8327C" w:rsidRPr="00333706" w:rsidRDefault="00D8327C" w:rsidP="00650ED3">
            <w:pPr>
              <w:spacing w:after="120"/>
              <w:rPr>
                <w:i/>
                <w:iCs/>
                <w:lang w:val="ru-RU"/>
              </w:rPr>
            </w:pPr>
            <w:r w:rsidRPr="00D8327C">
              <w:rPr>
                <w:lang w:val="ru-RU"/>
              </w:rPr>
              <w:t>Данное предложение направлено на обновление Резолюции 196 ПК для повышения ее эффективности и действенности, что позволит реализовать сферу полномочий и цели МСЭ, и отражения соответствующей обновленной информации на основе изменений, происходящих в секторе электросвязи/ИКТ.</w:t>
            </w:r>
          </w:p>
        </w:tc>
      </w:tr>
    </w:tbl>
    <w:p w14:paraId="53B43660" w14:textId="77777777" w:rsidR="00F96AB4" w:rsidRPr="00D8327C" w:rsidRDefault="00F96AB4" w:rsidP="00090F3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8327C">
        <w:rPr>
          <w:lang w:val="ru-RU"/>
        </w:rPr>
        <w:br w:type="page"/>
      </w:r>
    </w:p>
    <w:p w14:paraId="4396F53D" w14:textId="77777777" w:rsidR="00FB675A" w:rsidRPr="00D8327C" w:rsidRDefault="0047776A">
      <w:pPr>
        <w:pStyle w:val="Proposal"/>
      </w:pPr>
      <w:r w:rsidRPr="00D8327C">
        <w:lastRenderedPageBreak/>
        <w:t>MOD</w:t>
      </w:r>
      <w:r w:rsidRPr="00D8327C">
        <w:tab/>
        <w:t>IAP/76A15/1</w:t>
      </w:r>
    </w:p>
    <w:p w14:paraId="114B0260" w14:textId="77777777" w:rsidR="0027470A" w:rsidRPr="00D8327C" w:rsidRDefault="0047776A" w:rsidP="00581D34">
      <w:pPr>
        <w:pStyle w:val="ResNo"/>
        <w:rPr>
          <w:lang w:val="ru-RU"/>
        </w:rPr>
      </w:pPr>
      <w:bookmarkStart w:id="8" w:name="_Toc407103012"/>
      <w:bookmarkStart w:id="9" w:name="_Toc536109983"/>
      <w:r w:rsidRPr="00D8327C">
        <w:rPr>
          <w:lang w:val="ru-RU"/>
        </w:rPr>
        <w:t xml:space="preserve">РЕЗОЛЮЦИЯ </w:t>
      </w:r>
      <w:r w:rsidRPr="00D8327C">
        <w:rPr>
          <w:rStyle w:val="href"/>
        </w:rPr>
        <w:t>196</w:t>
      </w:r>
      <w:r w:rsidRPr="00D8327C">
        <w:rPr>
          <w:lang w:val="ru-RU"/>
        </w:rPr>
        <w:t xml:space="preserve"> (ПЕРЕСМ. </w:t>
      </w:r>
      <w:del w:id="10" w:author="Isupova, Varvara" w:date="2022-09-05T11:27:00Z">
        <w:r w:rsidRPr="00D8327C" w:rsidDel="00090F3E">
          <w:rPr>
            <w:lang w:val="ru-RU"/>
          </w:rPr>
          <w:delText xml:space="preserve">ДУБАЙ, 2018 </w:delText>
        </w:r>
        <w:r w:rsidRPr="00D8327C" w:rsidDel="00090F3E">
          <w:rPr>
            <w:caps w:val="0"/>
            <w:lang w:val="ru-RU"/>
          </w:rPr>
          <w:delText>г</w:delText>
        </w:r>
        <w:r w:rsidRPr="00D8327C" w:rsidDel="00090F3E">
          <w:rPr>
            <w:lang w:val="ru-RU"/>
          </w:rPr>
          <w:delText>.</w:delText>
        </w:r>
      </w:del>
      <w:ins w:id="11" w:author="Isupova, Varvara" w:date="2022-09-05T11:27:00Z">
        <w:r w:rsidR="00090F3E" w:rsidRPr="00D8327C">
          <w:rPr>
            <w:lang w:val="ru-RU"/>
          </w:rPr>
          <w:t>бухарест, 2022 г.</w:t>
        </w:r>
      </w:ins>
      <w:r w:rsidRPr="00D8327C">
        <w:rPr>
          <w:lang w:val="ru-RU"/>
        </w:rPr>
        <w:t>)</w:t>
      </w:r>
      <w:bookmarkEnd w:id="8"/>
      <w:bookmarkEnd w:id="9"/>
    </w:p>
    <w:p w14:paraId="05A6CEDB" w14:textId="77777777" w:rsidR="0027470A" w:rsidRPr="00D8327C" w:rsidRDefault="0047776A" w:rsidP="00581D34">
      <w:pPr>
        <w:pStyle w:val="Restitle"/>
        <w:rPr>
          <w:lang w:val="ru-RU"/>
        </w:rPr>
      </w:pPr>
      <w:bookmarkStart w:id="12" w:name="_Toc407103013"/>
      <w:bookmarkStart w:id="13" w:name="_Toc536109984"/>
      <w:r w:rsidRPr="00D8327C">
        <w:rPr>
          <w:lang w:val="ru-RU"/>
        </w:rPr>
        <w:t>Защита пользователей/потребителей услуг электросвязи</w:t>
      </w:r>
      <w:bookmarkEnd w:id="12"/>
      <w:bookmarkEnd w:id="13"/>
    </w:p>
    <w:p w14:paraId="6B5A60F4" w14:textId="77777777" w:rsidR="0027470A" w:rsidRPr="00D8327C" w:rsidRDefault="0047776A" w:rsidP="00581D34">
      <w:pPr>
        <w:pStyle w:val="Normalaftertitle"/>
        <w:rPr>
          <w:lang w:val="ru-RU"/>
        </w:rPr>
      </w:pPr>
      <w:r w:rsidRPr="00D8327C">
        <w:rPr>
          <w:lang w:val="ru-RU"/>
        </w:rPr>
        <w:t>Полномочная конференция Международного союза электросвязи (</w:t>
      </w:r>
      <w:del w:id="14" w:author="Isupova, Varvara" w:date="2022-09-05T11:27:00Z">
        <w:r w:rsidRPr="00D8327C" w:rsidDel="00090F3E">
          <w:rPr>
            <w:lang w:val="ru-RU"/>
          </w:rPr>
          <w:delText>Дубай, 2018 г.</w:delText>
        </w:r>
      </w:del>
      <w:ins w:id="15" w:author="Isupova, Varvara" w:date="2022-09-05T11:27:00Z">
        <w:r w:rsidR="00090F3E" w:rsidRPr="00D8327C">
          <w:rPr>
            <w:lang w:val="ru-RU"/>
          </w:rPr>
          <w:t>Бухарест, 2022 г.</w:t>
        </w:r>
      </w:ins>
      <w:r w:rsidRPr="00D8327C">
        <w:rPr>
          <w:lang w:val="ru-RU"/>
        </w:rPr>
        <w:t>),</w:t>
      </w:r>
    </w:p>
    <w:p w14:paraId="05464FBB" w14:textId="77777777" w:rsidR="0027470A" w:rsidRPr="00D8327C" w:rsidRDefault="0047776A" w:rsidP="00581D34">
      <w:pPr>
        <w:pStyle w:val="Call"/>
        <w:rPr>
          <w:lang w:val="ru-RU"/>
        </w:rPr>
      </w:pPr>
      <w:r w:rsidRPr="00D8327C">
        <w:rPr>
          <w:lang w:val="ru-RU"/>
        </w:rPr>
        <w:t>напоминая</w:t>
      </w:r>
    </w:p>
    <w:p w14:paraId="756D5960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iCs/>
          <w:lang w:val="ru-RU"/>
        </w:rPr>
        <w:t>a)</w:t>
      </w:r>
      <w:r w:rsidRPr="00D8327C">
        <w:rPr>
          <w:lang w:val="ru-RU"/>
        </w:rPr>
        <w:tab/>
        <w:t xml:space="preserve">о Резолюции 64 (Пересм. </w:t>
      </w:r>
      <w:del w:id="16" w:author="Isupova, Varvara" w:date="2022-09-05T11:28:00Z">
        <w:r w:rsidRPr="00D8327C" w:rsidDel="00090F3E">
          <w:rPr>
            <w:lang w:val="ru-RU"/>
          </w:rPr>
          <w:delText>Буэнос-Айрес, 2017 г.</w:delText>
        </w:r>
      </w:del>
      <w:ins w:id="17" w:author="Isupova, Varvara" w:date="2022-09-05T11:28:00Z">
        <w:r w:rsidR="00090F3E" w:rsidRPr="00D8327C">
          <w:rPr>
            <w:lang w:val="ru-RU"/>
          </w:rPr>
          <w:t>Кигали, 2022 г.</w:t>
        </w:r>
      </w:ins>
      <w:r w:rsidRPr="00D8327C">
        <w:rPr>
          <w:lang w:val="ru-RU"/>
        </w:rPr>
        <w:t>) Всемирной конференции по развитию электросвязи о</w:t>
      </w:r>
      <w:bookmarkStart w:id="18" w:name="_Toc393976941"/>
      <w:r w:rsidRPr="00D8327C">
        <w:rPr>
          <w:lang w:val="ru-RU"/>
        </w:rPr>
        <w:t xml:space="preserve"> защите и поддержке пользователей/потребителей услуг электросвязи/информационно-коммуникационных технологий</w:t>
      </w:r>
      <w:bookmarkEnd w:id="18"/>
      <w:r w:rsidRPr="00D8327C">
        <w:rPr>
          <w:lang w:val="ru-RU"/>
        </w:rPr>
        <w:t xml:space="preserve"> (ИКТ);</w:t>
      </w:r>
    </w:p>
    <w:p w14:paraId="7F0AAAA9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iCs/>
          <w:lang w:val="ru-RU"/>
        </w:rPr>
        <w:t>b)</w:t>
      </w:r>
      <w:r w:rsidRPr="00D8327C">
        <w:rPr>
          <w:lang w:val="ru-RU"/>
        </w:rPr>
        <w:tab/>
        <w:t>о Статье 4 Регламента международной электросвязи;</w:t>
      </w:r>
    </w:p>
    <w:p w14:paraId="57422016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iCs/>
          <w:lang w:val="ru-RU"/>
        </w:rPr>
        <w:t>c)</w:t>
      </w:r>
      <w:r w:rsidRPr="00D8327C">
        <w:rPr>
          <w:lang w:val="ru-RU"/>
        </w:rPr>
        <w:tab/>
        <w:t>о Резолюции 84 (</w:t>
      </w:r>
      <w:del w:id="19" w:author="Isupova, Varvara" w:date="2022-09-05T11:28:00Z">
        <w:r w:rsidRPr="00D8327C" w:rsidDel="00090F3E">
          <w:rPr>
            <w:lang w:val="ru-RU"/>
          </w:rPr>
          <w:delText>Хаммамет, 2016 г.</w:delText>
        </w:r>
      </w:del>
      <w:ins w:id="20" w:author="Isupova, Varvara" w:date="2022-09-05T11:28:00Z">
        <w:r w:rsidR="00090F3E" w:rsidRPr="00D8327C">
          <w:rPr>
            <w:lang w:val="ru-RU"/>
          </w:rPr>
          <w:t>Пересм. Женева, 2022 г.</w:t>
        </w:r>
      </w:ins>
      <w:r w:rsidRPr="00D8327C">
        <w:rPr>
          <w:lang w:val="ru-RU"/>
        </w:rPr>
        <w:t>) Всемирной ассамблеи по стандартизации электросвязи об исследованиях, касающихся защиты пользователей услуг электросвязи/ИКТ;</w:t>
      </w:r>
    </w:p>
    <w:p w14:paraId="1ED5CE3A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iCs/>
          <w:lang w:val="ru-RU"/>
        </w:rPr>
        <w:t>d)</w:t>
      </w:r>
      <w:r w:rsidRPr="00D8327C">
        <w:rPr>
          <w:lang w:val="ru-RU"/>
        </w:rPr>
        <w:tab/>
        <w:t xml:space="preserve">о Резолюции 188 (Пересм. </w:t>
      </w:r>
      <w:del w:id="21" w:author="Isupova, Varvara" w:date="2022-09-05T11:28:00Z">
        <w:r w:rsidRPr="00D8327C" w:rsidDel="00090F3E">
          <w:rPr>
            <w:lang w:val="ru-RU"/>
          </w:rPr>
          <w:delText>Дубай, 2018 г.</w:delText>
        </w:r>
      </w:del>
      <w:ins w:id="22" w:author="Isupova, Varvara" w:date="2022-09-05T11:28:00Z">
        <w:r w:rsidR="00090F3E" w:rsidRPr="00D8327C">
          <w:rPr>
            <w:lang w:val="ru-RU"/>
          </w:rPr>
          <w:t>Бухарест, 2022 г.</w:t>
        </w:r>
      </w:ins>
      <w:r w:rsidRPr="00D8327C">
        <w:rPr>
          <w:lang w:val="ru-RU"/>
        </w:rPr>
        <w:t>) настоящей Конференции о борьбе с контрафактными устройствами электросвязи/ИКТ;</w:t>
      </w:r>
    </w:p>
    <w:p w14:paraId="0B553F92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iCs/>
          <w:lang w:val="ru-RU"/>
        </w:rPr>
        <w:t>e)</w:t>
      </w:r>
      <w:r w:rsidRPr="00D8327C">
        <w:rPr>
          <w:lang w:val="ru-RU"/>
        </w:rPr>
        <w:tab/>
        <w:t xml:space="preserve">о Резолюции 189 (Пересм. </w:t>
      </w:r>
      <w:del w:id="23" w:author="Isupova, Varvara" w:date="2022-09-05T11:29:00Z">
        <w:r w:rsidRPr="00D8327C" w:rsidDel="00090F3E">
          <w:rPr>
            <w:lang w:val="ru-RU"/>
          </w:rPr>
          <w:delText>Дубай, 2018 г.</w:delText>
        </w:r>
      </w:del>
      <w:ins w:id="24" w:author="Isupova, Varvara" w:date="2022-09-05T11:29:00Z">
        <w:r w:rsidR="00090F3E" w:rsidRPr="00D8327C">
          <w:rPr>
            <w:lang w:val="ru-RU"/>
          </w:rPr>
          <w:t>Бухарест, 2022 г.</w:t>
        </w:r>
      </w:ins>
      <w:r w:rsidRPr="00D8327C">
        <w:rPr>
          <w:lang w:val="ru-RU"/>
        </w:rPr>
        <w:t>) настоящей Конференции об оказании Государствам-Членам помощи в борьбе с хищениями мобильных устройств и в предотвращении этого явления,</w:t>
      </w:r>
    </w:p>
    <w:p w14:paraId="607475DD" w14:textId="77777777" w:rsidR="0027470A" w:rsidRPr="00D8327C" w:rsidRDefault="0047776A" w:rsidP="00581D34">
      <w:pPr>
        <w:pStyle w:val="Call"/>
        <w:rPr>
          <w:lang w:val="ru-RU"/>
        </w:rPr>
      </w:pPr>
      <w:r w:rsidRPr="00D8327C">
        <w:rPr>
          <w:lang w:val="ru-RU"/>
        </w:rPr>
        <w:t>признавая</w:t>
      </w:r>
    </w:p>
    <w:p w14:paraId="6EDA9778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iCs/>
          <w:lang w:val="ru-RU"/>
        </w:rPr>
        <w:t>a)</w:t>
      </w:r>
      <w:r w:rsidRPr="00D8327C">
        <w:rPr>
          <w:lang w:val="ru-RU"/>
        </w:rPr>
        <w:tab/>
        <w:t>Руководящие принципы Организации Объединенных Наций, касающиеся защиты интересов потребителей, пересмотренные и утвержденные Генеральной Ассамблеей Организации Объединенных Наций в резолюции 70/186 от 2015 года, которые устанавливают основные параметры эффективности законодательства о защите интересов потребителей, правоприменительных учреждений и систем правовой защиты;</w:t>
      </w:r>
    </w:p>
    <w:p w14:paraId="52F1BDEB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lang w:val="ru-RU"/>
        </w:rPr>
        <w:t>b)</w:t>
      </w:r>
      <w:r w:rsidRPr="00D8327C">
        <w:rPr>
          <w:lang w:val="ru-RU"/>
        </w:rPr>
        <w:tab/>
        <w:t xml:space="preserve">пункт 13 </w:t>
      </w:r>
      <w:r w:rsidRPr="00D8327C">
        <w:rPr>
          <w:i/>
          <w:iCs/>
          <w:lang w:val="ru-RU"/>
        </w:rPr>
        <w:t>e)</w:t>
      </w:r>
      <w:r w:rsidRPr="00D8327C">
        <w:rPr>
          <w:lang w:val="ru-RU"/>
        </w:rPr>
        <w:t xml:space="preserve"> Женевского плана действий Всемирной встречи на высшем уровне по вопросам информационного общества, в котором сформулировано,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общества,</w:t>
      </w:r>
    </w:p>
    <w:p w14:paraId="1F0FCCCB" w14:textId="77777777" w:rsidR="0027470A" w:rsidRPr="00D8327C" w:rsidRDefault="0047776A" w:rsidP="00581D34">
      <w:pPr>
        <w:pStyle w:val="Call"/>
        <w:rPr>
          <w:lang w:val="ru-RU"/>
        </w:rPr>
      </w:pPr>
      <w:r w:rsidRPr="00D8327C">
        <w:rPr>
          <w:lang w:val="ru-RU"/>
        </w:rPr>
        <w:t>учитывая</w:t>
      </w:r>
      <w:r w:rsidRPr="00D8327C">
        <w:rPr>
          <w:i w:val="0"/>
          <w:iCs/>
          <w:lang w:val="ru-RU"/>
        </w:rPr>
        <w:t>,</w:t>
      </w:r>
    </w:p>
    <w:p w14:paraId="3C305B37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lang w:val="ru-RU"/>
        </w:rPr>
        <w:t>a)</w:t>
      </w:r>
      <w:r w:rsidRPr="00D8327C">
        <w:rPr>
          <w:lang w:val="ru-RU"/>
        </w:rPr>
        <w:tab/>
        <w:t>что касающиеся защиты потребителей законы, политика и полезный и передовой опыт в этой области ограничивают мошенническое, обманное и недобросовестное ведение дел, и такие защитные меры обязательны для укрепления доверия потребителей и установления более равноправных отношений между поставщиками и пользователями/потребителями услуг электросвязи/ИКТ;</w:t>
      </w:r>
    </w:p>
    <w:p w14:paraId="26283429" w14:textId="79F62709" w:rsidR="0027470A" w:rsidRPr="00D8327C" w:rsidRDefault="0047776A" w:rsidP="00581D34">
      <w:pPr>
        <w:rPr>
          <w:lang w:val="ru-RU"/>
        </w:rPr>
      </w:pPr>
      <w:r w:rsidRPr="00D8327C">
        <w:rPr>
          <w:i/>
          <w:lang w:val="ru-RU"/>
        </w:rPr>
        <w:t>b)</w:t>
      </w:r>
      <w:r w:rsidRPr="00D8327C">
        <w:rPr>
          <w:lang w:val="ru-RU"/>
        </w:rPr>
        <w:tab/>
        <w:t xml:space="preserve">что развитие и совершенствование электросвязи/ИКТ должны сопровождаться укреплением прав пользователей/потребителей, </w:t>
      </w:r>
      <w:ins w:id="25" w:author="Anna Vegera" w:date="2022-09-06T22:58:00Z">
        <w:r w:rsidR="00F2058D" w:rsidRPr="00D8327C">
          <w:rPr>
            <w:lang w:val="ru-RU"/>
          </w:rPr>
          <w:t xml:space="preserve">а также формированием культуры </w:t>
        </w:r>
      </w:ins>
      <w:ins w:id="26" w:author="Anna Vegera" w:date="2022-09-06T22:59:00Z">
        <w:r w:rsidR="00F2058D" w:rsidRPr="00D8327C">
          <w:rPr>
            <w:lang w:val="ru-RU"/>
          </w:rPr>
          <w:t xml:space="preserve">кибербезопасности и повышением уровня доверия, </w:t>
        </w:r>
      </w:ins>
      <w:r w:rsidRPr="00D8327C">
        <w:rPr>
          <w:lang w:val="ru-RU"/>
        </w:rPr>
        <w:t>и для этого требуются меры регуляторной политики, а также механизмы предоставления более подробной и качественной информации о продуктах</w:t>
      </w:r>
      <w:ins w:id="27" w:author="Anna Vegera" w:date="2022-09-06T23:46:00Z">
        <w:r w:rsidR="002A317A" w:rsidRPr="00D8327C">
          <w:rPr>
            <w:lang w:val="ru-RU"/>
          </w:rPr>
          <w:t>,</w:t>
        </w:r>
      </w:ins>
      <w:del w:id="28" w:author="Anna Vegera" w:date="2022-09-06T23:45:00Z">
        <w:r w:rsidRPr="00D8327C" w:rsidDel="002A317A">
          <w:rPr>
            <w:lang w:val="ru-RU"/>
          </w:rPr>
          <w:delText xml:space="preserve"> и</w:delText>
        </w:r>
      </w:del>
      <w:r w:rsidRPr="00D8327C">
        <w:rPr>
          <w:lang w:val="ru-RU"/>
        </w:rPr>
        <w:t xml:space="preserve"> услугах</w:t>
      </w:r>
      <w:ins w:id="29" w:author="Anna Vegera" w:date="2022-09-06T23:45:00Z">
        <w:r w:rsidR="002A317A" w:rsidRPr="00D8327C">
          <w:rPr>
            <w:lang w:val="ru-RU"/>
            <w:rPrChange w:id="30" w:author="Anna Vegera" w:date="2022-09-06T23:45:00Z">
              <w:rPr>
                <w:lang w:val="en-US"/>
              </w:rPr>
            </w:rPrChange>
          </w:rPr>
          <w:t xml:space="preserve"> </w:t>
        </w:r>
      </w:ins>
      <w:ins w:id="31" w:author="Anna Vegera" w:date="2022-09-06T23:46:00Z">
        <w:r w:rsidR="002A317A" w:rsidRPr="00D8327C">
          <w:rPr>
            <w:lang w:val="ru-RU"/>
          </w:rPr>
          <w:t>и ответственном использовании электросвязи</w:t>
        </w:r>
      </w:ins>
      <w:r w:rsidRPr="00D8327C">
        <w:rPr>
          <w:lang w:val="ru-RU"/>
        </w:rPr>
        <w:t>;</w:t>
      </w:r>
    </w:p>
    <w:p w14:paraId="6F65C0F0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lang w:val="ru-RU"/>
        </w:rPr>
        <w:t>c)</w:t>
      </w:r>
      <w:r w:rsidRPr="00D8327C">
        <w:rPr>
          <w:lang w:val="ru-RU"/>
        </w:rPr>
        <w:tab/>
        <w:t xml:space="preserve">что доверие потребителей в сфере электросвязи/ИКТ поддерживается непрерывным развитием политики, направленной на то, чтобы гарантировать и стимулировать оказание качественных услуг, а также политики и механизмов прозрачности, предусматривающих </w:t>
      </w:r>
      <w:r w:rsidRPr="00D8327C">
        <w:rPr>
          <w:lang w:val="ru-RU"/>
        </w:rPr>
        <w:lastRenderedPageBreak/>
        <w:t>предоставление конкретной, сопоставимой, обновляемой и достоверной информации, таким образом, чтобы принятие решений в отношении услуг было основано на простоте восприятия, понимании и доступности;</w:t>
      </w:r>
    </w:p>
    <w:p w14:paraId="2DA7B24C" w14:textId="7B688349" w:rsidR="0027470A" w:rsidRPr="00D8327C" w:rsidRDefault="0047776A" w:rsidP="00581D34">
      <w:pPr>
        <w:rPr>
          <w:lang w:val="ru-RU"/>
        </w:rPr>
      </w:pPr>
      <w:r w:rsidRPr="00D8327C">
        <w:rPr>
          <w:i/>
          <w:lang w:val="ru-RU"/>
        </w:rPr>
        <w:t>d)</w:t>
      </w:r>
      <w:r w:rsidRPr="00D8327C">
        <w:rPr>
          <w:lang w:val="ru-RU"/>
        </w:rPr>
        <w:tab/>
        <w:t xml:space="preserve">что надлежит поощрять просвещение и распространение информации относительно соответствующего потребления и использования продуктов </w:t>
      </w:r>
      <w:del w:id="32" w:author="Anna Vegera" w:date="2022-09-06T23:46:00Z">
        <w:r w:rsidRPr="00D8327C" w:rsidDel="002A317A">
          <w:rPr>
            <w:lang w:val="ru-RU"/>
          </w:rPr>
          <w:delText xml:space="preserve">и услуг </w:delText>
        </w:r>
      </w:del>
      <w:r w:rsidRPr="00D8327C">
        <w:rPr>
          <w:lang w:val="ru-RU"/>
        </w:rPr>
        <w:t>электросвязи/ИКТ</w:t>
      </w:r>
      <w:ins w:id="33" w:author="Anna Vegera" w:date="2022-09-06T23:46:00Z">
        <w:r w:rsidR="002A317A" w:rsidRPr="00D8327C">
          <w:rPr>
            <w:lang w:val="ru-RU"/>
          </w:rPr>
          <w:t xml:space="preserve"> и ответс</w:t>
        </w:r>
      </w:ins>
      <w:ins w:id="34" w:author="Anna Vegera" w:date="2022-09-06T23:47:00Z">
        <w:r w:rsidR="002A317A" w:rsidRPr="00D8327C">
          <w:rPr>
            <w:lang w:val="ru-RU"/>
          </w:rPr>
          <w:t>твенно</w:t>
        </w:r>
      </w:ins>
      <w:ins w:id="35" w:author="Anna Vegera" w:date="2022-09-06T23:49:00Z">
        <w:r w:rsidR="002A317A" w:rsidRPr="00D8327C">
          <w:rPr>
            <w:lang w:val="ru-RU"/>
          </w:rPr>
          <w:t>го</w:t>
        </w:r>
      </w:ins>
      <w:ins w:id="36" w:author="Anna Vegera" w:date="2022-09-06T23:47:00Z">
        <w:r w:rsidR="002A317A" w:rsidRPr="00D8327C">
          <w:rPr>
            <w:lang w:val="ru-RU"/>
          </w:rPr>
          <w:t xml:space="preserve"> использовани</w:t>
        </w:r>
      </w:ins>
      <w:ins w:id="37" w:author="Anna Vegera" w:date="2022-09-06T23:49:00Z">
        <w:r w:rsidR="002A317A" w:rsidRPr="00D8327C">
          <w:rPr>
            <w:lang w:val="ru-RU"/>
          </w:rPr>
          <w:t>я</w:t>
        </w:r>
      </w:ins>
      <w:ins w:id="38" w:author="Anna Vegera" w:date="2022-09-06T23:47:00Z">
        <w:r w:rsidR="002A317A" w:rsidRPr="00D8327C">
          <w:rPr>
            <w:lang w:val="ru-RU"/>
          </w:rPr>
          <w:t xml:space="preserve"> их услуг</w:t>
        </w:r>
      </w:ins>
      <w:r w:rsidRPr="00D8327C">
        <w:rPr>
          <w:lang w:val="ru-RU"/>
        </w:rPr>
        <w:t>, в основном ресурсов цифровой экономики, так как пользователи/потребители рассчитывают иметь легальный доступ к контенту и приложениям этих услуг;</w:t>
      </w:r>
    </w:p>
    <w:p w14:paraId="156FD1DF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lang w:val="ru-RU"/>
        </w:rPr>
        <w:t>e)</w:t>
      </w:r>
      <w:r w:rsidRPr="00D8327C">
        <w:rPr>
          <w:lang w:val="ru-RU"/>
        </w:rPr>
        <w:tab/>
        <w:t>что доступ к электросвязи/ИКТ должен быть открытым, приемлемым в ценовом отношении и всеохватным, при этом особое внимание должно уделяться лицам с ограниченными возможностями, лицам с особыми потребностями и другим уязвимым группам населения;</w:t>
      </w:r>
    </w:p>
    <w:p w14:paraId="7DD31DB1" w14:textId="77777777" w:rsidR="0027470A" w:rsidRPr="00D8327C" w:rsidRDefault="0047776A" w:rsidP="00581D34">
      <w:pPr>
        <w:rPr>
          <w:lang w:val="ru-RU"/>
        </w:rPr>
      </w:pPr>
      <w:r w:rsidRPr="00D8327C">
        <w:rPr>
          <w:i/>
          <w:iCs/>
          <w:lang w:val="ru-RU"/>
        </w:rPr>
        <w:t>f)</w:t>
      </w:r>
      <w:r w:rsidRPr="00D8327C">
        <w:rPr>
          <w:lang w:val="ru-RU"/>
        </w:rPr>
        <w:tab/>
        <w:t>что в настоящее время продолжается деятельность 1</w:t>
      </w:r>
      <w:r w:rsidRPr="00D8327C">
        <w:rPr>
          <w:lang w:val="ru-RU"/>
        </w:rPr>
        <w:noBreakHyphen/>
        <w:t>й Исследовательской комиссии Сектора развития электросвязи МСЭ (МСЭ</w:t>
      </w:r>
      <w:r w:rsidRPr="00D8327C">
        <w:rPr>
          <w:lang w:val="ru-RU"/>
        </w:rPr>
        <w:noBreakHyphen/>
        <w:t>D), направленная на разработку руководящих указаний и определение полезного и передового опыта в области защиты пользователей/потребителей,</w:t>
      </w:r>
    </w:p>
    <w:p w14:paraId="27270CA8" w14:textId="77777777" w:rsidR="0027470A" w:rsidRPr="00D8327C" w:rsidRDefault="0047776A" w:rsidP="00581D34">
      <w:pPr>
        <w:pStyle w:val="Call"/>
        <w:rPr>
          <w:i w:val="0"/>
          <w:iCs/>
          <w:lang w:val="ru-RU"/>
        </w:rPr>
      </w:pPr>
      <w:r w:rsidRPr="00D8327C">
        <w:rPr>
          <w:lang w:val="ru-RU"/>
        </w:rPr>
        <w:t>решает</w:t>
      </w:r>
    </w:p>
    <w:p w14:paraId="201D5E87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1</w:t>
      </w:r>
      <w:r w:rsidRPr="00D8327C">
        <w:rPr>
          <w:lang w:val="ru-RU"/>
        </w:rPr>
        <w:tab/>
        <w:t>продолжать работу, нацеленную на защиту пользователей/потребителей услуг электросвязи/ИКТ, а также поддержку Государств-Членов в разработке политики и/или нормативно-правовой базы в этой области;</w:t>
      </w:r>
    </w:p>
    <w:p w14:paraId="21C01E30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2</w:t>
      </w:r>
      <w:r w:rsidRPr="00D8327C">
        <w:rPr>
          <w:lang w:val="ru-RU"/>
        </w:rPr>
        <w:tab/>
        <w:t>создать и вести базу данных о полезном и передовом опыте защиты пользователей/потребителей услуг электросвязи/ИКТ;</w:t>
      </w:r>
    </w:p>
    <w:p w14:paraId="6252D34E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3</w:t>
      </w:r>
      <w:r w:rsidRPr="00D8327C">
        <w:rPr>
          <w:lang w:val="ru-RU"/>
        </w:rPr>
        <w:tab/>
        <w:t>что МСЭ-D продолжает руководить работой по этому вопросу через исследовательские комиссии МСЭ-D в тесном сотрудничестве с Сектором стандартизации электросвязи МСЭ (МСЭ-Т) и его исследовательскими комиссиями, в зависимости от случая,</w:t>
      </w:r>
    </w:p>
    <w:p w14:paraId="1E813633" w14:textId="77777777" w:rsidR="0027470A" w:rsidRPr="00D8327C" w:rsidRDefault="0047776A" w:rsidP="00581D34">
      <w:pPr>
        <w:pStyle w:val="Call"/>
        <w:rPr>
          <w:lang w:val="ru-RU"/>
        </w:rPr>
      </w:pPr>
      <w:r w:rsidRPr="00D8327C">
        <w:rPr>
          <w:lang w:val="ru-RU"/>
        </w:rPr>
        <w:t>поручает Директору Бюро развития электросвязи</w:t>
      </w:r>
    </w:p>
    <w:p w14:paraId="5E08F45A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1</w:t>
      </w:r>
      <w:r w:rsidRPr="00D8327C">
        <w:rPr>
          <w:lang w:val="ru-RU"/>
        </w:rPr>
        <w:tab/>
        <w:t>довести до сведения директивных органов, а также национальных регуляторных органов вопрос о важности постоянного информирования пользователей/потребителей об основных характеристиках, качестве, безопасности различных предлагаемых операторами услуг и тарифах на них, и о других механизмах защиты, обеспечивающих права пользователей/потребителей;</w:t>
      </w:r>
    </w:p>
    <w:p w14:paraId="189318E2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2</w:t>
      </w:r>
      <w:r w:rsidRPr="00D8327C">
        <w:rPr>
          <w:lang w:val="ru-RU"/>
        </w:rPr>
        <w:tab/>
        <w:t>тесно сотрудничать с Государствами-Членами в целях определения важнейших областей для разработки рекомендаций, руководящих указаний, политики и/или нормативно-правовой базы для защиты пользователей/потребителей услуг электросвязи/ИКТ;</w:t>
      </w:r>
    </w:p>
    <w:p w14:paraId="5E2E5710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3</w:t>
      </w:r>
      <w:r w:rsidRPr="00D8327C">
        <w:rPr>
          <w:lang w:val="ru-RU"/>
        </w:rPr>
        <w:tab/>
        <w:t>укреплять отношения с другими международными организациями, включая организации по разработке стандартов, и органами, участвующими в решении вопросов защиты пользователей/потребителей услуг электросвязи/ИКТ;</w:t>
      </w:r>
    </w:p>
    <w:p w14:paraId="32CEED29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4</w:t>
      </w:r>
      <w:r w:rsidRPr="00D8327C">
        <w:rPr>
          <w:lang w:val="ru-RU"/>
        </w:rPr>
        <w:tab/>
        <w:t>оказывать поддержку организации международных и региональных форумов для распространения информации о правах пользователей/потребителей услуг электросвязи/ИКТ и обмена полезным и передовым опытом среди Государств-Членов, а также для применения технических решений, основанных на Рекомендациях МСЭ-Т, в зависимости от случая,</w:t>
      </w:r>
    </w:p>
    <w:p w14:paraId="476D0A65" w14:textId="77777777" w:rsidR="0027470A" w:rsidRPr="00D8327C" w:rsidRDefault="0047776A" w:rsidP="00581D34">
      <w:pPr>
        <w:pStyle w:val="Call"/>
        <w:keepNext w:val="0"/>
        <w:keepLines w:val="0"/>
        <w:rPr>
          <w:lang w:val="ru-RU"/>
        </w:rPr>
      </w:pPr>
      <w:r w:rsidRPr="00D8327C">
        <w:rPr>
          <w:lang w:val="ru-RU"/>
        </w:rPr>
        <w:t>предлагает Государствам-Членам</w:t>
      </w:r>
    </w:p>
    <w:p w14:paraId="3D34AFFD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1</w:t>
      </w:r>
      <w:r w:rsidRPr="00D8327C">
        <w:rPr>
          <w:lang w:val="ru-RU"/>
        </w:rPr>
        <w:tab/>
        <w:t>поощрять создание и реализацию политики и/или нормативно-правовой базы, которая обеспечивает своевременное предоставление конечным пользователям/потребителям услуг электросвязи/ИКТ бесплатной, прозрачной, актуальной и точной информации об услугах электросвязи/ИКТ, о тарифах и расценках, включая тарифы на международный роуминг и соответствующие применимые условия, в том числе на основе соответствующих результатов работы МСЭ;</w:t>
      </w:r>
    </w:p>
    <w:p w14:paraId="29505AF2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lastRenderedPageBreak/>
        <w:t>2</w:t>
      </w:r>
      <w:r w:rsidRPr="00D8327C">
        <w:rPr>
          <w:lang w:val="ru-RU"/>
        </w:rPr>
        <w:tab/>
        <w:t>представлять вклады в исследовательские комиссии МСЭ-D и МСЭ-Т, обладающие соответствующими мандатами по вопросам, касающимся защиты пользователей/потребителей услуг электросвязи/ИКТ, позволяющие распространять информацию о полезном и передовом опыте и стратегиях, которые были реализованы в целях расширения возможностей выработки государственной политики, касающейся правовых, регуляторных и технических мер для решения проблемы защиты пользователей/потребителей услуг электросвязи/ИКТ, включая данные пользователей/потребителей;</w:t>
      </w:r>
    </w:p>
    <w:p w14:paraId="0ABDCE2F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3</w:t>
      </w:r>
      <w:r w:rsidRPr="00D8327C">
        <w:rPr>
          <w:lang w:val="ru-RU"/>
        </w:rPr>
        <w:tab/>
        <w:t>обмениваться информацией о полезном и передовом опыте и государственной политике, которые оказали положительное воздействие на пользователей/потребителей услуг электросвязи/ИКТ, с тем чтобы воспроизводить эти меры и адаптировать их к условиям каждой страны;</w:t>
      </w:r>
    </w:p>
    <w:p w14:paraId="2E9B9381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4</w:t>
      </w:r>
      <w:r w:rsidRPr="00D8327C">
        <w:rPr>
          <w:lang w:val="ru-RU"/>
        </w:rPr>
        <w:tab/>
        <w:t>содействовать проведению политики, способствующей предоставлению услуг электросвязи/ИКТ таким образом, чтобы обеспечить для пользователей/потребителей услуг электросвязи/ИКТ должное качество, в том числе на основе Рекомендаций МСЭ-Т;</w:t>
      </w:r>
    </w:p>
    <w:p w14:paraId="217678B5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5</w:t>
      </w:r>
      <w:r w:rsidRPr="00D8327C">
        <w:rPr>
          <w:lang w:val="ru-RU"/>
        </w:rPr>
        <w:tab/>
        <w:t>содействовать конкуренции в предоставлении услуг электросвязи/ИКТ, поощряя выработку политики, стратегий или нормативно-правовой базы, стимулирующих конкурентные цены;</w:t>
      </w:r>
    </w:p>
    <w:p w14:paraId="59017E1C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6</w:t>
      </w:r>
      <w:r w:rsidRPr="00D8327C">
        <w:rPr>
          <w:lang w:val="ru-RU"/>
        </w:rPr>
        <w:tab/>
        <w:t>принимать во внимание примеры полезного и передового опыта, механизмы и рекомендации по предоставлению поставщиками услуг электросвязи/ИКТ полной и точной информации пользователям/потребителям,</w:t>
      </w:r>
    </w:p>
    <w:p w14:paraId="294FE784" w14:textId="77777777" w:rsidR="0027470A" w:rsidRPr="00D8327C" w:rsidRDefault="0047776A" w:rsidP="00581D34">
      <w:pPr>
        <w:pStyle w:val="Call"/>
        <w:rPr>
          <w:lang w:val="ru-RU"/>
        </w:rPr>
      </w:pPr>
      <w:r w:rsidRPr="00D8327C">
        <w:rPr>
          <w:lang w:val="ru-RU"/>
        </w:rPr>
        <w:t>предлагает Государствам-Членам, Членам Секторов и Ассоциированным членам</w:t>
      </w:r>
    </w:p>
    <w:p w14:paraId="797189A4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1</w:t>
      </w:r>
      <w:r w:rsidRPr="00D8327C">
        <w:rPr>
          <w:lang w:val="ru-RU"/>
        </w:rPr>
        <w:tab/>
        <w:t>принимать активное участие в работе соответствующих исследовательских комиссий МСЭ-D и МСЭ-Т, с тем чтобы обеспечивать возможность распространения полезного и передового опыта и политики в области защиты пользователей/потребителей услуг электросвязи/ИКТ;</w:t>
      </w:r>
    </w:p>
    <w:p w14:paraId="13BA5EDA" w14:textId="77777777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2</w:t>
      </w:r>
      <w:r w:rsidRPr="00D8327C">
        <w:rPr>
          <w:lang w:val="ru-RU"/>
        </w:rPr>
        <w:tab/>
        <w:t>развивать и совершенствовать условия, которые способствуют защите пользователей/потребителей услуг электросвязи/ИКТ;</w:t>
      </w:r>
    </w:p>
    <w:p w14:paraId="6FD597DA" w14:textId="6BD2A628" w:rsidR="0027470A" w:rsidRPr="00D8327C" w:rsidRDefault="0047776A" w:rsidP="00581D34">
      <w:pPr>
        <w:rPr>
          <w:lang w:val="ru-RU"/>
        </w:rPr>
      </w:pPr>
      <w:r w:rsidRPr="00D8327C">
        <w:rPr>
          <w:lang w:val="ru-RU"/>
        </w:rPr>
        <w:t>3</w:t>
      </w:r>
      <w:r w:rsidRPr="00D8327C">
        <w:rPr>
          <w:lang w:val="ru-RU"/>
        </w:rPr>
        <w:tab/>
        <w:t xml:space="preserve">развивать виды деятельности, которые способствуют укреплению </w:t>
      </w:r>
      <w:ins w:id="39" w:author="Anna Vegera" w:date="2022-09-06T23:50:00Z">
        <w:r w:rsidR="002A317A" w:rsidRPr="00D8327C">
          <w:rPr>
            <w:lang w:val="ru-RU"/>
          </w:rPr>
          <w:t xml:space="preserve">культуры кибербезопасности и </w:t>
        </w:r>
      </w:ins>
      <w:r w:rsidRPr="00D8327C">
        <w:rPr>
          <w:lang w:val="ru-RU"/>
        </w:rPr>
        <w:t xml:space="preserve">доверия пользователей/потребителей при использовании и эксплуатации услуг электросвязи/ИКТ. </w:t>
      </w:r>
    </w:p>
    <w:p w14:paraId="702F6B0C" w14:textId="77777777" w:rsidR="00090F3E" w:rsidRPr="00D8327C" w:rsidRDefault="00090F3E" w:rsidP="00411C49">
      <w:pPr>
        <w:pStyle w:val="Reasons"/>
        <w:rPr>
          <w:lang w:val="ru-RU"/>
        </w:rPr>
      </w:pPr>
    </w:p>
    <w:p w14:paraId="662A9814" w14:textId="77777777" w:rsidR="00090F3E" w:rsidRPr="00D8327C" w:rsidRDefault="00090F3E" w:rsidP="000D6CB3">
      <w:pPr>
        <w:jc w:val="center"/>
        <w:rPr>
          <w:lang w:val="ru-RU"/>
        </w:rPr>
      </w:pPr>
      <w:r w:rsidRPr="00D8327C">
        <w:rPr>
          <w:lang w:val="ru-RU"/>
        </w:rPr>
        <w:t>______________</w:t>
      </w:r>
    </w:p>
    <w:sectPr w:rsidR="00090F3E" w:rsidRPr="00D8327C" w:rsidSect="00D8327C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905B" w14:textId="77777777" w:rsidR="00920CB5" w:rsidRDefault="00920CB5" w:rsidP="0079159C">
      <w:r>
        <w:separator/>
      </w:r>
    </w:p>
    <w:p w14:paraId="46BFD7C3" w14:textId="77777777" w:rsidR="00920CB5" w:rsidRDefault="00920CB5" w:rsidP="0079159C"/>
    <w:p w14:paraId="48C53279" w14:textId="77777777" w:rsidR="00920CB5" w:rsidRDefault="00920CB5" w:rsidP="0079159C"/>
    <w:p w14:paraId="502E359B" w14:textId="77777777" w:rsidR="00920CB5" w:rsidRDefault="00920CB5" w:rsidP="0079159C"/>
    <w:p w14:paraId="17CB597F" w14:textId="77777777" w:rsidR="00920CB5" w:rsidRDefault="00920CB5" w:rsidP="0079159C"/>
    <w:p w14:paraId="6F351CF9" w14:textId="77777777" w:rsidR="00920CB5" w:rsidRDefault="00920CB5" w:rsidP="0079159C"/>
    <w:p w14:paraId="63A5735E" w14:textId="77777777" w:rsidR="00920CB5" w:rsidRDefault="00920CB5" w:rsidP="0079159C"/>
    <w:p w14:paraId="5D47C12D" w14:textId="77777777" w:rsidR="00920CB5" w:rsidRDefault="00920CB5" w:rsidP="0079159C"/>
    <w:p w14:paraId="24CAC7FF" w14:textId="77777777" w:rsidR="00920CB5" w:rsidRDefault="00920CB5" w:rsidP="0079159C"/>
    <w:p w14:paraId="126743A7" w14:textId="77777777" w:rsidR="00920CB5" w:rsidRDefault="00920CB5" w:rsidP="0079159C"/>
    <w:p w14:paraId="1E9B121F" w14:textId="77777777" w:rsidR="00920CB5" w:rsidRDefault="00920CB5" w:rsidP="0079159C"/>
    <w:p w14:paraId="3E12E86F" w14:textId="77777777" w:rsidR="00920CB5" w:rsidRDefault="00920CB5" w:rsidP="0079159C"/>
    <w:p w14:paraId="766BB480" w14:textId="77777777" w:rsidR="00920CB5" w:rsidRDefault="00920CB5" w:rsidP="0079159C"/>
    <w:p w14:paraId="1CF88BF6" w14:textId="77777777" w:rsidR="00920CB5" w:rsidRDefault="00920CB5" w:rsidP="0079159C"/>
    <w:p w14:paraId="061E20C8" w14:textId="77777777" w:rsidR="00920CB5" w:rsidRDefault="00920CB5" w:rsidP="004B3A6C"/>
    <w:p w14:paraId="4CDC45EA" w14:textId="77777777" w:rsidR="00920CB5" w:rsidRDefault="00920CB5" w:rsidP="004B3A6C"/>
  </w:endnote>
  <w:endnote w:type="continuationSeparator" w:id="0">
    <w:p w14:paraId="098B18A6" w14:textId="77777777" w:rsidR="00920CB5" w:rsidRDefault="00920CB5" w:rsidP="0079159C">
      <w:r>
        <w:continuationSeparator/>
      </w:r>
    </w:p>
    <w:p w14:paraId="383D476F" w14:textId="77777777" w:rsidR="00920CB5" w:rsidRDefault="00920CB5" w:rsidP="0079159C"/>
    <w:p w14:paraId="21EA50D5" w14:textId="77777777" w:rsidR="00920CB5" w:rsidRDefault="00920CB5" w:rsidP="0079159C"/>
    <w:p w14:paraId="352BB73F" w14:textId="77777777" w:rsidR="00920CB5" w:rsidRDefault="00920CB5" w:rsidP="0079159C"/>
    <w:p w14:paraId="6921CABE" w14:textId="77777777" w:rsidR="00920CB5" w:rsidRDefault="00920CB5" w:rsidP="0079159C"/>
    <w:p w14:paraId="506BD994" w14:textId="77777777" w:rsidR="00920CB5" w:rsidRDefault="00920CB5" w:rsidP="0079159C"/>
    <w:p w14:paraId="5486D496" w14:textId="77777777" w:rsidR="00920CB5" w:rsidRDefault="00920CB5" w:rsidP="0079159C"/>
    <w:p w14:paraId="539665D1" w14:textId="77777777" w:rsidR="00920CB5" w:rsidRDefault="00920CB5" w:rsidP="0079159C"/>
    <w:p w14:paraId="4BCCEF46" w14:textId="77777777" w:rsidR="00920CB5" w:rsidRDefault="00920CB5" w:rsidP="0079159C"/>
    <w:p w14:paraId="10041CEF" w14:textId="77777777" w:rsidR="00920CB5" w:rsidRDefault="00920CB5" w:rsidP="0079159C"/>
    <w:p w14:paraId="08D6C1C3" w14:textId="77777777" w:rsidR="00920CB5" w:rsidRDefault="00920CB5" w:rsidP="0079159C"/>
    <w:p w14:paraId="31D40D83" w14:textId="77777777" w:rsidR="00920CB5" w:rsidRDefault="00920CB5" w:rsidP="0079159C"/>
    <w:p w14:paraId="2F1732DB" w14:textId="77777777" w:rsidR="00920CB5" w:rsidRDefault="00920CB5" w:rsidP="0079159C"/>
    <w:p w14:paraId="2806D45A" w14:textId="77777777" w:rsidR="00920CB5" w:rsidRDefault="00920CB5" w:rsidP="0079159C"/>
    <w:p w14:paraId="290D3D8A" w14:textId="77777777" w:rsidR="00920CB5" w:rsidRDefault="00920CB5" w:rsidP="004B3A6C"/>
    <w:p w14:paraId="7BFE9D7D" w14:textId="77777777" w:rsidR="00920CB5" w:rsidRDefault="00920CB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1DEA" w14:textId="77777777" w:rsidR="008F5F4D" w:rsidRPr="00CD1B9C" w:rsidRDefault="00D8327C" w:rsidP="008F5F4D">
    <w:pPr>
      <w:pStyle w:val="Footer"/>
      <w:rPr>
        <w:color w:val="FFFFFF" w:themeColor="background1"/>
      </w:rPr>
    </w:pPr>
    <w:r w:rsidRPr="00CD1B9C">
      <w:rPr>
        <w:color w:val="FFFFFF" w:themeColor="background1"/>
      </w:rPr>
      <w:fldChar w:fldCharType="begin"/>
    </w:r>
    <w:r w:rsidRPr="00CD1B9C">
      <w:rPr>
        <w:color w:val="FFFFFF" w:themeColor="background1"/>
      </w:rPr>
      <w:instrText xml:space="preserve"> FILENAME \p  \* MERGEFORMAT </w:instrText>
    </w:r>
    <w:r w:rsidRPr="00CD1B9C">
      <w:rPr>
        <w:color w:val="FFFFFF" w:themeColor="background1"/>
      </w:rPr>
      <w:fldChar w:fldCharType="separate"/>
    </w:r>
    <w:r w:rsidR="00EE223E" w:rsidRPr="00CD1B9C">
      <w:rPr>
        <w:color w:val="FFFFFF" w:themeColor="background1"/>
      </w:rPr>
      <w:t>P:\SG\CONF-SG\PP22\000\076ADD15R.docx</w:t>
    </w:r>
    <w:r w:rsidRPr="00CD1B9C">
      <w:rPr>
        <w:color w:val="FFFFFF" w:themeColor="background1"/>
      </w:rPr>
      <w:fldChar w:fldCharType="end"/>
    </w:r>
    <w:r w:rsidR="008F5F4D" w:rsidRPr="00CD1B9C">
      <w:rPr>
        <w:color w:val="FFFFFF" w:themeColor="background1"/>
      </w:rPr>
      <w:t xml:space="preserve"> (</w:t>
    </w:r>
    <w:r w:rsidR="00EE223E" w:rsidRPr="00CD1B9C">
      <w:rPr>
        <w:color w:val="FFFFFF" w:themeColor="background1"/>
      </w:rPr>
      <w:t>511217</w:t>
    </w:r>
    <w:r w:rsidR="008F5F4D" w:rsidRPr="00CD1B9C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7892" w14:textId="627B17B9" w:rsidR="005C3DE4" w:rsidRPr="00D8327C" w:rsidRDefault="00D37469" w:rsidP="00D8327C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014B" w14:textId="77777777" w:rsidR="00920CB5" w:rsidRDefault="00920CB5" w:rsidP="0079159C">
      <w:r>
        <w:t>____________________</w:t>
      </w:r>
    </w:p>
  </w:footnote>
  <w:footnote w:type="continuationSeparator" w:id="0">
    <w:p w14:paraId="0887969E" w14:textId="77777777" w:rsidR="00920CB5" w:rsidRDefault="00920CB5" w:rsidP="0079159C">
      <w:r>
        <w:continuationSeparator/>
      </w:r>
    </w:p>
    <w:p w14:paraId="54A9EDDC" w14:textId="77777777" w:rsidR="00920CB5" w:rsidRDefault="00920CB5" w:rsidP="0079159C"/>
    <w:p w14:paraId="1616EF2F" w14:textId="77777777" w:rsidR="00920CB5" w:rsidRDefault="00920CB5" w:rsidP="0079159C"/>
    <w:p w14:paraId="08E2A4E3" w14:textId="77777777" w:rsidR="00920CB5" w:rsidRDefault="00920CB5" w:rsidP="0079159C"/>
    <w:p w14:paraId="79DC3E86" w14:textId="77777777" w:rsidR="00920CB5" w:rsidRDefault="00920CB5" w:rsidP="0079159C"/>
    <w:p w14:paraId="1157A560" w14:textId="77777777" w:rsidR="00920CB5" w:rsidRDefault="00920CB5" w:rsidP="0079159C"/>
    <w:p w14:paraId="6A700FBE" w14:textId="77777777" w:rsidR="00920CB5" w:rsidRDefault="00920CB5" w:rsidP="0079159C"/>
    <w:p w14:paraId="6818CAE1" w14:textId="77777777" w:rsidR="00920CB5" w:rsidRDefault="00920CB5" w:rsidP="0079159C"/>
    <w:p w14:paraId="1A2C184B" w14:textId="77777777" w:rsidR="00920CB5" w:rsidRDefault="00920CB5" w:rsidP="0079159C"/>
    <w:p w14:paraId="28ACC712" w14:textId="77777777" w:rsidR="00920CB5" w:rsidRDefault="00920CB5" w:rsidP="0079159C"/>
    <w:p w14:paraId="075DBE81" w14:textId="77777777" w:rsidR="00920CB5" w:rsidRDefault="00920CB5" w:rsidP="0079159C"/>
    <w:p w14:paraId="326220D9" w14:textId="77777777" w:rsidR="00920CB5" w:rsidRDefault="00920CB5" w:rsidP="0079159C"/>
    <w:p w14:paraId="7992F155" w14:textId="77777777" w:rsidR="00920CB5" w:rsidRDefault="00920CB5" w:rsidP="0079159C"/>
    <w:p w14:paraId="1541352E" w14:textId="77777777" w:rsidR="00920CB5" w:rsidRDefault="00920CB5" w:rsidP="0079159C"/>
    <w:p w14:paraId="01A1DD63" w14:textId="77777777" w:rsidR="00920CB5" w:rsidRDefault="00920CB5" w:rsidP="004B3A6C"/>
    <w:p w14:paraId="39B6D0DE" w14:textId="77777777" w:rsidR="00920CB5" w:rsidRDefault="00920CB5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1647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7776A">
      <w:rPr>
        <w:noProof/>
      </w:rPr>
      <w:t>4</w:t>
    </w:r>
    <w:r>
      <w:fldChar w:fldCharType="end"/>
    </w:r>
  </w:p>
  <w:p w14:paraId="1BB48809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/76(Add.15)-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Anna Vegera">
    <w15:presenceInfo w15:providerId="Windows Live" w15:userId="92ef7e6618826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0F3E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6CB3"/>
    <w:rsid w:val="000E3AAE"/>
    <w:rsid w:val="000E4C7A"/>
    <w:rsid w:val="000E63E8"/>
    <w:rsid w:val="00100DF6"/>
    <w:rsid w:val="0011748B"/>
    <w:rsid w:val="00120697"/>
    <w:rsid w:val="00130C1F"/>
    <w:rsid w:val="00142E9A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E3187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317A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25B"/>
    <w:rsid w:val="00471ABB"/>
    <w:rsid w:val="0047776A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54D7E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0586"/>
    <w:rsid w:val="009125CE"/>
    <w:rsid w:val="00920CB5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B7A5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D1B9C"/>
    <w:rsid w:val="00CE40BB"/>
    <w:rsid w:val="00D37275"/>
    <w:rsid w:val="00D37469"/>
    <w:rsid w:val="00D50E12"/>
    <w:rsid w:val="00D55DD9"/>
    <w:rsid w:val="00D57F41"/>
    <w:rsid w:val="00D8327C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E223E"/>
    <w:rsid w:val="00EF2642"/>
    <w:rsid w:val="00EF3681"/>
    <w:rsid w:val="00F06FDE"/>
    <w:rsid w:val="00F076D9"/>
    <w:rsid w:val="00F2058D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B675A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59A4B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F2058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575a69-370d-452d-98c0-274d035f79d8">DPM</DPM_x0020_Author>
    <DPM_x0020_File_x0020_name xmlns="73575a69-370d-452d-98c0-274d035f79d8">S22-PP-C-0076!A15!MSW-R</DPM_x0020_File_x0020_name>
    <DPM_x0020_Version xmlns="73575a69-370d-452d-98c0-274d035f79d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575a69-370d-452d-98c0-274d035f79d8" targetNamespace="http://schemas.microsoft.com/office/2006/metadata/properties" ma:root="true" ma:fieldsID="d41af5c836d734370eb92e7ee5f83852" ns2:_="" ns3:_="">
    <xsd:import namespace="996b2e75-67fd-4955-a3b0-5ab9934cb50b"/>
    <xsd:import namespace="73575a69-370d-452d-98c0-274d035f79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75a69-370d-452d-98c0-274d035f79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3575a69-370d-452d-98c0-274d035f79d8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575a69-370d-452d-98c0-274d035f7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S22-PP-C-0076!A15!MSW-R</vt:lpstr>
    </vt:vector>
  </TitlesOfParts>
  <Manager/>
  <Company/>
  <LinksUpToDate>false</LinksUpToDate>
  <CharactersWithSpaces>8689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S22-PP-C-0076!A15!MSW-R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11</cp:revision>
  <dcterms:created xsi:type="dcterms:W3CDTF">2022-09-05T09:23:00Z</dcterms:created>
  <dcterms:modified xsi:type="dcterms:W3CDTF">2022-09-19T13:26:00Z</dcterms:modified>
  <cp:category>Conference document</cp:category>
</cp:coreProperties>
</file>