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255FA1" w:rsidRPr="00B005ED" w14:paraId="60DB27D8" w14:textId="77777777" w:rsidTr="00682B62">
        <w:trPr>
          <w:cantSplit/>
        </w:trPr>
        <w:tc>
          <w:tcPr>
            <w:tcW w:w="6911" w:type="dxa"/>
          </w:tcPr>
          <w:p w14:paraId="4E1CE2EA" w14:textId="77777777" w:rsidR="00255FA1" w:rsidRPr="00B005ED" w:rsidRDefault="00255FA1" w:rsidP="009D1BE0">
            <w:pPr>
              <w:rPr>
                <w:b/>
                <w:bCs/>
                <w:szCs w:val="22"/>
              </w:rPr>
            </w:pPr>
            <w:bookmarkStart w:id="0" w:name="dbreak"/>
            <w:bookmarkStart w:id="1" w:name="dpp"/>
            <w:bookmarkEnd w:id="0"/>
            <w:bookmarkEnd w:id="1"/>
            <w:r w:rsidRPr="00B005ED">
              <w:rPr>
                <w:rStyle w:val="PageNumber"/>
                <w:rFonts w:cs="Times"/>
                <w:b/>
                <w:sz w:val="30"/>
                <w:szCs w:val="30"/>
              </w:rPr>
              <w:t>Conferencia de Plenipotenciarios (PP-</w:t>
            </w:r>
            <w:r w:rsidR="009D1BE0" w:rsidRPr="00B005ED">
              <w:rPr>
                <w:rStyle w:val="PageNumber"/>
                <w:rFonts w:cs="Times"/>
                <w:b/>
                <w:sz w:val="30"/>
                <w:szCs w:val="30"/>
              </w:rPr>
              <w:t>22</w:t>
            </w:r>
            <w:r w:rsidRPr="00B005ED">
              <w:rPr>
                <w:rStyle w:val="PageNumber"/>
                <w:rFonts w:cs="Times"/>
                <w:b/>
                <w:sz w:val="30"/>
                <w:szCs w:val="30"/>
              </w:rPr>
              <w:t>)</w:t>
            </w:r>
            <w:r w:rsidRPr="00B005ED">
              <w:rPr>
                <w:rStyle w:val="PageNumber"/>
                <w:rFonts w:cs="Times"/>
                <w:sz w:val="26"/>
                <w:szCs w:val="26"/>
              </w:rPr>
              <w:br/>
            </w:r>
            <w:r w:rsidR="009D1BE0" w:rsidRPr="00B005ED">
              <w:rPr>
                <w:b/>
                <w:bCs/>
                <w:szCs w:val="24"/>
              </w:rPr>
              <w:t>Bucarest</w:t>
            </w:r>
            <w:r w:rsidRPr="00B005ED">
              <w:rPr>
                <w:rStyle w:val="PageNumber"/>
                <w:b/>
                <w:bCs/>
                <w:szCs w:val="24"/>
              </w:rPr>
              <w:t xml:space="preserve">, </w:t>
            </w:r>
            <w:r w:rsidRPr="00B005ED">
              <w:rPr>
                <w:rStyle w:val="PageNumber"/>
                <w:b/>
                <w:szCs w:val="24"/>
              </w:rPr>
              <w:t>2</w:t>
            </w:r>
            <w:r w:rsidR="009D1BE0" w:rsidRPr="00B005ED">
              <w:rPr>
                <w:rStyle w:val="PageNumber"/>
                <w:b/>
                <w:szCs w:val="24"/>
              </w:rPr>
              <w:t>6</w:t>
            </w:r>
            <w:r w:rsidRPr="00B005ED">
              <w:rPr>
                <w:rStyle w:val="PageNumber"/>
                <w:b/>
                <w:szCs w:val="24"/>
              </w:rPr>
              <w:t xml:space="preserve"> de </w:t>
            </w:r>
            <w:r w:rsidR="009D1BE0" w:rsidRPr="00B005ED">
              <w:rPr>
                <w:rStyle w:val="PageNumber"/>
                <w:b/>
                <w:szCs w:val="24"/>
              </w:rPr>
              <w:t>septiembre</w:t>
            </w:r>
            <w:r w:rsidRPr="00B005ED">
              <w:rPr>
                <w:rStyle w:val="PageNumber"/>
                <w:b/>
                <w:szCs w:val="24"/>
              </w:rPr>
              <w:t xml:space="preserve"> </w:t>
            </w:r>
            <w:r w:rsidR="00491A25" w:rsidRPr="00B005ED">
              <w:rPr>
                <w:rStyle w:val="PageNumber"/>
                <w:b/>
                <w:szCs w:val="24"/>
              </w:rPr>
              <w:t>–</w:t>
            </w:r>
            <w:r w:rsidRPr="00B005ED">
              <w:rPr>
                <w:rStyle w:val="PageNumber"/>
                <w:b/>
                <w:szCs w:val="24"/>
              </w:rPr>
              <w:t xml:space="preserve"> </w:t>
            </w:r>
            <w:r w:rsidR="00C43474" w:rsidRPr="00B005ED">
              <w:rPr>
                <w:rStyle w:val="PageNumber"/>
                <w:b/>
                <w:szCs w:val="24"/>
              </w:rPr>
              <w:t>1</w:t>
            </w:r>
            <w:r w:rsidR="009D1BE0" w:rsidRPr="00B005ED">
              <w:rPr>
                <w:rStyle w:val="PageNumber"/>
                <w:b/>
                <w:szCs w:val="24"/>
              </w:rPr>
              <w:t>4</w:t>
            </w:r>
            <w:r w:rsidRPr="00B005ED">
              <w:rPr>
                <w:rStyle w:val="PageNumber"/>
                <w:b/>
                <w:szCs w:val="24"/>
              </w:rPr>
              <w:t xml:space="preserve"> de </w:t>
            </w:r>
            <w:r w:rsidR="009D1BE0" w:rsidRPr="00B005ED">
              <w:rPr>
                <w:rStyle w:val="PageNumber"/>
                <w:b/>
                <w:szCs w:val="24"/>
              </w:rPr>
              <w:t>octubre</w:t>
            </w:r>
            <w:r w:rsidRPr="00B005ED">
              <w:rPr>
                <w:rStyle w:val="PageNumber"/>
                <w:b/>
                <w:szCs w:val="24"/>
              </w:rPr>
              <w:t xml:space="preserve"> de 2</w:t>
            </w:r>
            <w:r w:rsidR="009D1BE0" w:rsidRPr="00B005ED">
              <w:rPr>
                <w:rStyle w:val="PageNumber"/>
                <w:b/>
                <w:szCs w:val="24"/>
              </w:rPr>
              <w:t>022</w:t>
            </w:r>
          </w:p>
        </w:tc>
        <w:tc>
          <w:tcPr>
            <w:tcW w:w="3120" w:type="dxa"/>
          </w:tcPr>
          <w:p w14:paraId="453A18ED" w14:textId="77777777" w:rsidR="00255FA1" w:rsidRPr="00B005ED" w:rsidRDefault="009D1BE0" w:rsidP="00682B62">
            <w:pPr>
              <w:spacing w:before="0" w:line="240" w:lineRule="atLeast"/>
              <w:rPr>
                <w:rFonts w:cstheme="minorHAnsi"/>
              </w:rPr>
            </w:pPr>
            <w:bookmarkStart w:id="2" w:name="ditulogo"/>
            <w:bookmarkEnd w:id="2"/>
            <w:r w:rsidRPr="00B005ED">
              <w:rPr>
                <w:noProof/>
                <w:lang w:eastAsia="es-ES"/>
              </w:rPr>
              <w:drawing>
                <wp:inline distT="0" distB="0" distL="0" distR="0" wp14:anchorId="743DF48B" wp14:editId="07DB624C">
                  <wp:extent cx="682402" cy="720000"/>
                  <wp:effectExtent l="0" t="0" r="381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5FA1" w:rsidRPr="00B005ED" w14:paraId="4CA709C0" w14:textId="77777777" w:rsidTr="00682B62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52946AF3" w14:textId="77777777" w:rsidR="00255FA1" w:rsidRPr="00B005ED" w:rsidRDefault="00255FA1" w:rsidP="00682B62">
            <w:pPr>
              <w:spacing w:before="0" w:after="48" w:line="240" w:lineRule="atLeast"/>
              <w:rPr>
                <w:rFonts w:cstheme="minorHAnsi"/>
                <w:b/>
                <w:smallCaps/>
                <w:szCs w:val="24"/>
              </w:rPr>
            </w:pPr>
            <w:bookmarkStart w:id="3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22D7D22F" w14:textId="77777777" w:rsidR="00255FA1" w:rsidRPr="00B005ED" w:rsidRDefault="00255FA1" w:rsidP="00930E84">
            <w:pPr>
              <w:spacing w:before="0" w:after="48" w:line="240" w:lineRule="atLeast"/>
              <w:rPr>
                <w:rFonts w:cstheme="minorHAnsi"/>
                <w:b/>
                <w:smallCaps/>
                <w:szCs w:val="24"/>
              </w:rPr>
            </w:pPr>
          </w:p>
        </w:tc>
      </w:tr>
      <w:tr w:rsidR="00255FA1" w:rsidRPr="00B005ED" w14:paraId="311A9199" w14:textId="77777777" w:rsidTr="00682B6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3F2DD8D3" w14:textId="6A303690" w:rsidR="00255FA1" w:rsidRPr="00B005ED" w:rsidRDefault="00373D7F" w:rsidP="00B005ED">
            <w:pPr>
              <w:spacing w:before="0"/>
              <w:rPr>
                <w:rFonts w:cstheme="minorHAnsi"/>
                <w:b/>
                <w:smallCaps/>
                <w:szCs w:val="24"/>
              </w:rPr>
            </w:pPr>
            <w:r>
              <w:rPr>
                <w:rFonts w:cstheme="minorHAnsi"/>
                <w:b/>
                <w:smallCaps/>
                <w:szCs w:val="24"/>
              </w:rPr>
              <w:t>p</w:t>
            </w: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5CE3FAD4" w14:textId="77777777" w:rsidR="00255FA1" w:rsidRPr="00B005ED" w:rsidRDefault="00255FA1" w:rsidP="004F4BB1">
            <w:pPr>
              <w:spacing w:before="0"/>
              <w:rPr>
                <w:rFonts w:cstheme="minorHAnsi"/>
                <w:szCs w:val="24"/>
              </w:rPr>
            </w:pPr>
          </w:p>
        </w:tc>
      </w:tr>
      <w:tr w:rsidR="00255FA1" w:rsidRPr="00B005ED" w14:paraId="5DA2707C" w14:textId="77777777" w:rsidTr="00682B62">
        <w:trPr>
          <w:cantSplit/>
        </w:trPr>
        <w:tc>
          <w:tcPr>
            <w:tcW w:w="6911" w:type="dxa"/>
          </w:tcPr>
          <w:p w14:paraId="63507AB7" w14:textId="77777777" w:rsidR="00255FA1" w:rsidRPr="00B005ED" w:rsidRDefault="009A443B" w:rsidP="004F4BB1">
            <w:pPr>
              <w:pStyle w:val="Committee"/>
              <w:framePr w:hSpace="0" w:wrap="auto" w:hAnchor="text" w:yAlign="inline"/>
              <w:spacing w:after="0" w:line="240" w:lineRule="auto"/>
              <w:rPr>
                <w:lang w:val="es-ES_tradnl"/>
              </w:rPr>
            </w:pPr>
            <w:r w:rsidRPr="00B005ED">
              <w:rPr>
                <w:lang w:val="es-ES_tradnl"/>
              </w:rPr>
              <w:t>SESIÓN PLENARIA</w:t>
            </w:r>
          </w:p>
        </w:tc>
        <w:tc>
          <w:tcPr>
            <w:tcW w:w="3120" w:type="dxa"/>
          </w:tcPr>
          <w:p w14:paraId="21809A0C" w14:textId="00AC6F90" w:rsidR="00255FA1" w:rsidRPr="00B005ED" w:rsidRDefault="009A443B" w:rsidP="004F4BB1">
            <w:pPr>
              <w:spacing w:before="0"/>
              <w:rPr>
                <w:rFonts w:cstheme="minorHAnsi"/>
                <w:szCs w:val="24"/>
              </w:rPr>
            </w:pPr>
            <w:r w:rsidRPr="00B005ED">
              <w:rPr>
                <w:rFonts w:cstheme="minorHAnsi"/>
                <w:b/>
                <w:szCs w:val="24"/>
              </w:rPr>
              <w:t xml:space="preserve">Documento </w:t>
            </w:r>
            <w:r w:rsidR="00CA4655" w:rsidRPr="00B005ED">
              <w:rPr>
                <w:rFonts w:cstheme="minorHAnsi"/>
                <w:b/>
                <w:szCs w:val="24"/>
              </w:rPr>
              <w:t>75</w:t>
            </w:r>
            <w:r w:rsidRPr="00B005ED">
              <w:rPr>
                <w:rFonts w:cstheme="minorHAnsi"/>
                <w:b/>
                <w:szCs w:val="24"/>
              </w:rPr>
              <w:t>-S</w:t>
            </w:r>
          </w:p>
        </w:tc>
      </w:tr>
      <w:tr w:rsidR="00255FA1" w:rsidRPr="00B005ED" w14:paraId="334D0122" w14:textId="77777777" w:rsidTr="00682B62">
        <w:trPr>
          <w:cantSplit/>
        </w:trPr>
        <w:tc>
          <w:tcPr>
            <w:tcW w:w="6911" w:type="dxa"/>
          </w:tcPr>
          <w:p w14:paraId="3BC232BE" w14:textId="77777777" w:rsidR="00255FA1" w:rsidRPr="00B005ED" w:rsidRDefault="00255FA1" w:rsidP="004F4BB1">
            <w:pPr>
              <w:spacing w:before="0"/>
              <w:rPr>
                <w:rFonts w:cstheme="minorHAnsi"/>
                <w:b/>
                <w:szCs w:val="24"/>
              </w:rPr>
            </w:pPr>
          </w:p>
        </w:tc>
        <w:tc>
          <w:tcPr>
            <w:tcW w:w="3120" w:type="dxa"/>
          </w:tcPr>
          <w:p w14:paraId="242179DE" w14:textId="531CE463" w:rsidR="00255FA1" w:rsidRPr="00B005ED" w:rsidRDefault="00CA4655" w:rsidP="004F4BB1">
            <w:pPr>
              <w:spacing w:before="0"/>
              <w:rPr>
                <w:rFonts w:cstheme="minorHAnsi"/>
                <w:b/>
                <w:szCs w:val="24"/>
              </w:rPr>
            </w:pPr>
            <w:r w:rsidRPr="00B005ED">
              <w:rPr>
                <w:rStyle w:val="PageNumber"/>
                <w:b/>
                <w:szCs w:val="24"/>
              </w:rPr>
              <w:t>26</w:t>
            </w:r>
            <w:r w:rsidR="009A443B" w:rsidRPr="00B005ED">
              <w:rPr>
                <w:rStyle w:val="PageNumber"/>
                <w:b/>
                <w:szCs w:val="24"/>
              </w:rPr>
              <w:t xml:space="preserve"> de </w:t>
            </w:r>
            <w:r w:rsidRPr="00B005ED">
              <w:rPr>
                <w:rStyle w:val="PageNumber"/>
                <w:b/>
                <w:szCs w:val="24"/>
              </w:rPr>
              <w:t>agosto</w:t>
            </w:r>
            <w:r w:rsidR="009A443B" w:rsidRPr="00B005ED">
              <w:rPr>
                <w:rStyle w:val="PageNumber"/>
                <w:b/>
                <w:szCs w:val="24"/>
              </w:rPr>
              <w:t xml:space="preserve"> </w:t>
            </w:r>
            <w:r w:rsidR="009A443B" w:rsidRPr="00B005ED">
              <w:rPr>
                <w:rFonts w:cstheme="minorHAnsi"/>
                <w:b/>
                <w:szCs w:val="24"/>
              </w:rPr>
              <w:t>de 202</w:t>
            </w:r>
            <w:r w:rsidRPr="00B005ED">
              <w:rPr>
                <w:rFonts w:cstheme="minorHAnsi"/>
                <w:b/>
                <w:szCs w:val="24"/>
              </w:rPr>
              <w:t>2</w:t>
            </w:r>
          </w:p>
        </w:tc>
      </w:tr>
      <w:tr w:rsidR="00255FA1" w:rsidRPr="00B005ED" w14:paraId="51E6835D" w14:textId="77777777" w:rsidTr="00682B62">
        <w:trPr>
          <w:cantSplit/>
        </w:trPr>
        <w:tc>
          <w:tcPr>
            <w:tcW w:w="6911" w:type="dxa"/>
          </w:tcPr>
          <w:p w14:paraId="2C3133C5" w14:textId="77777777" w:rsidR="00255FA1" w:rsidRPr="00B005ED" w:rsidRDefault="00255FA1" w:rsidP="004F4BB1">
            <w:pPr>
              <w:spacing w:before="0"/>
              <w:rPr>
                <w:rFonts w:cstheme="minorHAnsi"/>
                <w:b/>
                <w:smallCaps/>
                <w:szCs w:val="24"/>
              </w:rPr>
            </w:pPr>
          </w:p>
        </w:tc>
        <w:tc>
          <w:tcPr>
            <w:tcW w:w="3120" w:type="dxa"/>
          </w:tcPr>
          <w:p w14:paraId="769BCBCE" w14:textId="77777777" w:rsidR="00255FA1" w:rsidRPr="00B005ED" w:rsidRDefault="009A443B" w:rsidP="004F4BB1">
            <w:pPr>
              <w:spacing w:before="0"/>
              <w:rPr>
                <w:rFonts w:cstheme="minorHAnsi"/>
                <w:b/>
                <w:szCs w:val="24"/>
              </w:rPr>
            </w:pPr>
            <w:r w:rsidRPr="00B005ED">
              <w:rPr>
                <w:rFonts w:cstheme="minorHAnsi"/>
                <w:b/>
                <w:szCs w:val="24"/>
              </w:rPr>
              <w:t>Original: inglés</w:t>
            </w:r>
          </w:p>
        </w:tc>
      </w:tr>
      <w:tr w:rsidR="00255FA1" w:rsidRPr="00B005ED" w14:paraId="2821A386" w14:textId="77777777" w:rsidTr="00682B62">
        <w:trPr>
          <w:cantSplit/>
        </w:trPr>
        <w:tc>
          <w:tcPr>
            <w:tcW w:w="10031" w:type="dxa"/>
            <w:gridSpan w:val="2"/>
          </w:tcPr>
          <w:p w14:paraId="134A656C" w14:textId="77777777" w:rsidR="00255FA1" w:rsidRPr="00B005ED" w:rsidRDefault="00255FA1" w:rsidP="00682B62">
            <w:pPr>
              <w:spacing w:before="0" w:line="240" w:lineRule="atLeast"/>
              <w:rPr>
                <w:rFonts w:cstheme="minorHAnsi"/>
                <w:b/>
                <w:szCs w:val="24"/>
              </w:rPr>
            </w:pPr>
          </w:p>
        </w:tc>
      </w:tr>
      <w:tr w:rsidR="00CA4655" w:rsidRPr="00B005ED" w14:paraId="49122BB4" w14:textId="77777777" w:rsidTr="00682B62">
        <w:trPr>
          <w:cantSplit/>
        </w:trPr>
        <w:tc>
          <w:tcPr>
            <w:tcW w:w="10031" w:type="dxa"/>
            <w:gridSpan w:val="2"/>
          </w:tcPr>
          <w:p w14:paraId="2D8B0381" w14:textId="2D1B4F9E" w:rsidR="00CA4655" w:rsidRPr="00B005ED" w:rsidRDefault="00B50C1F" w:rsidP="00B50C1F">
            <w:pPr>
              <w:pStyle w:val="Source"/>
            </w:pPr>
            <w:bookmarkStart w:id="4" w:name="lt_pId010"/>
            <w:bookmarkStart w:id="5" w:name="dsource" w:colFirst="0" w:colLast="0"/>
            <w:bookmarkEnd w:id="3"/>
            <w:r w:rsidRPr="00B005ED">
              <w:t>Informe del Secretario General</w:t>
            </w:r>
            <w:bookmarkEnd w:id="4"/>
          </w:p>
        </w:tc>
      </w:tr>
      <w:tr w:rsidR="00CA4655" w:rsidRPr="00B005ED" w14:paraId="3E7DA324" w14:textId="77777777" w:rsidTr="00682B62">
        <w:trPr>
          <w:cantSplit/>
        </w:trPr>
        <w:tc>
          <w:tcPr>
            <w:tcW w:w="10031" w:type="dxa"/>
            <w:gridSpan w:val="2"/>
          </w:tcPr>
          <w:p w14:paraId="1C299FC4" w14:textId="0D7C643B" w:rsidR="00CA4655" w:rsidRPr="00B005ED" w:rsidRDefault="00B50C1F" w:rsidP="00CA4655">
            <w:pPr>
              <w:pStyle w:val="Title1"/>
            </w:pPr>
            <w:bookmarkStart w:id="6" w:name="dtitle1" w:colFirst="0" w:colLast="0"/>
            <w:bookmarkEnd w:id="5"/>
            <w:r w:rsidRPr="00B005ED">
              <w:t xml:space="preserve">resultados de la aplicación de las medidas de eficiencia que figuran en el Anexo 2 a la Decisión 5 (Rev. Dubái, 2018) para el </w:t>
            </w:r>
            <w:r w:rsidR="00B005ED">
              <w:t>periodo</w:t>
            </w:r>
            <w:r w:rsidRPr="00B005ED">
              <w:t xml:space="preserve"> 2020-2023</w:t>
            </w:r>
          </w:p>
          <w:p w14:paraId="592368F0" w14:textId="422B8F6A" w:rsidR="00CA4655" w:rsidRPr="00B005ED" w:rsidRDefault="00CA4655" w:rsidP="00CA4655">
            <w:pPr>
              <w:pStyle w:val="Title1"/>
            </w:pPr>
          </w:p>
        </w:tc>
      </w:tr>
      <w:tr w:rsidR="001F1670" w:rsidRPr="00B005ED" w14:paraId="772B33B1" w14:textId="77777777" w:rsidTr="00682B62">
        <w:trPr>
          <w:cantSplit/>
        </w:trPr>
        <w:tc>
          <w:tcPr>
            <w:tcW w:w="10031" w:type="dxa"/>
            <w:gridSpan w:val="2"/>
          </w:tcPr>
          <w:p w14:paraId="09FE2DAE" w14:textId="77777777" w:rsidR="001F1670" w:rsidRPr="00B005ED" w:rsidRDefault="001F1670" w:rsidP="00CA4655">
            <w:pPr>
              <w:pStyle w:val="Title1"/>
            </w:pPr>
          </w:p>
        </w:tc>
      </w:tr>
    </w:tbl>
    <w:tbl>
      <w:tblPr>
        <w:tblStyle w:val="TableGrid"/>
        <w:tblW w:w="0" w:type="auto"/>
        <w:tblInd w:w="5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32"/>
      </w:tblGrid>
      <w:tr w:rsidR="00CA4655" w:rsidRPr="00B005ED" w14:paraId="427BD4FE" w14:textId="77777777" w:rsidTr="00CA4655">
        <w:tc>
          <w:tcPr>
            <w:tcW w:w="9635" w:type="dxa"/>
          </w:tcPr>
          <w:bookmarkEnd w:id="6"/>
          <w:p w14:paraId="2E87FE54" w14:textId="23EFBE58" w:rsidR="00CA4655" w:rsidRPr="00B005ED" w:rsidRDefault="00B50C1F" w:rsidP="001F1670">
            <w:pPr>
              <w:pStyle w:val="Headingb"/>
            </w:pPr>
            <w:r w:rsidRPr="00B005ED">
              <w:t>Resumen</w:t>
            </w:r>
          </w:p>
          <w:p w14:paraId="400F96D1" w14:textId="2FF4402D" w:rsidR="00CA4655" w:rsidRPr="00B005ED" w:rsidRDefault="00CA4655" w:rsidP="00B50C1F">
            <w:pPr>
              <w:rPr>
                <w:szCs w:val="24"/>
              </w:rPr>
            </w:pPr>
            <w:r w:rsidRPr="00B005ED">
              <w:rPr>
                <w:szCs w:val="24"/>
              </w:rPr>
              <w:t xml:space="preserve">El presente documento </w:t>
            </w:r>
            <w:r w:rsidR="00B50C1F" w:rsidRPr="00B005ED">
              <w:rPr>
                <w:szCs w:val="24"/>
              </w:rPr>
              <w:t>contiene</w:t>
            </w:r>
            <w:r w:rsidRPr="00B005ED">
              <w:rPr>
                <w:szCs w:val="24"/>
              </w:rPr>
              <w:t xml:space="preserve"> información sobre </w:t>
            </w:r>
            <w:r w:rsidR="00B50C1F" w:rsidRPr="00B005ED">
              <w:rPr>
                <w:szCs w:val="24"/>
              </w:rPr>
              <w:t xml:space="preserve">los resultados de </w:t>
            </w:r>
            <w:r w:rsidRPr="00B005ED">
              <w:rPr>
                <w:szCs w:val="24"/>
              </w:rPr>
              <w:t>la aplicación de las medidas de eficiencia que figuran en el Anexo 2 a la Decisión 5 (Rev. </w:t>
            </w:r>
            <w:r w:rsidR="00B50C1F" w:rsidRPr="00B005ED">
              <w:rPr>
                <w:szCs w:val="24"/>
              </w:rPr>
              <w:t>Dubái</w:t>
            </w:r>
            <w:r w:rsidRPr="00B005ED">
              <w:rPr>
                <w:szCs w:val="24"/>
              </w:rPr>
              <w:t>, 201</w:t>
            </w:r>
            <w:r w:rsidR="00B50C1F" w:rsidRPr="00B005ED">
              <w:rPr>
                <w:szCs w:val="24"/>
              </w:rPr>
              <w:t xml:space="preserve">8) </w:t>
            </w:r>
            <w:r w:rsidR="00B50C1F" w:rsidRPr="00B005ED">
              <w:rPr>
                <w:bCs/>
                <w:szCs w:val="24"/>
              </w:rPr>
              <w:t xml:space="preserve">para el </w:t>
            </w:r>
            <w:r w:rsidR="00B005ED">
              <w:rPr>
                <w:bCs/>
                <w:szCs w:val="24"/>
              </w:rPr>
              <w:t>periodo</w:t>
            </w:r>
            <w:r w:rsidR="00B50C1F" w:rsidRPr="00B005ED">
              <w:rPr>
                <w:bCs/>
                <w:szCs w:val="24"/>
              </w:rPr>
              <w:t xml:space="preserve"> 2020-2023</w:t>
            </w:r>
            <w:r w:rsidRPr="00B005ED">
              <w:rPr>
                <w:szCs w:val="24"/>
              </w:rPr>
              <w:t>.</w:t>
            </w:r>
            <w:bookmarkStart w:id="7" w:name="lt_pId014"/>
          </w:p>
          <w:bookmarkEnd w:id="7"/>
          <w:p w14:paraId="28C94F50" w14:textId="615BE83B" w:rsidR="00CA4655" w:rsidRPr="00B005ED" w:rsidRDefault="00B50C1F" w:rsidP="001F1670">
            <w:pPr>
              <w:pStyle w:val="Headingb"/>
              <w:rPr>
                <w:b w:val="0"/>
              </w:rPr>
            </w:pPr>
            <w:r w:rsidRPr="00B005ED">
              <w:t>Acción solicitada</w:t>
            </w:r>
          </w:p>
          <w:p w14:paraId="4DF47F7C" w14:textId="3A475409" w:rsidR="00CA4655" w:rsidRPr="00B005ED" w:rsidRDefault="00B50C1F" w:rsidP="001F1670">
            <w:bookmarkStart w:id="8" w:name="lt_pId015"/>
            <w:r w:rsidRPr="00B005ED">
              <w:t xml:space="preserve">Se invita a la PP-22 a </w:t>
            </w:r>
            <w:r w:rsidRPr="00B005ED">
              <w:rPr>
                <w:b/>
              </w:rPr>
              <w:t>examinar</w:t>
            </w:r>
            <w:r w:rsidRPr="00B005ED">
              <w:t xml:space="preserve"> el presente documento.</w:t>
            </w:r>
            <w:bookmarkEnd w:id="8"/>
          </w:p>
          <w:p w14:paraId="37CBA691" w14:textId="77777777" w:rsidR="00CA4655" w:rsidRPr="00B005ED" w:rsidRDefault="00CA4655" w:rsidP="00B50C1F">
            <w:pPr>
              <w:pStyle w:val="Table"/>
              <w:keepNext w:val="0"/>
              <w:snapToGrid w:val="0"/>
              <w:spacing w:before="120"/>
              <w:rPr>
                <w:rFonts w:ascii="Calibri" w:hAnsi="Calibri"/>
                <w:caps w:val="0"/>
                <w:sz w:val="22"/>
                <w:lang w:val="es-ES_tradnl"/>
              </w:rPr>
            </w:pPr>
            <w:r w:rsidRPr="00B005ED">
              <w:rPr>
                <w:rFonts w:ascii="Calibri" w:hAnsi="Calibri"/>
                <w:caps w:val="0"/>
                <w:sz w:val="22"/>
                <w:lang w:val="es-ES_tradnl"/>
              </w:rPr>
              <w:t>____________</w:t>
            </w:r>
          </w:p>
          <w:p w14:paraId="1AC1DF72" w14:textId="4C816EBE" w:rsidR="00CA4655" w:rsidRPr="00B005ED" w:rsidRDefault="00CA4655" w:rsidP="001F1670">
            <w:pPr>
              <w:pStyle w:val="Headingb"/>
            </w:pPr>
            <w:bookmarkStart w:id="9" w:name="lt_pId017"/>
            <w:bookmarkStart w:id="10" w:name="_Toc305764052"/>
            <w:r w:rsidRPr="00B005ED">
              <w:t>Referenc</w:t>
            </w:r>
            <w:r w:rsidR="00B50C1F" w:rsidRPr="00B005ED">
              <w:t>ia</w:t>
            </w:r>
            <w:r w:rsidRPr="00B005ED">
              <w:t>s</w:t>
            </w:r>
            <w:bookmarkEnd w:id="9"/>
            <w:bookmarkEnd w:id="10"/>
          </w:p>
          <w:p w14:paraId="1AA5D8EE" w14:textId="4AF040F9" w:rsidR="00CA4655" w:rsidRPr="00B005ED" w:rsidRDefault="00000000" w:rsidP="00B50C1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napToGrid w:val="0"/>
              <w:spacing w:before="0" w:after="120"/>
              <w:rPr>
                <w:rStyle w:val="Hyperlink"/>
                <w:i/>
                <w:iCs/>
              </w:rPr>
            </w:pPr>
            <w:hyperlink r:id="rId8" w:history="1">
              <w:bookmarkStart w:id="11" w:name="lt_pId018"/>
              <w:r w:rsidR="00B50C1F" w:rsidRPr="00B005ED">
                <w:rPr>
                  <w:rStyle w:val="Hyperlink"/>
                  <w:i/>
                  <w:iCs/>
                </w:rPr>
                <w:t>Decisión</w:t>
              </w:r>
              <w:r w:rsidR="00CA4655" w:rsidRPr="00B005ED">
                <w:rPr>
                  <w:rStyle w:val="Hyperlink"/>
                  <w:i/>
                  <w:iCs/>
                </w:rPr>
                <w:t xml:space="preserve"> 5 (Rev. </w:t>
              </w:r>
              <w:r w:rsidR="00B50C1F" w:rsidRPr="00B005ED">
                <w:rPr>
                  <w:rStyle w:val="Hyperlink"/>
                  <w:i/>
                  <w:iCs/>
                </w:rPr>
                <w:t>Dubái</w:t>
              </w:r>
              <w:r w:rsidR="00CA4655" w:rsidRPr="00B005ED">
                <w:rPr>
                  <w:rStyle w:val="Hyperlink"/>
                  <w:i/>
                  <w:iCs/>
                </w:rPr>
                <w:t>, 2018)</w:t>
              </w:r>
              <w:bookmarkEnd w:id="11"/>
            </w:hyperlink>
          </w:p>
          <w:bookmarkStart w:id="12" w:name="lt_pId019"/>
          <w:p w14:paraId="677FE4FF" w14:textId="6896179F" w:rsidR="00CA4655" w:rsidRPr="00B005ED" w:rsidRDefault="00283033" w:rsidP="00B50C1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napToGrid w:val="0"/>
              <w:spacing w:before="0" w:after="120"/>
              <w:rPr>
                <w:i/>
                <w:iCs/>
                <w:color w:val="0000FF"/>
                <w:u w:val="single"/>
              </w:rPr>
            </w:pPr>
            <w:r w:rsidRPr="00B005ED">
              <w:rPr>
                <w:i/>
                <w:iCs/>
              </w:rPr>
              <w:fldChar w:fldCharType="begin"/>
            </w:r>
            <w:r w:rsidRPr="00B005ED">
              <w:rPr>
                <w:i/>
                <w:iCs/>
              </w:rPr>
              <w:instrText xml:space="preserve"> HYPERLINK "https://www.itu.int/md/S21-CL-C-0009/es" </w:instrText>
            </w:r>
            <w:r w:rsidRPr="00B005ED">
              <w:rPr>
                <w:i/>
                <w:iCs/>
              </w:rPr>
              <w:fldChar w:fldCharType="separate"/>
            </w:r>
            <w:r w:rsidR="00B50C1F" w:rsidRPr="00B005ED">
              <w:rPr>
                <w:rStyle w:val="Hyperlink"/>
                <w:i/>
                <w:iCs/>
              </w:rPr>
              <w:t>D</w:t>
            </w:r>
            <w:r w:rsidR="00CA4655" w:rsidRPr="00B005ED">
              <w:rPr>
                <w:rStyle w:val="Hyperlink"/>
                <w:i/>
                <w:iCs/>
              </w:rPr>
              <w:t>ocument</w:t>
            </w:r>
            <w:r w:rsidR="00B50C1F" w:rsidRPr="00B005ED">
              <w:rPr>
                <w:rStyle w:val="Hyperlink"/>
                <w:i/>
                <w:iCs/>
              </w:rPr>
              <w:t>o</w:t>
            </w:r>
            <w:r w:rsidR="00CA4655" w:rsidRPr="00B005ED">
              <w:rPr>
                <w:rStyle w:val="Hyperlink"/>
                <w:i/>
                <w:iCs/>
              </w:rPr>
              <w:t xml:space="preserve"> C21/9</w:t>
            </w:r>
            <w:bookmarkEnd w:id="12"/>
            <w:r w:rsidR="00B50C1F" w:rsidRPr="00B005ED">
              <w:rPr>
                <w:rStyle w:val="Hyperlink"/>
                <w:i/>
                <w:iCs/>
              </w:rPr>
              <w:t xml:space="preserve"> del Consejo</w:t>
            </w:r>
            <w:r w:rsidRPr="00B005ED">
              <w:rPr>
                <w:i/>
                <w:iCs/>
              </w:rPr>
              <w:fldChar w:fldCharType="end"/>
            </w:r>
          </w:p>
          <w:bookmarkStart w:id="13" w:name="lt_pId020"/>
          <w:p w14:paraId="12D2F7DF" w14:textId="487BB967" w:rsidR="00CA4655" w:rsidRPr="00B005ED" w:rsidRDefault="00283033" w:rsidP="00283033">
            <w:r w:rsidRPr="00B005ED">
              <w:rPr>
                <w:i/>
                <w:iCs/>
              </w:rPr>
              <w:fldChar w:fldCharType="begin"/>
            </w:r>
            <w:r w:rsidRPr="00B005ED">
              <w:rPr>
                <w:i/>
                <w:iCs/>
              </w:rPr>
              <w:instrText xml:space="preserve"> HYPERLINK "https://www.itu.int/md/S22-CL-C-0009/es" </w:instrText>
            </w:r>
            <w:r w:rsidRPr="00B005ED">
              <w:rPr>
                <w:i/>
                <w:iCs/>
              </w:rPr>
              <w:fldChar w:fldCharType="separate"/>
            </w:r>
            <w:r w:rsidR="00B50C1F" w:rsidRPr="00B005ED">
              <w:rPr>
                <w:rStyle w:val="Hyperlink"/>
                <w:i/>
                <w:iCs/>
              </w:rPr>
              <w:t>D</w:t>
            </w:r>
            <w:r w:rsidR="00CA4655" w:rsidRPr="00B005ED">
              <w:rPr>
                <w:rStyle w:val="Hyperlink"/>
                <w:i/>
                <w:iCs/>
              </w:rPr>
              <w:t>ocument</w:t>
            </w:r>
            <w:r w:rsidR="00B50C1F" w:rsidRPr="00B005ED">
              <w:rPr>
                <w:rStyle w:val="Hyperlink"/>
                <w:i/>
                <w:iCs/>
              </w:rPr>
              <w:t>o</w:t>
            </w:r>
            <w:r w:rsidR="00CA4655" w:rsidRPr="00B005ED">
              <w:rPr>
                <w:rStyle w:val="Hyperlink"/>
                <w:i/>
                <w:iCs/>
              </w:rPr>
              <w:t xml:space="preserve"> C22/9</w:t>
            </w:r>
            <w:bookmarkEnd w:id="13"/>
            <w:r w:rsidR="00B50C1F" w:rsidRPr="00B005ED">
              <w:rPr>
                <w:rStyle w:val="Hyperlink"/>
                <w:i/>
                <w:iCs/>
              </w:rPr>
              <w:t xml:space="preserve"> del Consejo</w:t>
            </w:r>
            <w:r w:rsidRPr="00B005ED">
              <w:rPr>
                <w:i/>
                <w:iCs/>
              </w:rPr>
              <w:fldChar w:fldCharType="end"/>
            </w:r>
          </w:p>
        </w:tc>
      </w:tr>
    </w:tbl>
    <w:p w14:paraId="24E93204" w14:textId="0D8A505F" w:rsidR="00CA4655" w:rsidRPr="00B005ED" w:rsidRDefault="00255FA1" w:rsidP="00283033">
      <w:pPr>
        <w:pStyle w:val="Heading1"/>
      </w:pPr>
      <w:r w:rsidRPr="00B005ED">
        <w:rPr>
          <w:rStyle w:val="PageNumber"/>
        </w:rPr>
        <w:br w:type="page"/>
      </w:r>
      <w:bookmarkStart w:id="14" w:name="lt_pId021"/>
      <w:r w:rsidR="00CA4655" w:rsidRPr="00B005ED">
        <w:lastRenderedPageBreak/>
        <w:t>A</w:t>
      </w:r>
      <w:bookmarkEnd w:id="14"/>
      <w:r w:rsidR="00CA4655" w:rsidRPr="00B005ED">
        <w:tab/>
        <w:t>Introducción</w:t>
      </w:r>
    </w:p>
    <w:p w14:paraId="21308505" w14:textId="0EC55312" w:rsidR="00CA4655" w:rsidRPr="00B005ED" w:rsidRDefault="00454B10" w:rsidP="00504077">
      <w:r w:rsidRPr="00B005ED">
        <w:t xml:space="preserve">El presente documento tiene por objeto facilitar información actualizada </w:t>
      </w:r>
      <w:r w:rsidR="00B50C1F" w:rsidRPr="00B005ED">
        <w:t>sobre</w:t>
      </w:r>
      <w:r w:rsidRPr="00B005ED">
        <w:t xml:space="preserve"> la aplicación de las medidas </w:t>
      </w:r>
      <w:r w:rsidR="007045B2" w:rsidRPr="00B005ED">
        <w:t>de eficiencia</w:t>
      </w:r>
      <w:r w:rsidRPr="00B005ED">
        <w:t xml:space="preserve"> que figuran en el Anexo 2 a la Decisión 5 (Rev. </w:t>
      </w:r>
      <w:r w:rsidR="00B50C1F" w:rsidRPr="00B005ED">
        <w:t>Dubái</w:t>
      </w:r>
      <w:r w:rsidRPr="00B005ED">
        <w:t>, 201</w:t>
      </w:r>
      <w:r w:rsidR="00B50C1F" w:rsidRPr="00B005ED">
        <w:t>8</w:t>
      </w:r>
      <w:r w:rsidRPr="00B005ED">
        <w:t>).</w:t>
      </w:r>
    </w:p>
    <w:p w14:paraId="744CD02E" w14:textId="762A4740" w:rsidR="008A5CED" w:rsidRPr="00B005ED" w:rsidRDefault="008A5CED" w:rsidP="00504077">
      <w:r w:rsidRPr="00B005ED">
        <w:t>Por último</w:t>
      </w:r>
      <w:r w:rsidR="00530A16" w:rsidRPr="00B005ED">
        <w:t xml:space="preserve"> y, sin embargo,</w:t>
      </w:r>
      <w:r w:rsidRPr="00B005ED">
        <w:t xml:space="preserve"> más importante, también se requiere una evaluación general de la adecuación de la utilización y la asignación de los recursos para garantizar una utilización optimizada y adecuada de las limitadas fuentes de financiación de la Unión.</w:t>
      </w:r>
    </w:p>
    <w:p w14:paraId="1D6DF9D4" w14:textId="6AC0E3CE" w:rsidR="00CA4655" w:rsidRPr="00B005ED" w:rsidRDefault="00454B10" w:rsidP="00504077">
      <w:r w:rsidRPr="00B005ED">
        <w:t>Las medidas que debían aplicarse en los bienios 2014-2015, 2016-2017</w:t>
      </w:r>
      <w:r w:rsidR="007045B2" w:rsidRPr="00B005ED">
        <w:t>,</w:t>
      </w:r>
      <w:r w:rsidRPr="00B005ED">
        <w:t xml:space="preserve"> 2018-2019 </w:t>
      </w:r>
      <w:r w:rsidR="007045B2" w:rsidRPr="00B005ED">
        <w:t xml:space="preserve">y 2020-2021 </w:t>
      </w:r>
      <w:r w:rsidRPr="00B005ED">
        <w:t>se presentaron al Consejo en los Do</w:t>
      </w:r>
      <w:r w:rsidR="007045B2" w:rsidRPr="00B005ED">
        <w:t xml:space="preserve">cumentos C15/45, C16/45, C17/45, </w:t>
      </w:r>
      <w:r w:rsidRPr="00B005ED">
        <w:t>C18/45</w:t>
      </w:r>
      <w:r w:rsidR="007045B2" w:rsidRPr="00B005ED">
        <w:t xml:space="preserve"> y C19/45.</w:t>
      </w:r>
    </w:p>
    <w:p w14:paraId="44504096" w14:textId="28631871" w:rsidR="007045B2" w:rsidRPr="00B005ED" w:rsidRDefault="007045B2" w:rsidP="00504077">
      <w:bookmarkStart w:id="15" w:name="lt_pId029"/>
      <w:r w:rsidRPr="00B005ED">
        <w:t xml:space="preserve">La UIT ha aprendido mucho durante el periodo de la pandemia de </w:t>
      </w:r>
      <w:r w:rsidR="00530A16" w:rsidRPr="00B005ED">
        <w:t xml:space="preserve">la </w:t>
      </w:r>
      <w:r w:rsidRPr="00B005ED">
        <w:t>COVID-19</w:t>
      </w:r>
      <w:r w:rsidR="00530A16" w:rsidRPr="00B005ED">
        <w:t>,</w:t>
      </w:r>
      <w:r w:rsidR="00BE05FC" w:rsidRPr="00B005ED">
        <w:t xml:space="preserve"> </w:t>
      </w:r>
      <w:r w:rsidRPr="00B005ED">
        <w:t>lo que debería contribuir a la aplicación ulterior de las medidas de eficiencia del Anexo 2 de la Decisión 5</w:t>
      </w:r>
      <w:r w:rsidR="00CA4655" w:rsidRPr="00B005ED">
        <w:t>.</w:t>
      </w:r>
      <w:bookmarkEnd w:id="15"/>
      <w:r w:rsidR="00CA4655" w:rsidRPr="00B005ED">
        <w:t xml:space="preserve"> </w:t>
      </w:r>
      <w:bookmarkStart w:id="16" w:name="lt_pId031"/>
      <w:r w:rsidRPr="00B005ED">
        <w:t xml:space="preserve">Por ejemplo, aunque las reuniones virtuales e híbridas permiten a los Miembros reducir costes en viajes y alojamiento, han incrementado los costes de soporte de la Secretaría (por ejemplo, </w:t>
      </w:r>
      <w:r w:rsidR="00530A16" w:rsidRPr="00B005ED">
        <w:t xml:space="preserve">la </w:t>
      </w:r>
      <w:r w:rsidRPr="00B005ED">
        <w:t xml:space="preserve">contratación de moderadores, </w:t>
      </w:r>
      <w:r w:rsidR="00530A16" w:rsidRPr="00B005ED">
        <w:t xml:space="preserve">la </w:t>
      </w:r>
      <w:r w:rsidRPr="00B005ED">
        <w:t xml:space="preserve">seguridad, </w:t>
      </w:r>
      <w:r w:rsidR="00530A16" w:rsidRPr="00B005ED">
        <w:t xml:space="preserve">el </w:t>
      </w:r>
      <w:r w:rsidRPr="00B005ED">
        <w:t xml:space="preserve">control de acceso y </w:t>
      </w:r>
      <w:r w:rsidR="00530A16" w:rsidRPr="00B005ED">
        <w:t xml:space="preserve">los </w:t>
      </w:r>
      <w:r w:rsidRPr="00B005ED">
        <w:t xml:space="preserve">equipos especiales necesarios para </w:t>
      </w:r>
      <w:r w:rsidR="00530A16" w:rsidRPr="00B005ED">
        <w:t>completar</w:t>
      </w:r>
      <w:r w:rsidRPr="00B005ED">
        <w:t xml:space="preserve"> las salas de reuniones).</w:t>
      </w:r>
    </w:p>
    <w:p w14:paraId="2A66C85D" w14:textId="39DCDB94" w:rsidR="00CA4655" w:rsidRPr="00B005ED" w:rsidRDefault="007045B2" w:rsidP="00504077">
      <w:r w:rsidRPr="00B005ED">
        <w:t xml:space="preserve">En la </w:t>
      </w:r>
      <w:r w:rsidRPr="00B005ED">
        <w:rPr>
          <w:b/>
          <w:bCs/>
        </w:rPr>
        <w:t>Sección C</w:t>
      </w:r>
      <w:r w:rsidRPr="00B005ED">
        <w:t xml:space="preserve"> se recogen algunas medidas adicionales que la Secretaría está estudiando tras una evaluación de los ahorros posibles</w:t>
      </w:r>
      <w:r w:rsidR="00CA4655" w:rsidRPr="00B005ED">
        <w:t>.</w:t>
      </w:r>
      <w:bookmarkEnd w:id="16"/>
    </w:p>
    <w:p w14:paraId="49A47826" w14:textId="23545AC0" w:rsidR="007045B2" w:rsidRPr="00B005ED" w:rsidRDefault="007045B2" w:rsidP="00504077">
      <w:bookmarkStart w:id="17" w:name="lt_pId032"/>
      <w:r w:rsidRPr="00B005ED">
        <w:t>Será necesario realizar una evaluación detallada para identificar futuras medidas de eficiencia que reduzcan los costes generales y aumenten la disponibilidad de recursos destinados a cumplir la misión de la UIT, así como el soporte a sus Miembros</w:t>
      </w:r>
      <w:r w:rsidR="00504077" w:rsidRPr="00B005ED">
        <w:t>.</w:t>
      </w:r>
    </w:p>
    <w:p w14:paraId="522AB7A2" w14:textId="4EFC4860" w:rsidR="00CA4655" w:rsidRPr="00B005ED" w:rsidRDefault="00CA4655" w:rsidP="00283033">
      <w:pPr>
        <w:pStyle w:val="Heading1"/>
        <w:rPr>
          <w:rFonts w:eastAsia="SimSun"/>
          <w:lang w:eastAsia="ja-JP"/>
        </w:rPr>
      </w:pPr>
      <w:bookmarkStart w:id="18" w:name="lt_pId033"/>
      <w:bookmarkEnd w:id="17"/>
      <w:r w:rsidRPr="00B005ED">
        <w:t>B</w:t>
      </w:r>
      <w:bookmarkEnd w:id="18"/>
      <w:r w:rsidRPr="00B005ED">
        <w:tab/>
      </w:r>
      <w:bookmarkStart w:id="19" w:name="lt_pId034"/>
      <w:r w:rsidR="00C46F85" w:rsidRPr="00B005ED">
        <w:t>Aplicación de las 27 medidas destinadas a mejorar la eficiencia de la UIT y reducir sus gastos</w:t>
      </w:r>
      <w:bookmarkEnd w:id="19"/>
    </w:p>
    <w:p w14:paraId="4BD39C84" w14:textId="49E74701" w:rsidR="00CA4655" w:rsidRPr="00B005ED" w:rsidRDefault="00C46F85" w:rsidP="00283033">
      <w:pPr>
        <w:rPr>
          <w:rFonts w:eastAsia="SimSun"/>
          <w:lang w:eastAsia="ja-JP"/>
        </w:rPr>
      </w:pPr>
      <w:bookmarkStart w:id="20" w:name="lt_pId036"/>
      <w:r w:rsidRPr="00B005ED">
        <w:rPr>
          <w:rFonts w:eastAsia="SimSun"/>
          <w:lang w:eastAsia="ja-JP"/>
        </w:rPr>
        <w:t>El siguiente cuadro muestra los resultados de la aplicación de cada una de las medidas de eficiencia para el periodo 2020-2023, incluyendo comentarios cuando se consideran necesarios. Se añadió una medida número 28 para reflejar los ahorros relacionados con la COVID19 durante el periodo 2020-2021</w:t>
      </w:r>
      <w:r w:rsidR="00CA4655" w:rsidRPr="00B005ED">
        <w:rPr>
          <w:rFonts w:eastAsia="SimSun"/>
          <w:lang w:eastAsia="ja-JP"/>
        </w:rPr>
        <w:t>.</w:t>
      </w:r>
      <w:bookmarkEnd w:id="20"/>
    </w:p>
    <w:p w14:paraId="1028458E" w14:textId="77777777" w:rsidR="00CA4655" w:rsidRPr="00B005ED" w:rsidRDefault="00CA4655" w:rsidP="00CA4655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rFonts w:asciiTheme="minorHAnsi" w:eastAsia="SimSun" w:hAnsiTheme="minorHAnsi"/>
          <w:szCs w:val="24"/>
          <w:lang w:eastAsia="ja-JP"/>
        </w:rPr>
      </w:pPr>
      <w:r w:rsidRPr="00B005ED">
        <w:rPr>
          <w:rFonts w:asciiTheme="minorHAnsi" w:eastAsia="SimSun" w:hAnsiTheme="minorHAnsi"/>
          <w:szCs w:val="24"/>
          <w:lang w:eastAsia="ja-JP"/>
        </w:rPr>
        <w:br w:type="page"/>
      </w:r>
    </w:p>
    <w:p w14:paraId="76BB1694" w14:textId="63603710" w:rsidR="00495FFD" w:rsidRPr="00B005ED" w:rsidRDefault="008739C4" w:rsidP="00BE05F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center"/>
        <w:textAlignment w:val="auto"/>
        <w:rPr>
          <w:rFonts w:asciiTheme="minorHAnsi" w:eastAsia="SimSun" w:hAnsiTheme="minorHAnsi"/>
          <w:szCs w:val="24"/>
          <w:lang w:eastAsia="ja-JP"/>
        </w:rPr>
      </w:pPr>
      <w:r w:rsidRPr="008739C4">
        <w:rPr>
          <w:rFonts w:eastAsia="SimSun"/>
          <w:noProof/>
        </w:rPr>
        <w:lastRenderedPageBreak/>
        <w:drawing>
          <wp:inline distT="0" distB="0" distL="0" distR="0" wp14:anchorId="68501D63" wp14:editId="45EAFFB2">
            <wp:extent cx="6124575" cy="8583295"/>
            <wp:effectExtent l="0" t="0" r="9525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858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D29D2" w14:textId="35EF7548" w:rsidR="00BE05FC" w:rsidRPr="00B005ED" w:rsidRDefault="008739C4" w:rsidP="00BE05F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center"/>
        <w:textAlignment w:val="auto"/>
        <w:rPr>
          <w:rFonts w:asciiTheme="minorHAnsi" w:eastAsia="SimSun" w:hAnsiTheme="minorHAnsi"/>
          <w:szCs w:val="24"/>
          <w:lang w:eastAsia="ja-JP"/>
        </w:rPr>
      </w:pPr>
      <w:r w:rsidRPr="008739C4">
        <w:rPr>
          <w:rFonts w:eastAsia="SimSun"/>
          <w:noProof/>
        </w:rPr>
        <w:lastRenderedPageBreak/>
        <w:drawing>
          <wp:inline distT="0" distB="0" distL="0" distR="0" wp14:anchorId="26C9DB49" wp14:editId="54F77FD2">
            <wp:extent cx="6124575" cy="5596890"/>
            <wp:effectExtent l="0" t="0" r="9525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559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7ABA5" w14:textId="4056C05A" w:rsidR="00BE05FC" w:rsidRPr="00B005ED" w:rsidRDefault="00BE05FC" w:rsidP="00BE05F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jc w:val="center"/>
        <w:textAlignment w:val="auto"/>
        <w:rPr>
          <w:rFonts w:asciiTheme="minorHAnsi" w:eastAsia="SimSun" w:hAnsiTheme="minorHAnsi"/>
          <w:szCs w:val="24"/>
          <w:lang w:eastAsia="ja-JP"/>
        </w:rPr>
      </w:pPr>
      <w:r w:rsidRPr="00B005ED">
        <w:rPr>
          <w:rFonts w:asciiTheme="minorHAnsi" w:eastAsia="SimSun" w:hAnsiTheme="minorHAnsi"/>
          <w:szCs w:val="24"/>
          <w:lang w:eastAsia="ja-JP"/>
        </w:rPr>
        <w:br w:type="page"/>
      </w:r>
    </w:p>
    <w:p w14:paraId="661C0049" w14:textId="10A99AF3" w:rsidR="00CA4655" w:rsidRPr="00B005ED" w:rsidRDefault="00CA4655" w:rsidP="00283033">
      <w:pPr>
        <w:pStyle w:val="Heading1"/>
        <w:rPr>
          <w:color w:val="000000"/>
        </w:rPr>
      </w:pPr>
      <w:bookmarkStart w:id="21" w:name="lt_pId037"/>
      <w:r w:rsidRPr="00B005ED">
        <w:rPr>
          <w:rFonts w:eastAsia="SimSun"/>
          <w:lang w:eastAsia="ja-JP"/>
        </w:rPr>
        <w:lastRenderedPageBreak/>
        <w:t>C</w:t>
      </w:r>
      <w:bookmarkEnd w:id="21"/>
      <w:r w:rsidRPr="00B005ED">
        <w:rPr>
          <w:lang w:eastAsia="zh-CN"/>
        </w:rPr>
        <w:tab/>
      </w:r>
      <w:r w:rsidR="00C46F85" w:rsidRPr="00B005ED">
        <w:rPr>
          <w:lang w:eastAsia="zh-CN"/>
        </w:rPr>
        <w:t>Otras medidas consideradas por la dirección de la UIT</w:t>
      </w:r>
    </w:p>
    <w:p w14:paraId="5B43E256" w14:textId="60126A97" w:rsidR="00CA4655" w:rsidRPr="00B005ED" w:rsidRDefault="00283033" w:rsidP="00504077">
      <w:pPr>
        <w:pStyle w:val="enumlev1"/>
      </w:pPr>
      <w:r w:rsidRPr="00B005ED">
        <w:t>•</w:t>
      </w:r>
      <w:r w:rsidRPr="00B005ED">
        <w:tab/>
      </w:r>
      <w:r w:rsidR="00C46F85" w:rsidRPr="00B005ED">
        <w:t xml:space="preserve">Siempre que sea posible, y a menos que se incurra en gastos de cancelación, facilitar la interpretación sólo cuando se solicite para </w:t>
      </w:r>
      <w:r w:rsidR="00530A16" w:rsidRPr="00B005ED">
        <w:t xml:space="preserve">los </w:t>
      </w:r>
      <w:r w:rsidR="00C46F85" w:rsidRPr="00B005ED">
        <w:t>eventos como reuniones de las Comisiones de Estudio, talleres, seminarios, reuniones de los Grupos Asesores, etc.</w:t>
      </w:r>
    </w:p>
    <w:p w14:paraId="564ED3B5" w14:textId="3D27F106" w:rsidR="00CA4655" w:rsidRPr="00B005ED" w:rsidRDefault="00283033" w:rsidP="00504077">
      <w:pPr>
        <w:pStyle w:val="enumlev1"/>
      </w:pPr>
      <w:r w:rsidRPr="00B005ED">
        <w:t>•</w:t>
      </w:r>
      <w:r w:rsidRPr="00B005ED">
        <w:tab/>
      </w:r>
      <w:r w:rsidR="00C46F85" w:rsidRPr="00B005ED">
        <w:t>Reducción de las misiones que no afecten a nuestra entrega de productos y servicios esenciales a los Miembros</w:t>
      </w:r>
      <w:r w:rsidR="00504077" w:rsidRPr="00B005ED">
        <w:t>.</w:t>
      </w:r>
    </w:p>
    <w:p w14:paraId="291CB81F" w14:textId="69500049" w:rsidR="00CA4655" w:rsidRPr="00B005ED" w:rsidRDefault="00283033" w:rsidP="00504077">
      <w:pPr>
        <w:pStyle w:val="enumlev1"/>
      </w:pPr>
      <w:r w:rsidRPr="00B005ED">
        <w:t>•</w:t>
      </w:r>
      <w:r w:rsidRPr="00B005ED">
        <w:tab/>
      </w:r>
      <w:r w:rsidR="00DD0F32" w:rsidRPr="00B005ED">
        <w:t xml:space="preserve">Limitar los nuevos servicios contratados y </w:t>
      </w:r>
      <w:r w:rsidR="00530A16" w:rsidRPr="00B005ED">
        <w:t>con</w:t>
      </w:r>
      <w:r w:rsidR="00DD0F32" w:rsidRPr="00B005ED">
        <w:t xml:space="preserve"> contratos de servicios especiales (SSA) en el marco del presupuesto ordinario</w:t>
      </w:r>
      <w:r w:rsidR="00504077" w:rsidRPr="00B005ED">
        <w:t>.</w:t>
      </w:r>
    </w:p>
    <w:p w14:paraId="4DD05048" w14:textId="6F6CF241" w:rsidR="00CA4655" w:rsidRPr="00B005ED" w:rsidRDefault="00283033" w:rsidP="00504077">
      <w:pPr>
        <w:pStyle w:val="enumlev1"/>
      </w:pPr>
      <w:bookmarkStart w:id="22" w:name="lt_pId042"/>
      <w:r w:rsidRPr="00B005ED">
        <w:t>•</w:t>
      </w:r>
      <w:r w:rsidRPr="00B005ED">
        <w:tab/>
      </w:r>
      <w:r w:rsidR="00DD0F32" w:rsidRPr="00B005ED">
        <w:t>Reducir el coste de los viajes revisando la política "Condiciones de los viajes oficiales" para aumentar la utilización de la clase económica</w:t>
      </w:r>
      <w:r w:rsidR="00CA4655" w:rsidRPr="00B005ED">
        <w:t>.</w:t>
      </w:r>
      <w:bookmarkEnd w:id="22"/>
    </w:p>
    <w:p w14:paraId="2E38B516" w14:textId="780B6C8B" w:rsidR="00DD0F32" w:rsidRPr="00B005ED" w:rsidRDefault="00283033" w:rsidP="00504077">
      <w:pPr>
        <w:pStyle w:val="enumlev1"/>
      </w:pPr>
      <w:bookmarkStart w:id="23" w:name="lt_pId043"/>
      <w:r w:rsidRPr="00B005ED">
        <w:t>•</w:t>
      </w:r>
      <w:r w:rsidRPr="00B005ED">
        <w:tab/>
      </w:r>
      <w:r w:rsidR="00DD0F32" w:rsidRPr="00B005ED">
        <w:t>Pedir a los auditores externos que evalúen la utilización de recursos para actividades y funciones no esenciales, incluidos, entre otros, los desarrollos informáticos y el desarrollo interno de software</w:t>
      </w:r>
      <w:r w:rsidR="00504077" w:rsidRPr="00B005ED">
        <w:t>.</w:t>
      </w:r>
    </w:p>
    <w:p w14:paraId="0A157E3E" w14:textId="24470462" w:rsidR="00CA4655" w:rsidRPr="00B005ED" w:rsidRDefault="00283033" w:rsidP="00504077">
      <w:pPr>
        <w:pStyle w:val="enumlev1"/>
      </w:pPr>
      <w:bookmarkStart w:id="24" w:name="lt_pId044"/>
      <w:bookmarkEnd w:id="23"/>
      <w:r w:rsidRPr="00B005ED">
        <w:t>•</w:t>
      </w:r>
      <w:r w:rsidRPr="00B005ED">
        <w:tab/>
      </w:r>
      <w:r w:rsidR="00DD0F32" w:rsidRPr="00B005ED">
        <w:t>Implementación de la transformación digital de las actividades y los procedimientos</w:t>
      </w:r>
      <w:r w:rsidR="00CA4655" w:rsidRPr="00B005ED">
        <w:t>.</w:t>
      </w:r>
      <w:bookmarkEnd w:id="24"/>
    </w:p>
    <w:p w14:paraId="7598BCA7" w14:textId="01375F14" w:rsidR="00CA4655" w:rsidRPr="00B005ED" w:rsidRDefault="00283033" w:rsidP="00504077">
      <w:pPr>
        <w:pStyle w:val="enumlev1"/>
      </w:pPr>
      <w:r w:rsidRPr="00B005ED">
        <w:t>•</w:t>
      </w:r>
      <w:r w:rsidRPr="00B005ED">
        <w:tab/>
      </w:r>
      <w:r w:rsidR="00DD0F32" w:rsidRPr="00B005ED">
        <w:t>Suprimir el coche y el conductor en las Oficinas Regionales</w:t>
      </w:r>
      <w:r w:rsidR="00504077" w:rsidRPr="00B005ED">
        <w:t>.</w:t>
      </w:r>
    </w:p>
    <w:p w14:paraId="7F8A5258" w14:textId="4616828D" w:rsidR="00CA4655" w:rsidRPr="00B005ED" w:rsidRDefault="00283033" w:rsidP="00504077">
      <w:pPr>
        <w:pStyle w:val="enumlev1"/>
      </w:pPr>
      <w:r w:rsidRPr="00B005ED">
        <w:t>•</w:t>
      </w:r>
      <w:r w:rsidRPr="00B005ED">
        <w:tab/>
      </w:r>
      <w:r w:rsidR="00C953D6" w:rsidRPr="00B005ED">
        <w:t>Identificar las oportunidades de reducir los gastos mediante la subcontratación de aquellas actividades internas de soporte y procesamiento disponibles comercialmente con una calidad equivalente y a un coste menor.</w:t>
      </w:r>
    </w:p>
    <w:p w14:paraId="4F00FEDB" w14:textId="26A2940D" w:rsidR="00255FA1" w:rsidRPr="00B005ED" w:rsidRDefault="00283033" w:rsidP="00504077">
      <w:pPr>
        <w:pStyle w:val="enumlev1"/>
      </w:pPr>
      <w:bookmarkStart w:id="25" w:name="lt_pId047"/>
      <w:r w:rsidRPr="00B005ED">
        <w:t>•</w:t>
      </w:r>
      <w:r w:rsidRPr="00B005ED">
        <w:tab/>
      </w:r>
      <w:r w:rsidR="00C953D6" w:rsidRPr="00B005ED">
        <w:t>Al aplicar la medida de eficiencia número 4 de la Sección B, pedir a los auditores externos que realicen un estudio exhaustivo sobre la cantidad de personal y los grados de cada unidad teniendo en cuenta la importancia de las actividades del Sector para los Estados Miembros, los Miembros de Sector y los Asociados</w:t>
      </w:r>
      <w:r w:rsidR="00CA4655" w:rsidRPr="00B005ED">
        <w:t>.</w:t>
      </w:r>
      <w:bookmarkEnd w:id="25"/>
    </w:p>
    <w:p w14:paraId="79FB70A2" w14:textId="77777777" w:rsidR="00283033" w:rsidRPr="00B005ED" w:rsidRDefault="00283033" w:rsidP="00411C49">
      <w:pPr>
        <w:pStyle w:val="Reasons"/>
      </w:pPr>
    </w:p>
    <w:p w14:paraId="3E1CDEB4" w14:textId="77777777" w:rsidR="00283033" w:rsidRPr="00B005ED" w:rsidRDefault="00283033">
      <w:pPr>
        <w:jc w:val="center"/>
      </w:pPr>
      <w:r w:rsidRPr="00B005ED">
        <w:t>______________</w:t>
      </w:r>
    </w:p>
    <w:sectPr w:rsidR="00283033" w:rsidRPr="00B005ED" w:rsidSect="00A70E95">
      <w:headerReference w:type="default" r:id="rId11"/>
      <w:footerReference w:type="default" r:id="rId12"/>
      <w:footerReference w:type="first" r:id="rId13"/>
      <w:type w:val="continuous"/>
      <w:pgSz w:w="11913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7B937" w14:textId="77777777" w:rsidR="0048017E" w:rsidRDefault="0048017E">
      <w:r>
        <w:separator/>
      </w:r>
    </w:p>
  </w:endnote>
  <w:endnote w:type="continuationSeparator" w:id="0">
    <w:p w14:paraId="3222D357" w14:textId="77777777" w:rsidR="0048017E" w:rsidRDefault="00480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AE4C1" w14:textId="67F4762E" w:rsidR="00454B10" w:rsidRPr="000253D4" w:rsidRDefault="00C953D6" w:rsidP="00454B10">
    <w:pPr>
      <w:pStyle w:val="Footer"/>
      <w:rPr>
        <w:color w:val="FFFFFF" w:themeColor="background1"/>
        <w:lang w:val="en-US"/>
      </w:rPr>
    </w:pPr>
    <w:r w:rsidRPr="000253D4">
      <w:rPr>
        <w:color w:val="FFFFFF" w:themeColor="background1"/>
      </w:rPr>
      <w:fldChar w:fldCharType="begin"/>
    </w:r>
    <w:r w:rsidRPr="000253D4">
      <w:rPr>
        <w:color w:val="FFFFFF" w:themeColor="background1"/>
        <w:lang w:val="en-US"/>
      </w:rPr>
      <w:instrText xml:space="preserve"> FILENAME \p  \* MERGEFORMAT </w:instrText>
    </w:r>
    <w:r w:rsidRPr="000253D4">
      <w:rPr>
        <w:color w:val="FFFFFF" w:themeColor="background1"/>
      </w:rPr>
      <w:fldChar w:fldCharType="separate"/>
    </w:r>
    <w:r w:rsidR="003C5370" w:rsidRPr="000253D4">
      <w:rPr>
        <w:color w:val="FFFFFF" w:themeColor="background1"/>
        <w:lang w:val="en-US"/>
      </w:rPr>
      <w:t>P:\ESP\SG\CONF-SG\PP22\000\075S.docx</w:t>
    </w:r>
    <w:r w:rsidRPr="000253D4">
      <w:rPr>
        <w:color w:val="FFFFFF" w:themeColor="background1"/>
      </w:rPr>
      <w:fldChar w:fldCharType="end"/>
    </w:r>
    <w:r w:rsidR="00495FFD" w:rsidRPr="000253D4">
      <w:rPr>
        <w:color w:val="FFFFFF" w:themeColor="background1"/>
        <w:lang w:val="en-US"/>
      </w:rPr>
      <w:t xml:space="preserve"> (510959)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045F2" w14:textId="77F0E3C8" w:rsidR="004B07DB" w:rsidRPr="00283033" w:rsidRDefault="004B07DB" w:rsidP="004B07DB">
    <w:pPr>
      <w:pStyle w:val="firstfooter0"/>
      <w:spacing w:before="0" w:beforeAutospacing="0" w:after="0" w:afterAutospacing="0"/>
      <w:jc w:val="center"/>
      <w:rPr>
        <w:rFonts w:ascii="Symbol" w:hAnsi="Symbol" w:hint="eastAsia"/>
        <w:sz w:val="22"/>
        <w:szCs w:val="22"/>
        <w:lang w:val="en-GB"/>
      </w:rPr>
    </w:pPr>
    <w:r w:rsidRPr="00283033">
      <w:rPr>
        <w:rFonts w:ascii="Symbol" w:hAnsi="Symbol"/>
        <w:sz w:val="22"/>
        <w:szCs w:val="22"/>
        <w:lang w:val="en-GB"/>
      </w:rPr>
      <w:t></w:t>
    </w:r>
    <w:r w:rsidRPr="00283033">
      <w:rPr>
        <w:sz w:val="22"/>
        <w:szCs w:val="22"/>
        <w:lang w:val="en-GB"/>
      </w:rPr>
      <w:t xml:space="preserve"> </w:t>
    </w:r>
    <w:hyperlink r:id="rId1" w:history="1">
      <w:r w:rsidR="00283033" w:rsidRPr="00283033">
        <w:rPr>
          <w:rStyle w:val="Hyperlink"/>
          <w:sz w:val="22"/>
          <w:szCs w:val="22"/>
          <w:lang w:val="en-GB"/>
        </w:rPr>
        <w:t>www.itu.int/plenipotentiary/</w:t>
      </w:r>
    </w:hyperlink>
    <w:r w:rsidR="00283033" w:rsidRPr="00283033">
      <w:rPr>
        <w:sz w:val="22"/>
        <w:szCs w:val="22"/>
        <w:lang w:val="en-GB"/>
      </w:rPr>
      <w:t xml:space="preserve"> </w:t>
    </w:r>
    <w:r w:rsidRPr="00283033">
      <w:rPr>
        <w:rFonts w:ascii="Symbol" w:hAnsi="Symbol"/>
        <w:sz w:val="22"/>
        <w:szCs w:val="22"/>
        <w:lang w:val="en-GB"/>
      </w:rPr>
      <w:t>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FBCC8" w14:textId="77777777" w:rsidR="0048017E" w:rsidRDefault="0048017E">
      <w:r>
        <w:t>____________________</w:t>
      </w:r>
    </w:p>
  </w:footnote>
  <w:footnote w:type="continuationSeparator" w:id="0">
    <w:p w14:paraId="1FF42186" w14:textId="77777777" w:rsidR="0048017E" w:rsidRDefault="00480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BB9EF" w14:textId="0BAAFC68" w:rsidR="00255FA1" w:rsidRDefault="00255FA1" w:rsidP="00255FA1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244460">
      <w:rPr>
        <w:noProof/>
      </w:rPr>
      <w:t>2</w:t>
    </w:r>
    <w:r>
      <w:fldChar w:fldCharType="end"/>
    </w:r>
  </w:p>
  <w:p w14:paraId="3F88C06B" w14:textId="35CCE420" w:rsidR="00255FA1" w:rsidRDefault="00255FA1" w:rsidP="00C43474">
    <w:pPr>
      <w:pStyle w:val="Header"/>
    </w:pPr>
    <w:r>
      <w:rPr>
        <w:lang w:val="en-US"/>
      </w:rPr>
      <w:t>PP</w:t>
    </w:r>
    <w:r w:rsidR="009D1BE0">
      <w:rPr>
        <w:lang w:val="en-US"/>
      </w:rPr>
      <w:t>22</w:t>
    </w:r>
    <w:r>
      <w:t>/</w:t>
    </w:r>
    <w:r w:rsidR="00454B10">
      <w:t>75</w:t>
    </w:r>
    <w:r w:rsidR="009A443B">
      <w:t>-S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246A97"/>
    <w:multiLevelType w:val="hybridMultilevel"/>
    <w:tmpl w:val="2F507320"/>
    <w:lvl w:ilvl="0" w:tplc="28000B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8ED3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2C27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870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6849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D2DE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200E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300C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AA5E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779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8E0"/>
    <w:rsid w:val="0000188C"/>
    <w:rsid w:val="000253D4"/>
    <w:rsid w:val="000507CA"/>
    <w:rsid w:val="000863AB"/>
    <w:rsid w:val="000A1523"/>
    <w:rsid w:val="000B1752"/>
    <w:rsid w:val="0010546D"/>
    <w:rsid w:val="00135F93"/>
    <w:rsid w:val="001632E3"/>
    <w:rsid w:val="001B41D8"/>
    <w:rsid w:val="001D4983"/>
    <w:rsid w:val="001D6EC3"/>
    <w:rsid w:val="001D787B"/>
    <w:rsid w:val="001E3D06"/>
    <w:rsid w:val="001F1670"/>
    <w:rsid w:val="00225F6B"/>
    <w:rsid w:val="00237C17"/>
    <w:rsid w:val="00242376"/>
    <w:rsid w:val="00244460"/>
    <w:rsid w:val="00255FA1"/>
    <w:rsid w:val="00262FF4"/>
    <w:rsid w:val="00283033"/>
    <w:rsid w:val="002C6527"/>
    <w:rsid w:val="002E44FC"/>
    <w:rsid w:val="003707E5"/>
    <w:rsid w:val="00373D7F"/>
    <w:rsid w:val="00375610"/>
    <w:rsid w:val="00391611"/>
    <w:rsid w:val="00391B7C"/>
    <w:rsid w:val="003C5370"/>
    <w:rsid w:val="003D0027"/>
    <w:rsid w:val="003E6E73"/>
    <w:rsid w:val="00454B10"/>
    <w:rsid w:val="0048017E"/>
    <w:rsid w:val="00484B72"/>
    <w:rsid w:val="00491A25"/>
    <w:rsid w:val="00495FFD"/>
    <w:rsid w:val="004A346E"/>
    <w:rsid w:val="004A63A9"/>
    <w:rsid w:val="004B07DB"/>
    <w:rsid w:val="004B09D4"/>
    <w:rsid w:val="004B0BCB"/>
    <w:rsid w:val="004C27F5"/>
    <w:rsid w:val="004C39C6"/>
    <w:rsid w:val="004D23BA"/>
    <w:rsid w:val="004E069C"/>
    <w:rsid w:val="004E08E0"/>
    <w:rsid w:val="004E28FB"/>
    <w:rsid w:val="004F2FA5"/>
    <w:rsid w:val="004F4BB1"/>
    <w:rsid w:val="00504077"/>
    <w:rsid w:val="00504FD4"/>
    <w:rsid w:val="005062A9"/>
    <w:rsid w:val="00507662"/>
    <w:rsid w:val="00523448"/>
    <w:rsid w:val="00530A16"/>
    <w:rsid w:val="005359B6"/>
    <w:rsid w:val="005470E8"/>
    <w:rsid w:val="00550FCF"/>
    <w:rsid w:val="00556958"/>
    <w:rsid w:val="00567ED5"/>
    <w:rsid w:val="005D1164"/>
    <w:rsid w:val="005D6488"/>
    <w:rsid w:val="005F6278"/>
    <w:rsid w:val="00601280"/>
    <w:rsid w:val="00641DBD"/>
    <w:rsid w:val="006426C0"/>
    <w:rsid w:val="006455D2"/>
    <w:rsid w:val="006537F3"/>
    <w:rsid w:val="006B5512"/>
    <w:rsid w:val="006C190D"/>
    <w:rsid w:val="007045B2"/>
    <w:rsid w:val="00720686"/>
    <w:rsid w:val="00737EFF"/>
    <w:rsid w:val="00750806"/>
    <w:rsid w:val="00750D8F"/>
    <w:rsid w:val="007875D2"/>
    <w:rsid w:val="007D61E2"/>
    <w:rsid w:val="007E2446"/>
    <w:rsid w:val="007F6EBC"/>
    <w:rsid w:val="008739C4"/>
    <w:rsid w:val="00882773"/>
    <w:rsid w:val="008A5CED"/>
    <w:rsid w:val="008B4706"/>
    <w:rsid w:val="008B6676"/>
    <w:rsid w:val="008C3FA8"/>
    <w:rsid w:val="008E51C5"/>
    <w:rsid w:val="008F7109"/>
    <w:rsid w:val="009107B0"/>
    <w:rsid w:val="009220DE"/>
    <w:rsid w:val="00930E84"/>
    <w:rsid w:val="0098157A"/>
    <w:rsid w:val="00992322"/>
    <w:rsid w:val="0099270D"/>
    <w:rsid w:val="0099551E"/>
    <w:rsid w:val="009A1A86"/>
    <w:rsid w:val="009A443B"/>
    <w:rsid w:val="009D1BE0"/>
    <w:rsid w:val="009E0C42"/>
    <w:rsid w:val="00A06D8B"/>
    <w:rsid w:val="00A70E95"/>
    <w:rsid w:val="00AA1F73"/>
    <w:rsid w:val="00AB34CA"/>
    <w:rsid w:val="00AD400E"/>
    <w:rsid w:val="00AF0DC5"/>
    <w:rsid w:val="00B005ED"/>
    <w:rsid w:val="00B012B7"/>
    <w:rsid w:val="00B30C52"/>
    <w:rsid w:val="00B501AB"/>
    <w:rsid w:val="00B50C1F"/>
    <w:rsid w:val="00B73978"/>
    <w:rsid w:val="00B77C4D"/>
    <w:rsid w:val="00BB13FE"/>
    <w:rsid w:val="00BC7EE2"/>
    <w:rsid w:val="00BE05FC"/>
    <w:rsid w:val="00BF5475"/>
    <w:rsid w:val="00C20ED7"/>
    <w:rsid w:val="00C42D2D"/>
    <w:rsid w:val="00C43474"/>
    <w:rsid w:val="00C46F85"/>
    <w:rsid w:val="00C61A48"/>
    <w:rsid w:val="00C64617"/>
    <w:rsid w:val="00C80F8F"/>
    <w:rsid w:val="00C83271"/>
    <w:rsid w:val="00C84355"/>
    <w:rsid w:val="00C84A65"/>
    <w:rsid w:val="00C953D6"/>
    <w:rsid w:val="00CA3051"/>
    <w:rsid w:val="00CA4655"/>
    <w:rsid w:val="00CD20D9"/>
    <w:rsid w:val="00CD701A"/>
    <w:rsid w:val="00D05AAE"/>
    <w:rsid w:val="00D05E6B"/>
    <w:rsid w:val="00D254A6"/>
    <w:rsid w:val="00D42B55"/>
    <w:rsid w:val="00D57D70"/>
    <w:rsid w:val="00DD0F32"/>
    <w:rsid w:val="00E05D81"/>
    <w:rsid w:val="00E53DFC"/>
    <w:rsid w:val="00E66FC3"/>
    <w:rsid w:val="00E677DD"/>
    <w:rsid w:val="00E77F17"/>
    <w:rsid w:val="00E809D8"/>
    <w:rsid w:val="00E921EC"/>
    <w:rsid w:val="00EB23D0"/>
    <w:rsid w:val="00EC395A"/>
    <w:rsid w:val="00F01632"/>
    <w:rsid w:val="00F04858"/>
    <w:rsid w:val="00F13AA4"/>
    <w:rsid w:val="00F3510D"/>
    <w:rsid w:val="00F43C07"/>
    <w:rsid w:val="00F43D44"/>
    <w:rsid w:val="00F80E6E"/>
    <w:rsid w:val="00FD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7736D8"/>
  <w15:docId w15:val="{DA5BDCCB-471A-4152-B5D1-EC2E7BE35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63A9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4A63A9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B13F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B13F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A70E9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A70E95"/>
    <w:pPr>
      <w:outlineLvl w:val="4"/>
    </w:pPr>
  </w:style>
  <w:style w:type="paragraph" w:styleId="Heading6">
    <w:name w:val="heading 6"/>
    <w:basedOn w:val="Heading4"/>
    <w:next w:val="Normal"/>
    <w:qFormat/>
    <w:rsid w:val="00A70E95"/>
    <w:pPr>
      <w:outlineLvl w:val="5"/>
    </w:pPr>
  </w:style>
  <w:style w:type="paragraph" w:styleId="Heading7">
    <w:name w:val="heading 7"/>
    <w:basedOn w:val="Heading4"/>
    <w:next w:val="Normal"/>
    <w:qFormat/>
    <w:rsid w:val="00A70E9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A70E9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A70E9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Footer">
    <w:name w:val="footer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A70E95"/>
    <w:rPr>
      <w:position w:val="6"/>
      <w:sz w:val="16"/>
    </w:rPr>
  </w:style>
  <w:style w:type="paragraph" w:styleId="FootnoteText">
    <w:name w:val="footnote text"/>
    <w:basedOn w:val="Normal"/>
    <w:rsid w:val="00A70E95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A70E95"/>
    <w:pPr>
      <w:ind w:left="567"/>
    </w:pPr>
  </w:style>
  <w:style w:type="paragraph" w:customStyle="1" w:styleId="Tablelegend">
    <w:name w:val="Table_legend"/>
    <w:basedOn w:val="Tabletext"/>
    <w:rsid w:val="00A70E95"/>
    <w:pPr>
      <w:spacing w:before="120"/>
    </w:pPr>
  </w:style>
  <w:style w:type="paragraph" w:customStyle="1" w:styleId="Tabletext">
    <w:name w:val="Table_text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title">
    <w:name w:val="Table_title"/>
    <w:basedOn w:val="TableNo"/>
    <w:next w:val="Tabletext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70E95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A70E95"/>
    <w:pPr>
      <w:spacing w:before="86"/>
      <w:ind w:left="567" w:hanging="567"/>
    </w:pPr>
  </w:style>
  <w:style w:type="paragraph" w:customStyle="1" w:styleId="enumlev2">
    <w:name w:val="enumlev2"/>
    <w:basedOn w:val="enumlev1"/>
    <w:rsid w:val="00A70E95"/>
    <w:pPr>
      <w:ind w:left="1134"/>
    </w:pPr>
  </w:style>
  <w:style w:type="paragraph" w:customStyle="1" w:styleId="enumlev3">
    <w:name w:val="enumlev3"/>
    <w:basedOn w:val="enumlev2"/>
    <w:rsid w:val="00A70E95"/>
    <w:pPr>
      <w:ind w:left="1701"/>
    </w:pPr>
  </w:style>
  <w:style w:type="paragraph" w:customStyle="1" w:styleId="Tablehead">
    <w:name w:val="Table_head"/>
    <w:basedOn w:val="Tabletext"/>
    <w:rsid w:val="00A70E95"/>
    <w:pPr>
      <w:spacing w:before="120" w:after="120"/>
      <w:jc w:val="center"/>
    </w:pPr>
    <w:rPr>
      <w:b/>
    </w:rPr>
  </w:style>
  <w:style w:type="paragraph" w:customStyle="1" w:styleId="Normalaftertitle">
    <w:name w:val="Normal after title"/>
    <w:basedOn w:val="Normal"/>
    <w:next w:val="Normal"/>
    <w:rsid w:val="00A70E95"/>
    <w:pPr>
      <w:spacing w:before="240"/>
    </w:pPr>
  </w:style>
  <w:style w:type="paragraph" w:customStyle="1" w:styleId="AnnexNo">
    <w:name w:val="Annex_No"/>
    <w:basedOn w:val="Normal"/>
    <w:next w:val="Annexref"/>
    <w:rsid w:val="00BB13FE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BB13FE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rsid w:val="00BB13FE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A70E95"/>
  </w:style>
  <w:style w:type="paragraph" w:customStyle="1" w:styleId="Appendixref">
    <w:name w:val="Appendix_ref"/>
    <w:basedOn w:val="Annexref"/>
    <w:next w:val="Appendixtitle"/>
    <w:rsid w:val="00A70E95"/>
  </w:style>
  <w:style w:type="paragraph" w:customStyle="1" w:styleId="Appendixtitle">
    <w:name w:val="Appendix_title"/>
    <w:basedOn w:val="Annextitle"/>
    <w:next w:val="Normal"/>
    <w:rsid w:val="00A70E95"/>
  </w:style>
  <w:style w:type="paragraph" w:customStyle="1" w:styleId="Reftitle">
    <w:name w:val="Ref_title"/>
    <w:basedOn w:val="Normal"/>
    <w:next w:val="Reftext"/>
    <w:rsid w:val="00BB13FE"/>
    <w:pPr>
      <w:spacing w:before="480"/>
      <w:jc w:val="center"/>
    </w:pPr>
    <w:rPr>
      <w:caps/>
      <w:sz w:val="28"/>
    </w:rPr>
  </w:style>
  <w:style w:type="paragraph" w:customStyle="1" w:styleId="Reftext">
    <w:name w:val="Ref_text"/>
    <w:basedOn w:val="Normal"/>
    <w:rsid w:val="00A70E95"/>
    <w:pPr>
      <w:ind w:left="567" w:hanging="567"/>
    </w:pPr>
  </w:style>
  <w:style w:type="paragraph" w:customStyle="1" w:styleId="Rectitle">
    <w:name w:val="Rec_title"/>
    <w:basedOn w:val="Normal"/>
    <w:next w:val="Heading1"/>
    <w:rsid w:val="004A63A9"/>
    <w:pPr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A70E9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RecNo">
    <w:name w:val="Rec_No"/>
    <w:basedOn w:val="Normal"/>
    <w:next w:val="Rectitle"/>
    <w:rsid w:val="00BB13FE"/>
    <w:pPr>
      <w:spacing w:before="720"/>
      <w:jc w:val="center"/>
    </w:pPr>
    <w:rPr>
      <w:caps/>
      <w:sz w:val="28"/>
    </w:rPr>
  </w:style>
  <w:style w:type="paragraph" w:customStyle="1" w:styleId="toc0">
    <w:name w:val="toc 0"/>
    <w:basedOn w:val="Normal"/>
    <w:next w:val="TOC1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customStyle="1" w:styleId="Part">
    <w:name w:val="Part"/>
    <w:basedOn w:val="Normal"/>
    <w:next w:val="Normal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Note">
    <w:name w:val="Note"/>
    <w:basedOn w:val="Normal"/>
    <w:rsid w:val="00A70E95"/>
    <w:pPr>
      <w:tabs>
        <w:tab w:val="clear" w:pos="567"/>
        <w:tab w:val="left" w:pos="851"/>
      </w:tabs>
    </w:pPr>
  </w:style>
  <w:style w:type="paragraph" w:customStyle="1" w:styleId="MinusFootnote">
    <w:name w:val="MinusFootnote"/>
    <w:basedOn w:val="Normal"/>
    <w:rsid w:val="00A70E95"/>
    <w:pPr>
      <w:ind w:left="-1701" w:hanging="284"/>
    </w:pPr>
  </w:style>
  <w:style w:type="paragraph" w:customStyle="1" w:styleId="Title3">
    <w:name w:val="Title 3"/>
    <w:basedOn w:val="Title2"/>
    <w:next w:val="Normalaftertitle"/>
    <w:rsid w:val="00A70E95"/>
    <w:rPr>
      <w:caps w:val="0"/>
    </w:rPr>
  </w:style>
  <w:style w:type="paragraph" w:customStyle="1" w:styleId="Title2">
    <w:name w:val="Title 2"/>
    <w:basedOn w:val="Source"/>
    <w:next w:val="Title3"/>
    <w:rsid w:val="00A70E95"/>
    <w:pPr>
      <w:spacing w:before="240"/>
    </w:pPr>
    <w:rPr>
      <w:b w:val="0"/>
      <w:caps/>
    </w:rPr>
  </w:style>
  <w:style w:type="paragraph" w:customStyle="1" w:styleId="Source">
    <w:name w:val="Source"/>
    <w:basedOn w:val="Normal"/>
    <w:next w:val="Title1"/>
    <w:rsid w:val="000A1523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A70E95"/>
    <w:pPr>
      <w:spacing w:before="240"/>
    </w:pPr>
    <w:rPr>
      <w:b w:val="0"/>
      <w:caps/>
    </w:rPr>
  </w:style>
  <w:style w:type="paragraph" w:customStyle="1" w:styleId="ArtNo">
    <w:name w:val="Art_No"/>
    <w:basedOn w:val="Normal"/>
    <w:next w:val="Arttitle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A70E95"/>
  </w:style>
  <w:style w:type="paragraph" w:customStyle="1" w:styleId="Chaptitle">
    <w:name w:val="Chap_title"/>
    <w:basedOn w:val="Arttitle"/>
    <w:next w:val="Normal"/>
    <w:rsid w:val="00A70E95"/>
  </w:style>
  <w:style w:type="paragraph" w:customStyle="1" w:styleId="Reasons">
    <w:name w:val="Reasons"/>
    <w:basedOn w:val="Normal"/>
    <w:qFormat/>
    <w:rsid w:val="00A70E95"/>
  </w:style>
  <w:style w:type="paragraph" w:customStyle="1" w:styleId="ResNo">
    <w:name w:val="Res_No"/>
    <w:basedOn w:val="AnnexNo"/>
    <w:next w:val="Restitle"/>
    <w:rsid w:val="00A70E95"/>
  </w:style>
  <w:style w:type="paragraph" w:customStyle="1" w:styleId="Restitle">
    <w:name w:val="Res_title"/>
    <w:basedOn w:val="Annextitle"/>
    <w:next w:val="Normal"/>
    <w:rsid w:val="004A63A9"/>
  </w:style>
  <w:style w:type="paragraph" w:customStyle="1" w:styleId="AnnexNoS2">
    <w:name w:val="Annex_No_S2"/>
    <w:basedOn w:val="AnnexNo"/>
    <w:next w:val="Annexref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nnexrefS2">
    <w:name w:val="Annex_ref_S2"/>
    <w:basedOn w:val="Annexref"/>
    <w:next w:val="Annextitle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nnextitleS2">
    <w:name w:val="Annex_title_S2"/>
    <w:basedOn w:val="Annextitle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NormalS2">
    <w:name w:val="Normal_S2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Section1">
    <w:name w:val="Section 1"/>
    <w:basedOn w:val="ChapNo"/>
    <w:next w:val="Normal"/>
    <w:rsid w:val="00A70E95"/>
    <w:rPr>
      <w:caps w:val="0"/>
    </w:rPr>
  </w:style>
  <w:style w:type="paragraph" w:customStyle="1" w:styleId="Section2">
    <w:name w:val="Section 2"/>
    <w:basedOn w:val="Section1"/>
    <w:next w:val="Normal"/>
    <w:rsid w:val="00A70E95"/>
    <w:pPr>
      <w:spacing w:before="240"/>
    </w:pPr>
    <w:rPr>
      <w:b/>
      <w:i/>
    </w:rPr>
  </w:style>
  <w:style w:type="paragraph" w:customStyle="1" w:styleId="AppendixNoS2">
    <w:name w:val="Appendix_No_S2"/>
    <w:basedOn w:val="AppendixNo"/>
    <w:next w:val="Appendixref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refS2">
    <w:name w:val="Appendix_ref_S2"/>
    <w:basedOn w:val="Appendixref"/>
    <w:next w:val="Annextitle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titleS2">
    <w:name w:val="Appendix_title_S2"/>
    <w:basedOn w:val="Appendixtitle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rtNoS2">
    <w:name w:val="Art_No_S2"/>
    <w:basedOn w:val="ArtNo"/>
    <w:next w:val="ArttitleS2"/>
    <w:rsid w:val="00BB13FE"/>
    <w:pPr>
      <w:tabs>
        <w:tab w:val="left" w:pos="851"/>
      </w:tabs>
      <w:jc w:val="left"/>
    </w:pPr>
    <w:rPr>
      <w:b/>
      <w:sz w:val="24"/>
    </w:rPr>
  </w:style>
  <w:style w:type="paragraph" w:customStyle="1" w:styleId="ArttitleS2">
    <w:name w:val="Art_title_S2"/>
    <w:basedOn w:val="Arttitle"/>
    <w:next w:val="NormalS2"/>
    <w:rsid w:val="00BB13FE"/>
    <w:pPr>
      <w:tabs>
        <w:tab w:val="left" w:pos="851"/>
      </w:tabs>
      <w:jc w:val="left"/>
    </w:pPr>
    <w:rPr>
      <w:sz w:val="24"/>
    </w:rPr>
  </w:style>
  <w:style w:type="paragraph" w:customStyle="1" w:styleId="ChapNoS2">
    <w:name w:val="Chap_No_S2"/>
    <w:basedOn w:val="ChapNo"/>
    <w:next w:val="ChaptitleS2"/>
    <w:rsid w:val="004A63A9"/>
    <w:pPr>
      <w:tabs>
        <w:tab w:val="left" w:pos="851"/>
      </w:tabs>
      <w:jc w:val="left"/>
    </w:pPr>
    <w:rPr>
      <w:b/>
      <w:sz w:val="24"/>
    </w:rPr>
  </w:style>
  <w:style w:type="paragraph" w:customStyle="1" w:styleId="ChaptitleS2">
    <w:name w:val="Chap_title_S2"/>
    <w:basedOn w:val="Chaptitle"/>
    <w:next w:val="NormalS2"/>
    <w:rsid w:val="00BB13FE"/>
    <w:pPr>
      <w:tabs>
        <w:tab w:val="left" w:pos="851"/>
      </w:tabs>
      <w:jc w:val="left"/>
    </w:pPr>
    <w:rPr>
      <w:sz w:val="24"/>
    </w:rPr>
  </w:style>
  <w:style w:type="paragraph" w:customStyle="1" w:styleId="enumlev1S2">
    <w:name w:val="enumlev1_S2"/>
    <w:basedOn w:val="enumlev1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2S2">
    <w:name w:val="enumlev2_S2"/>
    <w:basedOn w:val="enumlev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3S2">
    <w:name w:val="enumlev3_S2"/>
    <w:basedOn w:val="enumlev3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FootnoteTextS2">
    <w:name w:val="Footnote Text_S2"/>
    <w:basedOn w:val="FootnoteText"/>
    <w:rsid w:val="00A70E95"/>
    <w:pPr>
      <w:tabs>
        <w:tab w:val="clear" w:pos="256"/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Heading1S2">
    <w:name w:val="Heading 1_S2"/>
    <w:basedOn w:val="Heading1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  <w:outlineLvl w:val="9"/>
    </w:pPr>
    <w:rPr>
      <w:sz w:val="24"/>
    </w:rPr>
  </w:style>
  <w:style w:type="paragraph" w:customStyle="1" w:styleId="Heading2S2">
    <w:name w:val="Heading 2_S2"/>
    <w:basedOn w:val="Heading2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3S2">
    <w:name w:val="Heading 3_S2"/>
    <w:basedOn w:val="Heading3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4S2">
    <w:name w:val="Heading 4_S2"/>
    <w:basedOn w:val="Heading4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5S2">
    <w:name w:val="Heading 5_S2"/>
    <w:basedOn w:val="Heading5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6S2">
    <w:name w:val="Heading 6_S2"/>
    <w:basedOn w:val="Heading6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7S2">
    <w:name w:val="Heading 7_S2"/>
    <w:basedOn w:val="Heading7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8S2">
    <w:name w:val="Heading 8_S2"/>
    <w:basedOn w:val="Heading8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9S2">
    <w:name w:val="Heading 9_S2"/>
    <w:basedOn w:val="Heading9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NormalaftertitleS2">
    <w:name w:val="Normal after title_S2"/>
    <w:basedOn w:val="Normalaftertitle"/>
    <w:next w:val="NormalS2"/>
    <w:rsid w:val="00A70E95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NormalIndentS2">
    <w:name w:val="Normal Indent_S2"/>
    <w:basedOn w:val="NormalIndent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/>
    </w:pPr>
    <w:rPr>
      <w:b/>
    </w:rPr>
  </w:style>
  <w:style w:type="paragraph" w:customStyle="1" w:styleId="ReasonsS2">
    <w:name w:val="Reasons_S2"/>
    <w:basedOn w:val="Reasons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NoS2">
    <w:name w:val="Rec_No_S2"/>
    <w:basedOn w:val="RecNo"/>
    <w:next w:val="Rectitle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ctitleS2">
    <w:name w:val="Rec_title_S2"/>
    <w:basedOn w:val="Rectitle"/>
    <w:next w:val="Heading1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caps/>
      <w:sz w:val="24"/>
    </w:rPr>
  </w:style>
  <w:style w:type="paragraph" w:customStyle="1" w:styleId="ReftextS2">
    <w:name w:val="Ref_text_S2"/>
    <w:basedOn w:val="Reftext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ReftitleS2">
    <w:name w:val="Ref_title_S2"/>
    <w:basedOn w:val="Reftitle"/>
    <w:next w:val="Reftext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caps w:val="0"/>
      <w:sz w:val="24"/>
    </w:rPr>
  </w:style>
  <w:style w:type="paragraph" w:customStyle="1" w:styleId="ResNoS2">
    <w:name w:val="Res_No_S2"/>
    <w:basedOn w:val="ResNo"/>
    <w:next w:val="Restitle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stitleS2">
    <w:name w:val="Res_title_S2"/>
    <w:basedOn w:val="Restitle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Section1S2">
    <w:name w:val="Section 1_S2"/>
    <w:basedOn w:val="Section1"/>
    <w:next w:val="NormalS2"/>
    <w:rsid w:val="00BB13FE"/>
    <w:pPr>
      <w:tabs>
        <w:tab w:val="left" w:pos="851"/>
      </w:tabs>
      <w:jc w:val="left"/>
    </w:pPr>
    <w:rPr>
      <w:caps/>
      <w:sz w:val="24"/>
    </w:rPr>
  </w:style>
  <w:style w:type="paragraph" w:customStyle="1" w:styleId="Section2S2">
    <w:name w:val="Section 2_S2"/>
    <w:basedOn w:val="Section2"/>
    <w:next w:val="NormalS2"/>
    <w:rsid w:val="004A63A9"/>
    <w:pPr>
      <w:tabs>
        <w:tab w:val="left" w:pos="851"/>
      </w:tabs>
      <w:jc w:val="left"/>
    </w:pPr>
    <w:rPr>
      <w:sz w:val="24"/>
    </w:rPr>
  </w:style>
  <w:style w:type="paragraph" w:customStyle="1" w:styleId="TableNoS2">
    <w:name w:val="Table_No_S2"/>
    <w:basedOn w:val="TableNo"/>
    <w:next w:val="TabletitleS2"/>
    <w:rsid w:val="00A70E95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TabletitleS2">
    <w:name w:val="Table_title_S2"/>
    <w:basedOn w:val="Tabletitle"/>
    <w:next w:val="TabletextS2"/>
    <w:rsid w:val="00A70E95"/>
    <w:pPr>
      <w:keepNext w:val="0"/>
      <w:tabs>
        <w:tab w:val="clear" w:pos="2948"/>
        <w:tab w:val="clear" w:pos="4082"/>
        <w:tab w:val="left" w:pos="851"/>
      </w:tabs>
      <w:jc w:val="left"/>
    </w:pPr>
  </w:style>
  <w:style w:type="paragraph" w:customStyle="1" w:styleId="TabletextS2">
    <w:name w:val="Table_text_S2"/>
    <w:basedOn w:val="Tabletext"/>
    <w:rsid w:val="00A70E95"/>
    <w:pPr>
      <w:tabs>
        <w:tab w:val="left" w:pos="851"/>
      </w:tabs>
    </w:pPr>
    <w:rPr>
      <w:b/>
    </w:rPr>
  </w:style>
  <w:style w:type="paragraph" w:customStyle="1" w:styleId="TablelegendS2">
    <w:name w:val="Table_legend_S2"/>
    <w:basedOn w:val="Tablelegend"/>
    <w:rsid w:val="00A70E95"/>
    <w:pPr>
      <w:tabs>
        <w:tab w:val="left" w:pos="851"/>
      </w:tabs>
      <w:spacing w:after="0"/>
    </w:pPr>
    <w:rPr>
      <w:b/>
    </w:rPr>
  </w:style>
  <w:style w:type="paragraph" w:customStyle="1" w:styleId="FooterS2">
    <w:name w:val="Footer_S2"/>
    <w:basedOn w:val="Footer"/>
    <w:rsid w:val="00A70E95"/>
    <w:pPr>
      <w:tabs>
        <w:tab w:val="clear" w:pos="5954"/>
        <w:tab w:val="clear" w:pos="9639"/>
        <w:tab w:val="left" w:pos="3686"/>
        <w:tab w:val="right" w:pos="7655"/>
      </w:tabs>
      <w:ind w:left="-1985"/>
    </w:pPr>
  </w:style>
  <w:style w:type="paragraph" w:customStyle="1" w:styleId="HeaderS2">
    <w:name w:val="Header_S2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ind w:left="-1985"/>
      <w:jc w:val="center"/>
    </w:pPr>
    <w:rPr>
      <w:sz w:val="22"/>
    </w:rPr>
  </w:style>
  <w:style w:type="paragraph" w:customStyle="1" w:styleId="Artheading">
    <w:name w:val="Art_heading"/>
    <w:basedOn w:val="Normal"/>
    <w:next w:val="Normalaftertitle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NormalaftertitleS2"/>
    <w:rsid w:val="00A70E95"/>
    <w:pPr>
      <w:tabs>
        <w:tab w:val="left" w:pos="851"/>
      </w:tabs>
      <w:jc w:val="left"/>
    </w:pPr>
  </w:style>
  <w:style w:type="paragraph" w:customStyle="1" w:styleId="NoteS2">
    <w:name w:val="Note_S2"/>
    <w:basedOn w:val="Note"/>
    <w:rsid w:val="00A70E95"/>
    <w:pPr>
      <w:tabs>
        <w:tab w:val="clear" w:pos="1134"/>
        <w:tab w:val="clear" w:pos="1701"/>
        <w:tab w:val="clear" w:pos="2268"/>
        <w:tab w:val="clear" w:pos="2835"/>
      </w:tabs>
    </w:pPr>
    <w:rPr>
      <w:b/>
    </w:rPr>
  </w:style>
  <w:style w:type="paragraph" w:styleId="Date">
    <w:name w:val="Date"/>
    <w:basedOn w:val="Normal"/>
    <w:rsid w:val="00A70E95"/>
    <w:pPr>
      <w:framePr w:hSpace="181" w:wrap="notBeside" w:vAnchor="page" w:hAnchor="page" w:x="1135" w:y="852"/>
      <w:tabs>
        <w:tab w:val="clear" w:pos="2268"/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paragraph" w:customStyle="1" w:styleId="HeadingbS2">
    <w:name w:val="Headingb_S2"/>
    <w:basedOn w:val="Headingb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b">
    <w:name w:val="Heading_b"/>
    <w:basedOn w:val="Heading3"/>
    <w:next w:val="Normal"/>
    <w:rsid w:val="00A70E95"/>
    <w:pPr>
      <w:spacing w:before="160"/>
      <w:outlineLvl w:val="0"/>
    </w:pPr>
  </w:style>
  <w:style w:type="paragraph" w:customStyle="1" w:styleId="HeadingiS2">
    <w:name w:val="Headingi_S2"/>
    <w:basedOn w:val="Headingi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Headingi">
    <w:name w:val="Heading_i"/>
    <w:basedOn w:val="Heading3"/>
    <w:next w:val="Normal"/>
    <w:rsid w:val="004A63A9"/>
    <w:pPr>
      <w:spacing w:before="160"/>
      <w:outlineLvl w:val="0"/>
    </w:pPr>
    <w:rPr>
      <w:b w:val="0"/>
      <w:i/>
    </w:rPr>
  </w:style>
  <w:style w:type="paragraph" w:customStyle="1" w:styleId="FirstFooter">
    <w:name w:val="FirstFooter"/>
    <w:basedOn w:val="Footer"/>
    <w:rsid w:val="00A70E95"/>
    <w:rPr>
      <w:caps w:val="0"/>
    </w:rPr>
  </w:style>
  <w:style w:type="paragraph" w:styleId="TOC9">
    <w:name w:val="toc 9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Heading1c">
    <w:name w:val="Heading 1c"/>
    <w:basedOn w:val="Heading1"/>
    <w:next w:val="Normal"/>
    <w:rsid w:val="000863AB"/>
    <w:pPr>
      <w:ind w:left="0" w:firstLine="0"/>
      <w:jc w:val="center"/>
      <w:outlineLvl w:val="9"/>
    </w:pPr>
  </w:style>
  <w:style w:type="paragraph" w:customStyle="1" w:styleId="Heading1cS2">
    <w:name w:val="Heading 1c_S2"/>
    <w:basedOn w:val="Heading1c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Heading2i">
    <w:name w:val="Heading 2i"/>
    <w:basedOn w:val="Heading2"/>
    <w:next w:val="Normal"/>
    <w:rsid w:val="004A63A9"/>
    <w:rPr>
      <w:b w:val="0"/>
      <w:i/>
    </w:rPr>
  </w:style>
  <w:style w:type="paragraph" w:customStyle="1" w:styleId="Heading2iS2">
    <w:name w:val="Heading 2i_S2"/>
    <w:basedOn w:val="Heading2i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character" w:styleId="PageNumber">
    <w:name w:val="page number"/>
    <w:basedOn w:val="DefaultParagraphFont"/>
    <w:rsid w:val="004A63A9"/>
    <w:rPr>
      <w:rFonts w:ascii="Calibri" w:hAnsi="Calibri"/>
    </w:rPr>
  </w:style>
  <w:style w:type="character" w:styleId="Hyperlink">
    <w:name w:val="Hyperlink"/>
    <w:basedOn w:val="DefaultParagraphFont"/>
    <w:uiPriority w:val="99"/>
    <w:rsid w:val="000863AB"/>
    <w:rPr>
      <w:rFonts w:ascii="Calibri" w:hAnsi="Calibri"/>
      <w:color w:val="0000FF"/>
      <w:u w:val="single"/>
    </w:rPr>
  </w:style>
  <w:style w:type="paragraph" w:customStyle="1" w:styleId="Head">
    <w:name w:val="Head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</w:pPr>
  </w:style>
  <w:style w:type="paragraph" w:customStyle="1" w:styleId="Heading1pv">
    <w:name w:val="Heading 1pv"/>
    <w:basedOn w:val="Heading1"/>
    <w:next w:val="Normalpv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Normalpv">
    <w:name w:val="Normal pv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</w:style>
  <w:style w:type="paragraph" w:customStyle="1" w:styleId="Heading2pv">
    <w:name w:val="Heading 2pv"/>
    <w:basedOn w:val="Heading1pv"/>
    <w:next w:val="Normalpv"/>
    <w:rsid w:val="00A70E95"/>
    <w:pPr>
      <w:spacing w:before="320"/>
      <w:outlineLvl w:val="1"/>
    </w:pPr>
  </w:style>
  <w:style w:type="paragraph" w:customStyle="1" w:styleId="Heading3pv">
    <w:name w:val="Heading 3pv"/>
    <w:basedOn w:val="Heading1pv"/>
    <w:next w:val="Normalpv"/>
    <w:rsid w:val="00A70E95"/>
    <w:pPr>
      <w:spacing w:before="200"/>
      <w:outlineLvl w:val="2"/>
    </w:pPr>
  </w:style>
  <w:style w:type="paragraph" w:customStyle="1" w:styleId="NormalendS2">
    <w:name w:val="Normal_end_S2"/>
    <w:basedOn w:val="Normal"/>
    <w:qFormat/>
    <w:rsid w:val="00F80E6E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</w:style>
  <w:style w:type="paragraph" w:customStyle="1" w:styleId="Dectitle">
    <w:name w:val="Dec_title"/>
    <w:basedOn w:val="Rectitle"/>
    <w:next w:val="Normalaftertitle"/>
    <w:qFormat/>
    <w:rsid w:val="009A1A86"/>
  </w:style>
  <w:style w:type="paragraph" w:customStyle="1" w:styleId="DecNo">
    <w:name w:val="Dec_No"/>
    <w:basedOn w:val="RecNo"/>
    <w:next w:val="Dectitle"/>
    <w:qFormat/>
    <w:rsid w:val="009A1A86"/>
  </w:style>
  <w:style w:type="paragraph" w:customStyle="1" w:styleId="DectitleS2">
    <w:name w:val="Dec_title_S2"/>
    <w:basedOn w:val="RestitleS2"/>
    <w:next w:val="Normal"/>
    <w:qFormat/>
    <w:rsid w:val="009A1A86"/>
  </w:style>
  <w:style w:type="paragraph" w:customStyle="1" w:styleId="DecNoS2">
    <w:name w:val="Dec_No_S2"/>
    <w:basedOn w:val="ResNoS2"/>
    <w:next w:val="DectitleS2"/>
    <w:qFormat/>
    <w:rsid w:val="009A1A86"/>
  </w:style>
  <w:style w:type="paragraph" w:customStyle="1" w:styleId="SectionNo">
    <w:name w:val="Section_No"/>
    <w:basedOn w:val="ArtNo"/>
    <w:next w:val="Normal"/>
    <w:qFormat/>
    <w:rsid w:val="00CD20D9"/>
    <w:rPr>
      <w:lang w:val="en-GB"/>
    </w:rPr>
  </w:style>
  <w:style w:type="paragraph" w:customStyle="1" w:styleId="SectionNoS2">
    <w:name w:val="Section_No_S2"/>
    <w:basedOn w:val="ArtNoS2"/>
    <w:next w:val="Normal"/>
    <w:qFormat/>
    <w:rsid w:val="00CD20D9"/>
    <w:rPr>
      <w:lang w:val="en-GB"/>
    </w:rPr>
  </w:style>
  <w:style w:type="paragraph" w:customStyle="1" w:styleId="Sectiontitle">
    <w:name w:val="Section_title"/>
    <w:basedOn w:val="Arttitle"/>
    <w:next w:val="Normalaftertitle"/>
    <w:qFormat/>
    <w:rsid w:val="00CD20D9"/>
    <w:rPr>
      <w:lang w:val="en-GB"/>
    </w:rPr>
  </w:style>
  <w:style w:type="paragraph" w:customStyle="1" w:styleId="SectiontitleS2">
    <w:name w:val="Section_title_S2"/>
    <w:basedOn w:val="ArttitleS2"/>
    <w:next w:val="Normal"/>
    <w:qFormat/>
    <w:rsid w:val="00CD20D9"/>
    <w:rPr>
      <w:lang w:val="en-GB"/>
    </w:rPr>
  </w:style>
  <w:style w:type="paragraph" w:customStyle="1" w:styleId="firstfooter0">
    <w:name w:val="firstfooter"/>
    <w:basedOn w:val="Normal"/>
    <w:rsid w:val="004B07DB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Agendaitem">
    <w:name w:val="Agenda_item"/>
    <w:basedOn w:val="Normal"/>
    <w:next w:val="Normal"/>
    <w:qFormat/>
    <w:rsid w:val="00255FA1"/>
    <w:pPr>
      <w:tabs>
        <w:tab w:val="clear" w:pos="567"/>
        <w:tab w:val="clear" w:pos="1701"/>
        <w:tab w:val="clear" w:pos="2835"/>
        <w:tab w:val="left" w:pos="1871"/>
      </w:tabs>
      <w:overflowPunct/>
      <w:autoSpaceDE/>
      <w:autoSpaceDN/>
      <w:adjustRightInd/>
      <w:spacing w:before="240"/>
      <w:jc w:val="center"/>
      <w:textAlignment w:val="auto"/>
    </w:pPr>
    <w:rPr>
      <w:rFonts w:asciiTheme="minorHAnsi" w:hAnsiTheme="minorHAnsi"/>
      <w:sz w:val="28"/>
    </w:rPr>
  </w:style>
  <w:style w:type="paragraph" w:customStyle="1" w:styleId="Committee">
    <w:name w:val="Committee"/>
    <w:basedOn w:val="Normal"/>
    <w:qFormat/>
    <w:rsid w:val="00255FA1"/>
    <w:pPr>
      <w:framePr w:hSpace="180" w:wrap="around" w:hAnchor="margin" w:y="-675"/>
      <w:tabs>
        <w:tab w:val="clear" w:pos="567"/>
        <w:tab w:val="clear" w:pos="1701"/>
        <w:tab w:val="clear" w:pos="2835"/>
        <w:tab w:val="left" w:pos="1871"/>
      </w:tabs>
      <w:spacing w:before="0" w:after="48" w:line="240" w:lineRule="atLeast"/>
    </w:pPr>
    <w:rPr>
      <w:rFonts w:asciiTheme="minorHAnsi" w:hAnsiTheme="minorHAnsi" w:cstheme="minorHAnsi"/>
      <w:b/>
      <w:smallCaps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255FA1"/>
    <w:rPr>
      <w:rFonts w:ascii="Calibri" w:hAnsi="Calibri"/>
      <w:sz w:val="18"/>
      <w:lang w:val="es-ES_tradnl" w:eastAsia="en-US"/>
    </w:rPr>
  </w:style>
  <w:style w:type="paragraph" w:customStyle="1" w:styleId="Proposal">
    <w:name w:val="Proposal"/>
    <w:basedOn w:val="Normal"/>
    <w:next w:val="Normal"/>
    <w:rsid w:val="003D0027"/>
    <w:pPr>
      <w:keepNext/>
      <w:tabs>
        <w:tab w:val="clear" w:pos="567"/>
        <w:tab w:val="clear" w:pos="1701"/>
        <w:tab w:val="clear" w:pos="2268"/>
        <w:tab w:val="clear" w:pos="2835"/>
      </w:tabs>
      <w:spacing w:before="240"/>
    </w:pPr>
    <w:rPr>
      <w:rFonts w:asciiTheme="minorHAnsi" w:hAnsi="Times New Roman Bold"/>
      <w:b/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AD400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D400E"/>
    <w:rPr>
      <w:rFonts w:ascii="Tahoma" w:hAnsi="Tahoma" w:cs="Tahoma"/>
      <w:sz w:val="16"/>
      <w:szCs w:val="16"/>
      <w:lang w:val="es-ES_tradnl" w:eastAsia="en-US"/>
    </w:rPr>
  </w:style>
  <w:style w:type="paragraph" w:customStyle="1" w:styleId="OP">
    <w:name w:val="OP"/>
    <w:basedOn w:val="Normal"/>
    <w:next w:val="Normal"/>
    <w:qFormat/>
    <w:rsid w:val="00504FD4"/>
    <w:pPr>
      <w:tabs>
        <w:tab w:val="clear" w:pos="1134"/>
        <w:tab w:val="clear" w:pos="2268"/>
        <w:tab w:val="right" w:pos="567"/>
        <w:tab w:val="left" w:pos="794"/>
        <w:tab w:val="left" w:pos="1191"/>
        <w:tab w:val="left" w:pos="1588"/>
        <w:tab w:val="left" w:pos="1985"/>
      </w:tabs>
      <w:spacing w:before="1200" w:after="240" w:line="480" w:lineRule="atLeast"/>
      <w:jc w:val="center"/>
    </w:pPr>
    <w:rPr>
      <w:b/>
      <w:sz w:val="32"/>
      <w:lang w:val="en-GB"/>
    </w:rPr>
  </w:style>
  <w:style w:type="paragraph" w:customStyle="1" w:styleId="OPtitle">
    <w:name w:val="OP_title"/>
    <w:basedOn w:val="Normal"/>
    <w:next w:val="Normalaftertitle"/>
    <w:qFormat/>
    <w:rsid w:val="00504FD4"/>
    <w:pPr>
      <w:jc w:val="center"/>
    </w:pPr>
    <w:rPr>
      <w:b/>
      <w:bCs/>
      <w:lang w:val="en-GB"/>
    </w:rPr>
  </w:style>
  <w:style w:type="paragraph" w:customStyle="1" w:styleId="VolumeTitle">
    <w:name w:val="VolumeTitle"/>
    <w:basedOn w:val="Normal"/>
    <w:next w:val="Normal"/>
    <w:rsid w:val="004B09D4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240" w:after="240"/>
      <w:jc w:val="center"/>
      <w:textAlignment w:val="auto"/>
    </w:pPr>
    <w:rPr>
      <w:rFonts w:asciiTheme="minorHAnsi" w:eastAsiaTheme="minorEastAsia" w:hAnsiTheme="minorHAnsi" w:cstheme="minorBidi"/>
      <w:b/>
      <w:bCs/>
      <w:caps/>
      <w:sz w:val="32"/>
      <w:szCs w:val="32"/>
      <w:lang w:val="en-US" w:eastAsia="zh-CN"/>
    </w:rPr>
  </w:style>
  <w:style w:type="paragraph" w:customStyle="1" w:styleId="VolumeTitleS2">
    <w:name w:val="VolumeTitle_S2"/>
    <w:basedOn w:val="VolumeTitle"/>
    <w:next w:val="Normal"/>
    <w:qFormat/>
    <w:rsid w:val="00504FD4"/>
  </w:style>
  <w:style w:type="paragraph" w:customStyle="1" w:styleId="Table">
    <w:name w:val="Table_#"/>
    <w:basedOn w:val="Normal"/>
    <w:next w:val="Normal"/>
    <w:rsid w:val="00CA4655"/>
    <w:pPr>
      <w:keepNext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  <w:lang w:val="en-GB"/>
    </w:rPr>
  </w:style>
  <w:style w:type="table" w:styleId="TableGrid">
    <w:name w:val="Table Grid"/>
    <w:basedOn w:val="TableNormal"/>
    <w:rsid w:val="00CA46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CA4655"/>
    <w:rPr>
      <w:color w:val="800080" w:themeColor="followedHyperlink"/>
      <w:u w:val="single"/>
    </w:rPr>
  </w:style>
  <w:style w:type="paragraph" w:styleId="ListParagraph">
    <w:name w:val="List Paragraph"/>
    <w:aliases w:val="Bullet 1,Bullet List,Bullet Points,Bulletr List Paragraph,Dot pt,FooterText,Indicator Text,List Paragraph Char Char Char,List Paragraph1,List Paragraph11,No Spacing1,Numbered Para 1,Paragraphe de liste1,Recommendation,numbered,titre"/>
    <w:basedOn w:val="Normal"/>
    <w:link w:val="ListParagraphChar"/>
    <w:uiPriority w:val="34"/>
    <w:qFormat/>
    <w:rsid w:val="00CA4655"/>
    <w:pPr>
      <w:widowControl w:val="0"/>
      <w:tabs>
        <w:tab w:val="clear" w:pos="567"/>
        <w:tab w:val="clear" w:pos="1134"/>
        <w:tab w:val="clear" w:pos="1701"/>
        <w:tab w:val="clear" w:pos="2268"/>
        <w:tab w:val="clear" w:pos="2835"/>
      </w:tabs>
      <w:kinsoku w:val="0"/>
      <w:overflowPunct/>
      <w:autoSpaceDE/>
      <w:autoSpaceDN/>
      <w:adjustRightInd/>
      <w:spacing w:before="0"/>
      <w:ind w:left="720"/>
      <w:contextualSpacing/>
      <w:textAlignment w:val="auto"/>
    </w:pPr>
    <w:rPr>
      <w:rFonts w:ascii="Times New Roman" w:eastAsia="SimSun" w:hAnsi="Times New Roman"/>
      <w:szCs w:val="24"/>
      <w:lang w:val="en-US" w:eastAsia="zh-CN"/>
    </w:rPr>
  </w:style>
  <w:style w:type="character" w:customStyle="1" w:styleId="ListParagraphChar">
    <w:name w:val="List Paragraph Char"/>
    <w:aliases w:val="Bullet 1 Char,Bullet List Char,Bullet Points Char,Bulletr List Paragraph Char,Dot pt Char,FooterText Char,Indicator Text Char,List Paragraph Char Char Char Char,List Paragraph1 Char,List Paragraph11 Char,No Spacing1 Char,titre Char"/>
    <w:basedOn w:val="DefaultParagraphFont"/>
    <w:link w:val="ListParagraph"/>
    <w:uiPriority w:val="34"/>
    <w:rsid w:val="00CA4655"/>
    <w:rPr>
      <w:rFonts w:ascii="Times New Roman" w:eastAsia="SimSu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830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1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en/council/Documents/basic-texts/DEC-005-S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p22.itu.int/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4481</CharactersWithSpaces>
  <SharedDoc>false</SharedDoc>
  <HyperlinkBase/>
  <HLinks>
    <vt:vector size="6" baseType="variant">
      <vt:variant>
        <vt:i4>4194374</vt:i4>
      </vt:variant>
      <vt:variant>
        <vt:i4>12</vt:i4>
      </vt:variant>
      <vt:variant>
        <vt:i4>0</vt:i4>
      </vt:variant>
      <vt:variant>
        <vt:i4>5</vt:i4>
      </vt:variant>
      <vt:variant>
        <vt:lpwstr>http://www.itu.int/plenipotentiary/index.html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Plenipotentiary Conference (PP-18)</dc:subject>
  <dc:creator>Spanish</dc:creator>
  <cp:keywords/>
  <dc:description/>
  <cp:lastModifiedBy>Arnould, Carine</cp:lastModifiedBy>
  <cp:revision>3</cp:revision>
  <cp:lastPrinted>2022-09-05T09:40:00Z</cp:lastPrinted>
  <dcterms:created xsi:type="dcterms:W3CDTF">2022-09-12T13:56:00Z</dcterms:created>
  <dcterms:modified xsi:type="dcterms:W3CDTF">2022-09-15T13:07:00Z</dcterms:modified>
  <cp:category>Conference document</cp:category>
</cp:coreProperties>
</file>