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71198CC4"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FB3CB3">
              <w:rPr>
                <w:rFonts w:cstheme="minorHAnsi"/>
                <w:b/>
                <w:szCs w:val="24"/>
              </w:rPr>
              <w:t>70</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2231BBB6" w:rsidR="00FC2542" w:rsidRPr="007F0374" w:rsidRDefault="000077F8" w:rsidP="00FC2542">
            <w:pPr>
              <w:spacing w:before="0"/>
              <w:rPr>
                <w:rFonts w:cstheme="minorHAnsi"/>
                <w:szCs w:val="24"/>
              </w:rPr>
            </w:pPr>
            <w:r>
              <w:rPr>
                <w:rFonts w:cstheme="minorHAnsi"/>
                <w:b/>
                <w:bCs/>
                <w:szCs w:val="24"/>
              </w:rPr>
              <w:t>202</w:t>
            </w:r>
            <w:r w:rsidR="00FB3CB3">
              <w:rPr>
                <w:rFonts w:cstheme="minorHAnsi"/>
                <w:b/>
                <w:bCs/>
                <w:szCs w:val="24"/>
              </w:rPr>
              <w:t>2</w:t>
            </w:r>
            <w:r>
              <w:rPr>
                <w:rFonts w:cstheme="minorHAnsi" w:hint="eastAsia"/>
                <w:b/>
                <w:bCs/>
                <w:szCs w:val="24"/>
              </w:rPr>
              <w:t>年</w:t>
            </w:r>
            <w:r w:rsidR="00FB3CB3">
              <w:rPr>
                <w:rFonts w:cstheme="minorHAnsi"/>
                <w:b/>
                <w:bCs/>
                <w:szCs w:val="24"/>
              </w:rPr>
              <w:t>8</w:t>
            </w:r>
            <w:r>
              <w:rPr>
                <w:rFonts w:cstheme="minorHAnsi" w:hint="eastAsia"/>
                <w:b/>
                <w:bCs/>
                <w:szCs w:val="24"/>
              </w:rPr>
              <w:t>月</w:t>
            </w:r>
            <w:r w:rsidR="00FB3CB3">
              <w:rPr>
                <w:rFonts w:cstheme="minorHAnsi"/>
                <w:b/>
                <w:bCs/>
                <w:szCs w:val="24"/>
              </w:rPr>
              <w:t>23</w:t>
            </w:r>
            <w:r>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FB3CB3" w14:paraId="5795604A" w14:textId="77777777" w:rsidTr="00223330">
        <w:trPr>
          <w:cantSplit/>
        </w:trPr>
        <w:tc>
          <w:tcPr>
            <w:tcW w:w="10031" w:type="dxa"/>
            <w:gridSpan w:val="2"/>
          </w:tcPr>
          <w:p w14:paraId="42C696D6" w14:textId="70FCA7C0" w:rsidR="00FB3CB3" w:rsidRDefault="00FB3CB3" w:rsidP="00FB3CB3">
            <w:pPr>
              <w:pStyle w:val="Source"/>
            </w:pPr>
            <w:bookmarkStart w:id="4" w:name="dsource" w:colFirst="0" w:colLast="0"/>
            <w:bookmarkEnd w:id="1"/>
            <w:bookmarkEnd w:id="3"/>
            <w:proofErr w:type="spellStart"/>
            <w:r>
              <w:rPr>
                <w:bCs/>
                <w:lang w:val="zh-CN"/>
              </w:rPr>
              <w:t>秘书长的说明</w:t>
            </w:r>
            <w:proofErr w:type="spellEnd"/>
          </w:p>
        </w:tc>
      </w:tr>
      <w:tr w:rsidR="00FB3CB3" w14:paraId="2E27296C" w14:textId="77777777" w:rsidTr="00223330">
        <w:trPr>
          <w:cantSplit/>
        </w:trPr>
        <w:tc>
          <w:tcPr>
            <w:tcW w:w="10031" w:type="dxa"/>
            <w:gridSpan w:val="2"/>
          </w:tcPr>
          <w:p w14:paraId="189BDAD7" w14:textId="01D06334" w:rsidR="00FB3CB3" w:rsidRDefault="00FB3CB3" w:rsidP="00FB3CB3">
            <w:pPr>
              <w:pStyle w:val="Title1"/>
              <w:rPr>
                <w:lang w:eastAsia="zh-CN"/>
              </w:rPr>
            </w:pPr>
            <w:bookmarkStart w:id="5" w:name="_Hlk108797253"/>
            <w:bookmarkStart w:id="6" w:name="dtitle1" w:colFirst="0" w:colLast="0"/>
            <w:bookmarkEnd w:id="4"/>
            <w:r>
              <w:rPr>
                <w:lang w:val="zh-CN" w:eastAsia="zh-CN"/>
              </w:rPr>
              <w:t>落实国际电联理事会第</w:t>
            </w:r>
            <w:r>
              <w:rPr>
                <w:lang w:val="zh-CN" w:eastAsia="zh-CN"/>
              </w:rPr>
              <w:t>1408</w:t>
            </w:r>
            <w:r>
              <w:rPr>
                <w:lang w:val="zh-CN" w:eastAsia="zh-CN"/>
              </w:rPr>
              <w:t>号决议的进展报告</w:t>
            </w:r>
            <w:bookmarkEnd w:id="5"/>
          </w:p>
        </w:tc>
      </w:tr>
      <w:tr w:rsidR="00C710E5" w14:paraId="7E022295" w14:textId="77777777" w:rsidTr="00223330">
        <w:trPr>
          <w:cantSplit/>
        </w:trPr>
        <w:tc>
          <w:tcPr>
            <w:tcW w:w="10031" w:type="dxa"/>
            <w:gridSpan w:val="2"/>
          </w:tcPr>
          <w:p w14:paraId="2F6CDA5E" w14:textId="327A7A8A" w:rsidR="00C710E5" w:rsidRDefault="00C710E5" w:rsidP="00223330">
            <w:pPr>
              <w:pStyle w:val="Title2"/>
              <w:rPr>
                <w:lang w:eastAsia="zh-CN"/>
              </w:rPr>
            </w:pPr>
            <w:bookmarkStart w:id="7" w:name="dtitle2" w:colFirst="0" w:colLast="0"/>
            <w:bookmarkEnd w:id="6"/>
          </w:p>
        </w:tc>
      </w:tr>
      <w:bookmarkEnd w:id="7"/>
    </w:tbl>
    <w:p w14:paraId="70B4CEE7" w14:textId="7AF65B08" w:rsidR="00C710E5" w:rsidRDefault="00C710E5" w:rsidP="00231ABC">
      <w:pPr>
        <w:rPr>
          <w:lang w:val="en-US" w:eastAsia="zh-CN"/>
        </w:rPr>
      </w:pPr>
    </w:p>
    <w:p w14:paraId="5C4E1F28" w14:textId="77777777" w:rsidR="00FB3CB3" w:rsidRDefault="00FB3CB3" w:rsidP="00FB3CB3">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B3CB3" w:rsidRPr="00813E5E" w14:paraId="222F7438" w14:textId="77777777" w:rsidTr="00FA7D5F">
        <w:trPr>
          <w:trHeight w:val="4156"/>
        </w:trPr>
        <w:tc>
          <w:tcPr>
            <w:tcW w:w="8080" w:type="dxa"/>
            <w:tcBorders>
              <w:top w:val="single" w:sz="12" w:space="0" w:color="auto"/>
              <w:left w:val="single" w:sz="12" w:space="0" w:color="auto"/>
              <w:bottom w:val="single" w:sz="12" w:space="0" w:color="auto"/>
              <w:right w:val="single" w:sz="12" w:space="0" w:color="auto"/>
            </w:tcBorders>
          </w:tcPr>
          <w:p w14:paraId="3C0E2796" w14:textId="77777777" w:rsidR="00FB3CB3" w:rsidRPr="004C3DDE" w:rsidRDefault="00FB3CB3" w:rsidP="00FA7D5F">
            <w:pPr>
              <w:pStyle w:val="Headingb"/>
              <w:spacing w:before="120"/>
              <w:rPr>
                <w:sz w:val="22"/>
                <w:szCs w:val="22"/>
                <w:lang w:eastAsia="zh-CN"/>
              </w:rPr>
            </w:pPr>
            <w:r>
              <w:rPr>
                <w:bCs/>
                <w:lang w:val="zh-CN" w:eastAsia="zh-CN"/>
              </w:rPr>
              <w:t>概要</w:t>
            </w:r>
          </w:p>
          <w:p w14:paraId="0611681B" w14:textId="113C3147" w:rsidR="00FB3CB3" w:rsidRPr="00020888" w:rsidRDefault="00FB3CB3" w:rsidP="00FB3CB3">
            <w:pPr>
              <w:tabs>
                <w:tab w:val="clear" w:pos="567"/>
                <w:tab w:val="clear" w:pos="1134"/>
                <w:tab w:val="clear" w:pos="1701"/>
                <w:tab w:val="clear" w:pos="2268"/>
                <w:tab w:val="clear" w:pos="2835"/>
              </w:tabs>
              <w:overflowPunct/>
              <w:ind w:firstLineChars="200" w:firstLine="480"/>
              <w:textAlignment w:val="auto"/>
              <w:rPr>
                <w:rFonts w:eastAsia="Times New Roman" w:cs="Calibri"/>
                <w:sz w:val="22"/>
                <w:szCs w:val="22"/>
                <w:lang w:val="en-US" w:eastAsia="zh-CN"/>
              </w:rPr>
            </w:pPr>
            <w:r>
              <w:rPr>
                <w:lang w:val="zh-CN" w:eastAsia="zh-CN"/>
              </w:rPr>
              <w:t>国际电联秘书处为响应国际电联理事会有关</w:t>
            </w:r>
            <w:r w:rsidRPr="00FB3CB3">
              <w:rPr>
                <w:rFonts w:ascii="SimSun" w:hAnsi="SimSun"/>
                <w:lang w:val="zh-CN" w:eastAsia="zh-CN"/>
              </w:rPr>
              <w:t>“</w:t>
            </w:r>
            <w:r w:rsidRPr="00E67D51">
              <w:rPr>
                <w:b/>
                <w:bCs/>
                <w:lang w:val="zh-CN" w:eastAsia="zh-CN"/>
              </w:rPr>
              <w:t>帮助和支持乌克兰重建电信行业</w:t>
            </w:r>
            <w:r w:rsidRPr="00FB3CB3">
              <w:rPr>
                <w:rFonts w:ascii="SimSun" w:hAnsi="SimSun"/>
                <w:lang w:val="zh-CN" w:eastAsia="zh-CN"/>
              </w:rPr>
              <w:t>”</w:t>
            </w:r>
            <w:r>
              <w:rPr>
                <w:lang w:val="zh-CN" w:eastAsia="zh-CN"/>
              </w:rPr>
              <w:t>的第</w:t>
            </w:r>
            <w:r>
              <w:rPr>
                <w:lang w:val="zh-CN" w:eastAsia="zh-CN"/>
              </w:rPr>
              <w:t>1408</w:t>
            </w:r>
            <w:r>
              <w:rPr>
                <w:lang w:val="zh-CN" w:eastAsia="zh-CN"/>
              </w:rPr>
              <w:t>号决议，开展了一系列有关本决议</w:t>
            </w:r>
            <w:r w:rsidRPr="00FB3CB3">
              <w:rPr>
                <w:rFonts w:ascii="SimSun" w:hAnsi="SimSun"/>
                <w:lang w:val="zh-CN" w:eastAsia="zh-CN"/>
              </w:rPr>
              <w:t>“</w:t>
            </w:r>
            <w:r w:rsidRPr="00ED7321">
              <w:rPr>
                <w:rFonts w:asciiTheme="minorEastAsia" w:eastAsiaTheme="minorEastAsia" w:hAnsiTheme="minorEastAsia"/>
                <w:lang w:val="zh-CN" w:eastAsia="zh-CN"/>
              </w:rPr>
              <w:t>做出决议</w:t>
            </w:r>
            <w:r w:rsidRPr="00FB3CB3">
              <w:rPr>
                <w:rFonts w:ascii="SimSun" w:hAnsi="SimSun"/>
                <w:lang w:val="zh-CN" w:eastAsia="zh-CN"/>
              </w:rPr>
              <w:t>”</w:t>
            </w:r>
            <w:r>
              <w:rPr>
                <w:lang w:val="zh-CN" w:eastAsia="zh-CN"/>
              </w:rPr>
              <w:t>部分的活动，特别是在监督和报告、协调机制、促进技术援助和资源筹措方面。</w:t>
            </w:r>
          </w:p>
          <w:p w14:paraId="64D399A4" w14:textId="77777777" w:rsidR="00FB3CB3" w:rsidRPr="004C3DDE" w:rsidRDefault="00FB3CB3" w:rsidP="00FA7D5F">
            <w:pPr>
              <w:pStyle w:val="Headingb"/>
              <w:spacing w:before="120"/>
              <w:rPr>
                <w:sz w:val="22"/>
                <w:szCs w:val="22"/>
                <w:lang w:eastAsia="zh-CN"/>
              </w:rPr>
            </w:pPr>
            <w:r>
              <w:rPr>
                <w:bCs/>
                <w:lang w:val="zh-CN" w:eastAsia="zh-CN"/>
              </w:rPr>
              <w:t>需采取的行动</w:t>
            </w:r>
          </w:p>
          <w:p w14:paraId="24BA0D82" w14:textId="77777777" w:rsidR="00FB3CB3" w:rsidRPr="004C3DDE" w:rsidRDefault="00FB3CB3" w:rsidP="00FB3CB3">
            <w:pPr>
              <w:tabs>
                <w:tab w:val="clear" w:pos="567"/>
                <w:tab w:val="clear" w:pos="1134"/>
                <w:tab w:val="clear" w:pos="1701"/>
                <w:tab w:val="clear" w:pos="2268"/>
                <w:tab w:val="clear" w:pos="2835"/>
              </w:tabs>
              <w:overflowPunct/>
              <w:autoSpaceDE/>
              <w:autoSpaceDN/>
              <w:adjustRightInd/>
              <w:ind w:firstLineChars="200" w:firstLine="480"/>
              <w:textAlignment w:val="auto"/>
              <w:rPr>
                <w:rFonts w:eastAsia="MS Mincho" w:cs="Arial"/>
                <w:sz w:val="22"/>
                <w:szCs w:val="22"/>
                <w:lang w:eastAsia="zh-CN"/>
              </w:rPr>
            </w:pPr>
            <w:r>
              <w:rPr>
                <w:lang w:val="zh-CN" w:eastAsia="zh-CN"/>
              </w:rPr>
              <w:t>请全权代表大会将本报告</w:t>
            </w:r>
            <w:r>
              <w:rPr>
                <w:b/>
                <w:bCs/>
                <w:lang w:val="zh-CN" w:eastAsia="zh-CN"/>
              </w:rPr>
              <w:t>记录在案</w:t>
            </w:r>
            <w:r>
              <w:rPr>
                <w:lang w:val="zh-CN" w:eastAsia="zh-CN"/>
              </w:rPr>
              <w:t>。</w:t>
            </w:r>
          </w:p>
          <w:p w14:paraId="10A50168" w14:textId="77777777" w:rsidR="00FB3CB3" w:rsidRPr="004C3DDE" w:rsidRDefault="00FB3CB3" w:rsidP="00FA7D5F">
            <w:pPr>
              <w:pStyle w:val="Table"/>
              <w:keepNext w:val="0"/>
              <w:spacing w:before="120"/>
              <w:rPr>
                <w:rFonts w:ascii="Calibri" w:hAnsi="Calibri"/>
                <w:caps w:val="0"/>
                <w:sz w:val="22"/>
                <w:szCs w:val="22"/>
              </w:rPr>
            </w:pPr>
            <w:r w:rsidRPr="004C3DDE">
              <w:rPr>
                <w:rFonts w:ascii="Calibri" w:hAnsi="Calibri"/>
                <w:caps w:val="0"/>
                <w:sz w:val="22"/>
                <w:szCs w:val="22"/>
              </w:rPr>
              <w:t>____________</w:t>
            </w:r>
          </w:p>
          <w:p w14:paraId="2533A9B5" w14:textId="77777777" w:rsidR="00FB3CB3" w:rsidRPr="004C3DDE" w:rsidRDefault="00FB3CB3" w:rsidP="00FA7D5F">
            <w:pPr>
              <w:pStyle w:val="Headingb"/>
              <w:spacing w:before="120"/>
              <w:rPr>
                <w:sz w:val="22"/>
                <w:szCs w:val="22"/>
                <w:lang w:eastAsia="zh-CN"/>
              </w:rPr>
            </w:pPr>
            <w:r>
              <w:rPr>
                <w:bCs/>
                <w:lang w:val="zh-CN" w:eastAsia="zh-CN"/>
              </w:rPr>
              <w:t>参考文件</w:t>
            </w:r>
          </w:p>
          <w:p w14:paraId="4A023DB3" w14:textId="6A157AA1" w:rsidR="00FB3CB3" w:rsidRPr="00E67D51" w:rsidRDefault="00000000" w:rsidP="00E67D51">
            <w:pPr>
              <w:rPr>
                <w:rFonts w:eastAsia="Calibri" w:cs="Arial"/>
                <w:sz w:val="22"/>
                <w:szCs w:val="22"/>
                <w:lang w:eastAsia="zh-CN"/>
              </w:rPr>
            </w:pPr>
            <w:hyperlink r:id="rId7" w:history="1">
              <w:r w:rsidR="00FB3CB3" w:rsidRPr="00E67D51">
                <w:rPr>
                  <w:rStyle w:val="Hyperlink"/>
                  <w:rFonts w:asciiTheme="minorHAnsi" w:eastAsiaTheme="majorEastAsia" w:hAnsiTheme="minorHAnsi" w:cstheme="minorHAnsi"/>
                  <w:szCs w:val="24"/>
                  <w:shd w:val="clear" w:color="auto" w:fill="FFFFFF"/>
                  <w:lang w:val="fr-FR" w:eastAsia="zh-CN"/>
                </w:rPr>
                <w:t>理事会第</w:t>
              </w:r>
              <w:r w:rsidR="00FB3CB3" w:rsidRPr="0013065D">
                <w:rPr>
                  <w:rStyle w:val="Hyperlink"/>
                  <w:rFonts w:asciiTheme="minorHAnsi" w:eastAsiaTheme="majorEastAsia" w:hAnsiTheme="minorHAnsi" w:cstheme="minorHAnsi"/>
                  <w:szCs w:val="24"/>
                  <w:shd w:val="clear" w:color="auto" w:fill="FFFFFF"/>
                  <w:lang w:eastAsia="zh-CN"/>
                </w:rPr>
                <w:t>1408</w:t>
              </w:r>
              <w:r w:rsidR="00FB3CB3" w:rsidRPr="00E67D51">
                <w:rPr>
                  <w:rStyle w:val="Hyperlink"/>
                  <w:rFonts w:asciiTheme="minorHAnsi" w:eastAsiaTheme="majorEastAsia" w:hAnsiTheme="minorHAnsi" w:cstheme="minorHAnsi"/>
                  <w:szCs w:val="24"/>
                  <w:shd w:val="clear" w:color="auto" w:fill="FFFFFF"/>
                  <w:lang w:val="fr-FR" w:eastAsia="zh-CN"/>
                </w:rPr>
                <w:t>号决议</w:t>
              </w:r>
              <w:r w:rsidR="00FB3CB3" w:rsidRPr="0013065D">
                <w:rPr>
                  <w:rStyle w:val="Hyperlink"/>
                  <w:rFonts w:asciiTheme="minorHAnsi" w:eastAsiaTheme="majorEastAsia" w:hAnsiTheme="minorHAnsi" w:cstheme="minorHAnsi"/>
                  <w:szCs w:val="24"/>
                  <w:shd w:val="clear" w:color="auto" w:fill="FFFFFF"/>
                  <w:lang w:eastAsia="zh-CN"/>
                </w:rPr>
                <w:t>（</w:t>
              </w:r>
              <w:r w:rsidR="00FB3CB3" w:rsidRPr="0013065D">
                <w:rPr>
                  <w:rStyle w:val="Hyperlink"/>
                  <w:rFonts w:asciiTheme="minorHAnsi" w:eastAsiaTheme="majorEastAsia" w:hAnsiTheme="minorHAnsi" w:cstheme="minorHAnsi"/>
                  <w:szCs w:val="24"/>
                  <w:shd w:val="clear" w:color="auto" w:fill="FFFFFF"/>
                  <w:lang w:eastAsia="zh-CN"/>
                </w:rPr>
                <w:t>2022</w:t>
              </w:r>
              <w:r w:rsidR="00FB3CB3" w:rsidRPr="00E67D51">
                <w:rPr>
                  <w:rStyle w:val="Hyperlink"/>
                  <w:rFonts w:asciiTheme="minorHAnsi" w:eastAsiaTheme="majorEastAsia" w:hAnsiTheme="minorHAnsi" w:cstheme="minorHAnsi"/>
                  <w:szCs w:val="24"/>
                  <w:shd w:val="clear" w:color="auto" w:fill="FFFFFF"/>
                  <w:lang w:val="fr-FR" w:eastAsia="zh-CN"/>
                </w:rPr>
                <w:t>年</w:t>
              </w:r>
              <w:r w:rsidR="00FB3CB3" w:rsidRPr="0013065D">
                <w:rPr>
                  <w:rStyle w:val="Hyperlink"/>
                  <w:rFonts w:asciiTheme="minorHAnsi" w:eastAsiaTheme="majorEastAsia" w:hAnsiTheme="minorHAnsi" w:cstheme="minorHAnsi"/>
                  <w:szCs w:val="24"/>
                  <w:shd w:val="clear" w:color="auto" w:fill="FFFFFF"/>
                  <w:lang w:eastAsia="zh-CN"/>
                </w:rPr>
                <w:t>）</w:t>
              </w:r>
              <w:r w:rsidR="00FB3CB3" w:rsidRPr="00E67D51">
                <w:rPr>
                  <w:lang w:eastAsia="zh-CN"/>
                </w:rPr>
                <w:t>。</w:t>
              </w:r>
            </w:hyperlink>
          </w:p>
          <w:p w14:paraId="5305D7AA" w14:textId="77777777" w:rsidR="00FB3CB3" w:rsidRPr="004C3DDE" w:rsidRDefault="00FB3CB3" w:rsidP="00FA7D5F">
            <w:pPr>
              <w:spacing w:before="0"/>
              <w:rPr>
                <w:rFonts w:eastAsia="Calibri" w:cs="Arial"/>
                <w:i/>
                <w:iCs/>
                <w:sz w:val="22"/>
                <w:szCs w:val="22"/>
                <w:lang w:eastAsia="zh-CN"/>
              </w:rPr>
            </w:pPr>
          </w:p>
        </w:tc>
      </w:tr>
    </w:tbl>
    <w:p w14:paraId="580F416F" w14:textId="77777777" w:rsidR="00FB3CB3" w:rsidRPr="00FB3CB3" w:rsidRDefault="00FB3CB3" w:rsidP="00231ABC">
      <w:pPr>
        <w:rPr>
          <w:lang w:eastAsia="zh-CN"/>
        </w:rPr>
      </w:pPr>
    </w:p>
    <w:p w14:paraId="637267FB"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209E102" w14:textId="40B9D097" w:rsidR="00FB3CB3" w:rsidRPr="00020888" w:rsidRDefault="00FB3CB3" w:rsidP="00FB3CB3">
      <w:pPr>
        <w:pStyle w:val="Heading1"/>
        <w:tabs>
          <w:tab w:val="clear" w:pos="1701"/>
          <w:tab w:val="clear" w:pos="2268"/>
          <w:tab w:val="clear" w:pos="2835"/>
          <w:tab w:val="center" w:pos="4822"/>
        </w:tabs>
        <w:rPr>
          <w:lang w:eastAsia="zh-CN"/>
        </w:rPr>
      </w:pPr>
      <w:r w:rsidRPr="00020888">
        <w:rPr>
          <w:lang w:eastAsia="zh-CN"/>
        </w:rPr>
        <w:lastRenderedPageBreak/>
        <w:t>1</w:t>
      </w:r>
      <w:r w:rsidRPr="00020888">
        <w:rPr>
          <w:lang w:eastAsia="zh-CN"/>
        </w:rPr>
        <w:tab/>
      </w:r>
      <w:r w:rsidRPr="00020888">
        <w:rPr>
          <w:lang w:eastAsia="zh-CN"/>
        </w:rPr>
        <w:t>引言</w:t>
      </w:r>
      <w:r>
        <w:rPr>
          <w:lang w:eastAsia="zh-CN"/>
        </w:rPr>
        <w:tab/>
      </w:r>
    </w:p>
    <w:p w14:paraId="3009FC4B" w14:textId="4796A409" w:rsidR="00FB3CB3" w:rsidRPr="00020888" w:rsidRDefault="00FB3CB3" w:rsidP="00FB3CB3">
      <w:pPr>
        <w:ind w:firstLineChars="200" w:firstLine="480"/>
        <w:rPr>
          <w:lang w:eastAsia="zh-CN"/>
        </w:rPr>
      </w:pPr>
      <w:r w:rsidRPr="00020888">
        <w:rPr>
          <w:lang w:eastAsia="zh-CN"/>
        </w:rPr>
        <w:t>国际电联理事会</w:t>
      </w:r>
      <w:r w:rsidRPr="00020888">
        <w:rPr>
          <w:lang w:eastAsia="zh-CN"/>
        </w:rPr>
        <w:t>2022</w:t>
      </w:r>
      <w:r w:rsidRPr="00020888">
        <w:rPr>
          <w:lang w:eastAsia="zh-CN"/>
        </w:rPr>
        <w:t>年</w:t>
      </w:r>
      <w:r w:rsidRPr="00020888">
        <w:rPr>
          <w:lang w:eastAsia="zh-CN"/>
        </w:rPr>
        <w:t>3</w:t>
      </w:r>
      <w:r w:rsidRPr="00020888">
        <w:rPr>
          <w:lang w:eastAsia="zh-CN"/>
        </w:rPr>
        <w:t>月召开的上次会议通过了关于</w:t>
      </w:r>
      <w:r w:rsidRPr="00FB3CB3">
        <w:rPr>
          <w:rFonts w:ascii="SimSun" w:hAnsi="SimSun"/>
          <w:lang w:eastAsia="zh-CN"/>
        </w:rPr>
        <w:t>“</w:t>
      </w:r>
      <w:r w:rsidRPr="00E67D51">
        <w:rPr>
          <w:b/>
          <w:bCs/>
          <w:lang w:eastAsia="zh-CN"/>
        </w:rPr>
        <w:t>帮助和支持乌克兰重建电信行业</w:t>
      </w:r>
      <w:r w:rsidRPr="00FB3CB3">
        <w:rPr>
          <w:rFonts w:ascii="SimSun" w:hAnsi="SimSun"/>
          <w:lang w:eastAsia="zh-CN"/>
        </w:rPr>
        <w:t>”</w:t>
      </w:r>
      <w:r w:rsidRPr="00020888">
        <w:rPr>
          <w:lang w:eastAsia="zh-CN"/>
        </w:rPr>
        <w:t>的</w:t>
      </w:r>
      <w:r w:rsidR="00E67D51">
        <w:rPr>
          <w:lang w:eastAsia="zh-CN"/>
        </w:rPr>
        <w:fldChar w:fldCharType="begin"/>
      </w:r>
      <w:r w:rsidR="00E67D51">
        <w:rPr>
          <w:lang w:eastAsia="zh-CN"/>
        </w:rPr>
        <w:instrText xml:space="preserve"> HYPERLINK "https://www.itu.int/md/S22-CL-C-0095/en" </w:instrText>
      </w:r>
      <w:r w:rsidR="00E67D51">
        <w:rPr>
          <w:lang w:eastAsia="zh-CN"/>
        </w:rPr>
        <w:fldChar w:fldCharType="separate"/>
      </w:r>
      <w:r w:rsidRPr="00E67D51">
        <w:rPr>
          <w:rStyle w:val="Hyperlink"/>
          <w:lang w:eastAsia="zh-CN"/>
        </w:rPr>
        <w:t>第</w:t>
      </w:r>
      <w:r w:rsidRPr="00E67D51">
        <w:rPr>
          <w:rStyle w:val="Hyperlink"/>
          <w:lang w:eastAsia="zh-CN"/>
        </w:rPr>
        <w:t>1408</w:t>
      </w:r>
      <w:r w:rsidRPr="00E67D51">
        <w:rPr>
          <w:rStyle w:val="Hyperlink"/>
          <w:lang w:eastAsia="zh-CN"/>
        </w:rPr>
        <w:t>号决议</w:t>
      </w:r>
      <w:r w:rsidR="00E67D51">
        <w:rPr>
          <w:lang w:eastAsia="zh-CN"/>
        </w:rPr>
        <w:fldChar w:fldCharType="end"/>
      </w:r>
      <w:r w:rsidRPr="00020888">
        <w:rPr>
          <w:lang w:eastAsia="zh-CN"/>
        </w:rPr>
        <w:t>。本报告总结了国际电联秘书处为执行本决议的</w:t>
      </w:r>
      <w:r w:rsidRPr="00FB3CB3">
        <w:rPr>
          <w:rFonts w:ascii="SimSun" w:hAnsi="SimSun"/>
          <w:lang w:eastAsia="zh-CN"/>
        </w:rPr>
        <w:t>“</w:t>
      </w:r>
      <w:r w:rsidRPr="00ED7321">
        <w:rPr>
          <w:rFonts w:asciiTheme="minorEastAsia" w:eastAsiaTheme="minorEastAsia" w:hAnsiTheme="minorEastAsia"/>
          <w:lang w:eastAsia="zh-CN"/>
        </w:rPr>
        <w:t>做出决议</w:t>
      </w:r>
      <w:r w:rsidRPr="00FB3CB3">
        <w:rPr>
          <w:rFonts w:ascii="SimSun" w:hAnsi="SimSun"/>
          <w:lang w:eastAsia="zh-CN"/>
        </w:rPr>
        <w:t>”</w:t>
      </w:r>
      <w:r w:rsidRPr="00020888">
        <w:rPr>
          <w:lang w:eastAsia="zh-CN"/>
        </w:rPr>
        <w:t>部分而采取的行动，内容特别侧重监督与报告、协调机制、促进技术援助和资源筹措。</w:t>
      </w:r>
    </w:p>
    <w:p w14:paraId="0A2098AC" w14:textId="30E41A6D" w:rsidR="00FB3CB3" w:rsidRPr="00020888" w:rsidRDefault="00FB3CB3" w:rsidP="00FB3CB3">
      <w:pPr>
        <w:pStyle w:val="Heading1"/>
        <w:rPr>
          <w:lang w:eastAsia="zh-CN"/>
        </w:rPr>
      </w:pPr>
      <w:r w:rsidRPr="00020888">
        <w:rPr>
          <w:lang w:eastAsia="zh-CN"/>
        </w:rPr>
        <w:t>2</w:t>
      </w:r>
      <w:r w:rsidRPr="00020888">
        <w:rPr>
          <w:lang w:eastAsia="zh-CN"/>
        </w:rPr>
        <w:tab/>
      </w:r>
      <w:r w:rsidRPr="00020888">
        <w:rPr>
          <w:lang w:eastAsia="zh-CN"/>
        </w:rPr>
        <w:t>监督和报告</w:t>
      </w:r>
    </w:p>
    <w:p w14:paraId="1F8DC6A5" w14:textId="1F2D6016" w:rsidR="00FB3CB3" w:rsidRPr="00020888" w:rsidRDefault="00FB3CB3" w:rsidP="00FB3CB3">
      <w:pPr>
        <w:ind w:firstLineChars="200" w:firstLine="480"/>
        <w:rPr>
          <w:lang w:eastAsia="zh-CN"/>
        </w:rPr>
      </w:pPr>
      <w:r w:rsidRPr="00020888">
        <w:rPr>
          <w:lang w:eastAsia="zh-CN"/>
        </w:rPr>
        <w:t>为促进有效开展技术援助，对乌克兰的数字复原力实施了持续监督。为落实第</w:t>
      </w:r>
      <w:r w:rsidRPr="00020888">
        <w:rPr>
          <w:lang w:eastAsia="zh-CN"/>
        </w:rPr>
        <w:t>1408</w:t>
      </w:r>
      <w:r w:rsidRPr="00020888">
        <w:rPr>
          <w:lang w:eastAsia="zh-CN"/>
        </w:rPr>
        <w:t>号决议设立了特别网站，可通过</w:t>
      </w:r>
      <w:r w:rsidR="00E67D51">
        <w:rPr>
          <w:lang w:eastAsia="zh-CN"/>
        </w:rPr>
        <w:fldChar w:fldCharType="begin"/>
      </w:r>
      <w:r w:rsidR="00E67D51">
        <w:rPr>
          <w:lang w:eastAsia="zh-CN"/>
        </w:rPr>
        <w:instrText xml:space="preserve"> HYPERLINK "https://www.itu.int/en/ITU-D/Regional-Presence/Europe/Pages/Projects/Council%20Resolution%20on%20Ukraine%20-%20Coordination%20and%20Implementation/Council-Resolution-on-Ukraine---Coordination-and-Implementation.aspx" </w:instrText>
      </w:r>
      <w:r w:rsidR="00E67D51">
        <w:rPr>
          <w:lang w:eastAsia="zh-CN"/>
        </w:rPr>
        <w:fldChar w:fldCharType="separate"/>
      </w:r>
      <w:proofErr w:type="gramStart"/>
      <w:r w:rsidRPr="00E67D51">
        <w:rPr>
          <w:rStyle w:val="Hyperlink"/>
          <w:lang w:eastAsia="zh-CN"/>
        </w:rPr>
        <w:t>此处</w:t>
      </w:r>
      <w:proofErr w:type="gramEnd"/>
      <w:r w:rsidR="00E67D51">
        <w:rPr>
          <w:lang w:eastAsia="zh-CN"/>
        </w:rPr>
        <w:fldChar w:fldCharType="end"/>
      </w:r>
      <w:r w:rsidRPr="00020888">
        <w:rPr>
          <w:lang w:eastAsia="zh-CN"/>
        </w:rPr>
        <w:t>访问。</w:t>
      </w:r>
    </w:p>
    <w:p w14:paraId="1D0A5859" w14:textId="21569CA3" w:rsidR="00FB3CB3" w:rsidRPr="00020888" w:rsidRDefault="00FB3CB3" w:rsidP="00FB3CB3">
      <w:pPr>
        <w:ind w:firstLineChars="200" w:firstLine="480"/>
        <w:rPr>
          <w:lang w:eastAsia="zh-CN"/>
        </w:rPr>
      </w:pPr>
      <w:r w:rsidRPr="009216B3">
        <w:rPr>
          <w:lang w:eastAsia="zh-CN"/>
        </w:rPr>
        <w:t>国际电</w:t>
      </w:r>
      <w:proofErr w:type="gramStart"/>
      <w:r w:rsidRPr="009216B3">
        <w:rPr>
          <w:lang w:eastAsia="zh-CN"/>
        </w:rPr>
        <w:t>联正在</w:t>
      </w:r>
      <w:proofErr w:type="gramEnd"/>
      <w:r w:rsidRPr="009216B3">
        <w:rPr>
          <w:lang w:eastAsia="zh-CN"/>
        </w:rPr>
        <w:t>与乌克兰数字化转型部（</w:t>
      </w:r>
      <w:r w:rsidRPr="009216B3">
        <w:rPr>
          <w:lang w:eastAsia="zh-CN"/>
        </w:rPr>
        <w:t>MDTU</w:t>
      </w:r>
      <w:r w:rsidRPr="009216B3">
        <w:rPr>
          <w:lang w:eastAsia="zh-CN"/>
        </w:rPr>
        <w:t>）、国家电子通信监管、无线电频谱和邮政业务提供委员会（</w:t>
      </w:r>
      <w:r w:rsidRPr="009216B3">
        <w:rPr>
          <w:lang w:eastAsia="zh-CN"/>
        </w:rPr>
        <w:t>NCEC</w:t>
      </w:r>
      <w:r w:rsidRPr="009216B3">
        <w:rPr>
          <w:lang w:eastAsia="zh-CN"/>
        </w:rPr>
        <w:t>）、外交部（</w:t>
      </w:r>
      <w:r w:rsidRPr="009216B3">
        <w:rPr>
          <w:lang w:eastAsia="zh-CN"/>
        </w:rPr>
        <w:t>MFAU</w:t>
      </w:r>
      <w:r w:rsidRPr="009216B3">
        <w:rPr>
          <w:lang w:eastAsia="zh-CN"/>
        </w:rPr>
        <w:t>）以及特别通信和信息保护局（</w:t>
      </w:r>
      <w:r w:rsidRPr="009216B3">
        <w:rPr>
          <w:lang w:eastAsia="zh-CN"/>
        </w:rPr>
        <w:t>SSSCIP</w:t>
      </w:r>
      <w:r w:rsidRPr="009216B3">
        <w:rPr>
          <w:lang w:eastAsia="zh-CN"/>
        </w:rPr>
        <w:t>）密切合作，起草有关</w:t>
      </w:r>
      <w:r w:rsidRPr="009216B3">
        <w:rPr>
          <w:b/>
          <w:bCs/>
          <w:lang w:eastAsia="zh-CN"/>
        </w:rPr>
        <w:t>乌克兰电信业基础设施遭受损害的评估报告</w:t>
      </w:r>
      <w:r w:rsidRPr="009216B3">
        <w:rPr>
          <w:lang w:eastAsia="zh-CN"/>
        </w:rPr>
        <w:t>。该报告采用了</w:t>
      </w:r>
      <w:r w:rsidRPr="009216B3">
        <w:rPr>
          <w:rFonts w:ascii="SimSun" w:hAnsi="SimSun"/>
          <w:lang w:eastAsia="zh-CN"/>
        </w:rPr>
        <w:t>“</w:t>
      </w:r>
      <w:hyperlink r:id="rId8" w:history="1">
        <w:r w:rsidRPr="009216B3">
          <w:rPr>
            <w:rStyle w:val="Hyperlink"/>
            <w:lang w:eastAsia="zh-CN"/>
          </w:rPr>
          <w:t>连通促进恢复</w:t>
        </w:r>
      </w:hyperlink>
      <w:r w:rsidRPr="009216B3">
        <w:rPr>
          <w:rFonts w:ascii="SimSun" w:hAnsi="SimSun"/>
          <w:lang w:eastAsia="zh-CN"/>
        </w:rPr>
        <w:t>”</w:t>
      </w:r>
      <w:r w:rsidRPr="009216B3">
        <w:rPr>
          <w:lang w:eastAsia="zh-CN"/>
        </w:rPr>
        <w:t>的方法，确保其结论可作为基于实证的行动和技术援助的依据，藉此促进该国重建并加强其数字复原力。</w:t>
      </w:r>
    </w:p>
    <w:p w14:paraId="30EC0ED9" w14:textId="1756A265" w:rsidR="00FB3CB3" w:rsidRPr="00020888" w:rsidRDefault="00FB3CB3" w:rsidP="00FB3CB3">
      <w:pPr>
        <w:ind w:firstLineChars="200" w:firstLine="480"/>
        <w:rPr>
          <w:lang w:eastAsia="zh-CN"/>
        </w:rPr>
      </w:pPr>
      <w:r w:rsidRPr="00020888">
        <w:rPr>
          <w:lang w:eastAsia="zh-CN"/>
        </w:rPr>
        <w:t>国际电</w:t>
      </w:r>
      <w:proofErr w:type="gramStart"/>
      <w:r w:rsidRPr="00020888">
        <w:rPr>
          <w:lang w:eastAsia="zh-CN"/>
        </w:rPr>
        <w:t>联正在</w:t>
      </w:r>
      <w:proofErr w:type="gramEnd"/>
      <w:r w:rsidRPr="00020888">
        <w:rPr>
          <w:lang w:eastAsia="zh-CN"/>
        </w:rPr>
        <w:t>与联合国驻地协调员办公室以及联合国欧洲和中亚数字化</w:t>
      </w:r>
      <w:proofErr w:type="gramStart"/>
      <w:r w:rsidRPr="00020888">
        <w:rPr>
          <w:lang w:eastAsia="zh-CN"/>
        </w:rPr>
        <w:t>转型组</w:t>
      </w:r>
      <w:proofErr w:type="gramEnd"/>
      <w:r w:rsidRPr="00020888">
        <w:rPr>
          <w:lang w:eastAsia="zh-CN"/>
        </w:rPr>
        <w:t>的全体成员密切协作，采用</w:t>
      </w:r>
      <w:hyperlink r:id="rId9" w:history="1">
        <w:r w:rsidRPr="00ED7321">
          <w:rPr>
            <w:rStyle w:val="Hyperlink"/>
            <w:lang w:eastAsia="zh-CN"/>
          </w:rPr>
          <w:t>数字化转型机构</w:t>
        </w:r>
      </w:hyperlink>
      <w:r w:rsidRPr="00020888">
        <w:rPr>
          <w:lang w:eastAsia="zh-CN"/>
        </w:rPr>
        <w:t>的方法，编写</w:t>
      </w:r>
      <w:r w:rsidRPr="00ED7321">
        <w:rPr>
          <w:b/>
          <w:bCs/>
          <w:lang w:eastAsia="zh-CN"/>
        </w:rPr>
        <w:t>乌克兰国家数字化发展概况</w:t>
      </w:r>
      <w:r w:rsidRPr="00020888">
        <w:rPr>
          <w:lang w:eastAsia="zh-CN"/>
        </w:rPr>
        <w:t>。此国家概况旨在全面概述该国的数字化发展以及战乱对数字化转型机构三项主要内容，即接入、采用和创造价值的影响，同时关注包括国际电联在内的联合国系统机构提供的一系列机遇。</w:t>
      </w:r>
    </w:p>
    <w:p w14:paraId="6B025D5E" w14:textId="39D6A5DC" w:rsidR="00FB3CB3" w:rsidRPr="00020888" w:rsidRDefault="00FB3CB3" w:rsidP="00FB3CB3">
      <w:pPr>
        <w:pStyle w:val="Heading1"/>
        <w:rPr>
          <w:lang w:eastAsia="zh-CN"/>
        </w:rPr>
      </w:pPr>
      <w:r w:rsidRPr="00020888">
        <w:rPr>
          <w:lang w:eastAsia="zh-CN"/>
        </w:rPr>
        <w:t>3</w:t>
      </w:r>
      <w:r w:rsidRPr="00020888">
        <w:rPr>
          <w:lang w:eastAsia="zh-CN"/>
        </w:rPr>
        <w:tab/>
      </w:r>
      <w:r w:rsidRPr="00020888">
        <w:rPr>
          <w:lang w:eastAsia="zh-CN"/>
        </w:rPr>
        <w:t>有效实施的协调机制</w:t>
      </w:r>
    </w:p>
    <w:p w14:paraId="54C4C460" w14:textId="77777777" w:rsidR="00FB3CB3" w:rsidRPr="00020888" w:rsidRDefault="00FB3CB3" w:rsidP="00FB3CB3">
      <w:pPr>
        <w:ind w:firstLineChars="200" w:firstLine="480"/>
        <w:rPr>
          <w:lang w:eastAsia="zh-CN"/>
        </w:rPr>
      </w:pPr>
      <w:r w:rsidRPr="00020888">
        <w:rPr>
          <w:lang w:eastAsia="zh-CN"/>
        </w:rPr>
        <w:t>为确保国际电</w:t>
      </w:r>
      <w:proofErr w:type="gramStart"/>
      <w:r w:rsidRPr="00020888">
        <w:rPr>
          <w:lang w:eastAsia="zh-CN"/>
        </w:rPr>
        <w:t>联针对</w:t>
      </w:r>
      <w:proofErr w:type="gramEnd"/>
      <w:r w:rsidRPr="00020888">
        <w:rPr>
          <w:lang w:eastAsia="zh-CN"/>
        </w:rPr>
        <w:t>第</w:t>
      </w:r>
      <w:r w:rsidRPr="00020888">
        <w:rPr>
          <w:lang w:eastAsia="zh-CN"/>
        </w:rPr>
        <w:t>1408</w:t>
      </w:r>
      <w:r w:rsidRPr="00020888">
        <w:rPr>
          <w:lang w:eastAsia="zh-CN"/>
        </w:rPr>
        <w:t>号决议开展的活动保持协调一致，现已采取以下系列行动：</w:t>
      </w:r>
    </w:p>
    <w:p w14:paraId="1BAE8000" w14:textId="4153655C" w:rsidR="00FB3CB3" w:rsidRPr="00020888" w:rsidRDefault="00FB3CB3" w:rsidP="00FB3CB3">
      <w:pPr>
        <w:pStyle w:val="enumlev1"/>
        <w:rPr>
          <w:lang w:eastAsia="zh-CN"/>
        </w:rPr>
      </w:pPr>
      <w:r>
        <w:rPr>
          <w:lang w:eastAsia="zh-CN"/>
        </w:rPr>
        <w:t>•</w:t>
      </w:r>
      <w:r>
        <w:rPr>
          <w:lang w:eastAsia="zh-CN"/>
        </w:rPr>
        <w:tab/>
      </w:r>
      <w:r w:rsidRPr="00020888">
        <w:rPr>
          <w:lang w:eastAsia="zh-CN"/>
        </w:rPr>
        <w:t>为确定乌克兰的具体需求，引入了与乌克兰主管部门每周进行协调通话的机制；</w:t>
      </w:r>
    </w:p>
    <w:p w14:paraId="107153C6" w14:textId="614F152C" w:rsidR="00FB3CB3" w:rsidRPr="00020888" w:rsidRDefault="00FB3CB3" w:rsidP="00FB3CB3">
      <w:pPr>
        <w:pStyle w:val="enumlev1"/>
        <w:rPr>
          <w:lang w:eastAsia="zh-CN"/>
        </w:rPr>
      </w:pPr>
      <w:r>
        <w:rPr>
          <w:lang w:eastAsia="zh-CN"/>
        </w:rPr>
        <w:t>•</w:t>
      </w:r>
      <w:r>
        <w:rPr>
          <w:lang w:eastAsia="zh-CN"/>
        </w:rPr>
        <w:tab/>
      </w:r>
      <w:r w:rsidRPr="00020888">
        <w:rPr>
          <w:lang w:eastAsia="zh-CN"/>
        </w:rPr>
        <w:t>国际电联与该国服务机构共同成立了《评估报告》起草组；</w:t>
      </w:r>
    </w:p>
    <w:p w14:paraId="66A78940" w14:textId="31EC154C" w:rsidR="00FB3CB3" w:rsidRPr="00020888" w:rsidRDefault="00FB3CB3" w:rsidP="00FB3CB3">
      <w:pPr>
        <w:pStyle w:val="enumlev1"/>
        <w:rPr>
          <w:lang w:eastAsia="zh-CN"/>
        </w:rPr>
      </w:pPr>
      <w:r>
        <w:rPr>
          <w:lang w:eastAsia="zh-CN"/>
        </w:rPr>
        <w:t>•</w:t>
      </w:r>
      <w:r>
        <w:rPr>
          <w:lang w:eastAsia="zh-CN"/>
        </w:rPr>
        <w:tab/>
      </w:r>
      <w:r w:rsidRPr="00020888">
        <w:rPr>
          <w:lang w:eastAsia="zh-CN"/>
        </w:rPr>
        <w:t>国际电联始终遵循乌克兰国家恢复与重建委员会制定的、侧重于基础设施和数字化的国家协调机制；</w:t>
      </w:r>
    </w:p>
    <w:p w14:paraId="4449508A" w14:textId="73944D1F" w:rsidR="00FB3CB3" w:rsidRPr="00020888" w:rsidRDefault="00FB3CB3" w:rsidP="00FB3CB3">
      <w:pPr>
        <w:pStyle w:val="enumlev1"/>
        <w:rPr>
          <w:lang w:eastAsia="zh-CN"/>
        </w:rPr>
      </w:pPr>
      <w:r>
        <w:rPr>
          <w:lang w:eastAsia="zh-CN"/>
        </w:rPr>
        <w:t>•</w:t>
      </w:r>
      <w:r>
        <w:rPr>
          <w:lang w:eastAsia="zh-CN"/>
        </w:rPr>
        <w:tab/>
      </w:r>
      <w:r w:rsidRPr="00020888">
        <w:rPr>
          <w:lang w:eastAsia="zh-CN"/>
        </w:rPr>
        <w:t>国际电联加强了与联合国驻乌克兰协调员及联合国国家工作队的协调，</w:t>
      </w:r>
      <w:proofErr w:type="gramStart"/>
      <w:r w:rsidRPr="00020888">
        <w:rPr>
          <w:lang w:eastAsia="zh-CN"/>
        </w:rPr>
        <w:t>以确保有关数字化的价值主张遵循</w:t>
      </w:r>
      <w:r w:rsidRPr="00FB3CB3">
        <w:rPr>
          <w:rFonts w:ascii="SimSun" w:hAnsi="SimSun"/>
          <w:lang w:eastAsia="zh-CN"/>
        </w:rPr>
        <w:t>“</w:t>
      </w:r>
      <w:proofErr w:type="gramEnd"/>
      <w:r w:rsidRPr="00020888">
        <w:rPr>
          <w:lang w:eastAsia="zh-CN"/>
        </w:rPr>
        <w:t>联合国一体行动</w:t>
      </w:r>
      <w:r w:rsidRPr="00FB3CB3">
        <w:rPr>
          <w:rFonts w:ascii="SimSun" w:hAnsi="SimSun"/>
          <w:lang w:eastAsia="zh-CN"/>
        </w:rPr>
        <w:t>”</w:t>
      </w:r>
      <w:r w:rsidRPr="00020888">
        <w:rPr>
          <w:lang w:eastAsia="zh-CN"/>
        </w:rPr>
        <w:t>的方法，尤其是针对国际电联作为缔约方的过渡性可持续发展框架；</w:t>
      </w:r>
    </w:p>
    <w:p w14:paraId="4BA39460" w14:textId="3395C1EF" w:rsidR="00FB3CB3" w:rsidRPr="00020888" w:rsidRDefault="00FB3CB3" w:rsidP="00FB3CB3">
      <w:pPr>
        <w:pStyle w:val="enumlev1"/>
        <w:rPr>
          <w:lang w:eastAsia="zh-CN"/>
        </w:rPr>
      </w:pPr>
      <w:r>
        <w:rPr>
          <w:lang w:eastAsia="zh-CN"/>
        </w:rPr>
        <w:t>•</w:t>
      </w:r>
      <w:r>
        <w:rPr>
          <w:lang w:eastAsia="zh-CN"/>
        </w:rPr>
        <w:tab/>
      </w:r>
      <w:r w:rsidRPr="00020888">
        <w:rPr>
          <w:lang w:eastAsia="zh-CN"/>
        </w:rPr>
        <w:t>在联合国欧洲和中亚数字化转型组层面引入了一个特别工作项目，旨在加强对联合国国家工作队的支持，包括编写《乌克兰国家数字化发展概况》；且</w:t>
      </w:r>
    </w:p>
    <w:p w14:paraId="5D800356" w14:textId="133DC86A" w:rsidR="00FB3CB3" w:rsidRPr="00020888" w:rsidRDefault="00FB3CB3" w:rsidP="00FB3CB3">
      <w:pPr>
        <w:pStyle w:val="enumlev1"/>
        <w:rPr>
          <w:lang w:eastAsia="zh-CN"/>
        </w:rPr>
      </w:pPr>
      <w:r>
        <w:rPr>
          <w:lang w:eastAsia="zh-CN"/>
        </w:rPr>
        <w:t>•</w:t>
      </w:r>
      <w:r>
        <w:rPr>
          <w:lang w:eastAsia="zh-CN"/>
        </w:rPr>
        <w:tab/>
      </w:r>
      <w:r w:rsidRPr="00020888">
        <w:rPr>
          <w:lang w:eastAsia="zh-CN"/>
        </w:rPr>
        <w:t>在国际电联层面，总秘书处成立了一个关于第</w:t>
      </w:r>
      <w:r w:rsidRPr="00020888">
        <w:rPr>
          <w:lang w:eastAsia="zh-CN"/>
        </w:rPr>
        <w:t>1408</w:t>
      </w:r>
      <w:r w:rsidRPr="00020888">
        <w:rPr>
          <w:lang w:eastAsia="zh-CN"/>
        </w:rPr>
        <w:t>号决议的特别任务组，对各部门因落实该决议而产生的任何问题开展跨部门协调。</w:t>
      </w:r>
    </w:p>
    <w:p w14:paraId="130CD9A1" w14:textId="6E62FC63" w:rsidR="00FB3CB3" w:rsidRPr="00020888" w:rsidRDefault="00FB3CB3" w:rsidP="00FB3CB3">
      <w:pPr>
        <w:pStyle w:val="Heading1"/>
        <w:rPr>
          <w:lang w:eastAsia="zh-CN"/>
        </w:rPr>
      </w:pPr>
      <w:r w:rsidRPr="00020888">
        <w:rPr>
          <w:lang w:eastAsia="zh-CN"/>
        </w:rPr>
        <w:t>4</w:t>
      </w:r>
      <w:r w:rsidRPr="00020888">
        <w:rPr>
          <w:lang w:eastAsia="zh-CN"/>
        </w:rPr>
        <w:tab/>
      </w:r>
      <w:r w:rsidRPr="00020888">
        <w:rPr>
          <w:lang w:eastAsia="zh-CN"/>
        </w:rPr>
        <w:t>促进技术援助</w:t>
      </w:r>
    </w:p>
    <w:p w14:paraId="6F05B1BA" w14:textId="3ECAA77E" w:rsidR="00FB3CB3" w:rsidRPr="00020888" w:rsidRDefault="00FB3CB3" w:rsidP="003728B1">
      <w:pPr>
        <w:ind w:firstLineChars="200" w:firstLine="480"/>
        <w:rPr>
          <w:lang w:eastAsia="zh-CN"/>
        </w:rPr>
      </w:pPr>
      <w:r w:rsidRPr="00020888">
        <w:rPr>
          <w:lang w:eastAsia="zh-CN"/>
        </w:rPr>
        <w:t>为促进对乌克兰的技术援助，采用了国际电联</w:t>
      </w:r>
      <w:r w:rsidRPr="00FB3CB3">
        <w:rPr>
          <w:rFonts w:ascii="SimSun" w:hAnsi="SimSun"/>
          <w:lang w:eastAsia="zh-CN"/>
        </w:rPr>
        <w:t>“</w:t>
      </w:r>
      <w:r w:rsidRPr="00020888">
        <w:rPr>
          <w:lang w:eastAsia="zh-CN"/>
        </w:rPr>
        <w:t>伙伴关系促进互联互通</w:t>
      </w:r>
      <w:r w:rsidRPr="00FB3CB3">
        <w:rPr>
          <w:rFonts w:ascii="SimSun" w:hAnsi="SimSun"/>
          <w:lang w:eastAsia="zh-CN"/>
        </w:rPr>
        <w:t>”</w:t>
      </w:r>
      <w:r w:rsidRPr="00020888">
        <w:rPr>
          <w:lang w:eastAsia="zh-CN"/>
        </w:rPr>
        <w:t>的方法：</w:t>
      </w:r>
    </w:p>
    <w:p w14:paraId="48802E45" w14:textId="1A78208E" w:rsidR="00FB3CB3" w:rsidRPr="00020888" w:rsidRDefault="00FB3CB3" w:rsidP="00FB3CB3">
      <w:pPr>
        <w:pStyle w:val="enumlev1"/>
        <w:rPr>
          <w:lang w:eastAsia="zh-CN"/>
        </w:rPr>
      </w:pPr>
      <w:r>
        <w:rPr>
          <w:lang w:eastAsia="zh-CN"/>
        </w:rPr>
        <w:t>•</w:t>
      </w:r>
      <w:r>
        <w:rPr>
          <w:lang w:eastAsia="zh-CN"/>
        </w:rPr>
        <w:tab/>
      </w:r>
      <w:r w:rsidRPr="00020888">
        <w:rPr>
          <w:lang w:eastAsia="zh-CN"/>
        </w:rPr>
        <w:t>现已向所有利益攸关方发出捐助呼吁，请其提交有关实施第</w:t>
      </w:r>
      <w:r w:rsidRPr="00020888">
        <w:rPr>
          <w:lang w:eastAsia="zh-CN"/>
        </w:rPr>
        <w:t>1408</w:t>
      </w:r>
      <w:r w:rsidRPr="00020888">
        <w:rPr>
          <w:lang w:eastAsia="zh-CN"/>
        </w:rPr>
        <w:t>号决议的捐助和承诺</w:t>
      </w:r>
      <w:r>
        <w:rPr>
          <w:lang w:eastAsia="zh-CN"/>
        </w:rPr>
        <w:t>（</w:t>
      </w:r>
      <w:hyperlink r:id="rId10" w:history="1">
        <w:r w:rsidRPr="00ED7321">
          <w:rPr>
            <w:rStyle w:val="Hyperlink"/>
            <w:lang w:eastAsia="zh-CN"/>
          </w:rPr>
          <w:t>CL-22/021</w:t>
        </w:r>
      </w:hyperlink>
      <w:proofErr w:type="gramStart"/>
      <w:r>
        <w:rPr>
          <w:lang w:eastAsia="zh-CN"/>
        </w:rPr>
        <w:t>）</w:t>
      </w:r>
      <w:r>
        <w:rPr>
          <w:rFonts w:hint="eastAsia"/>
          <w:lang w:eastAsia="zh-CN"/>
        </w:rPr>
        <w:t>；</w:t>
      </w:r>
      <w:proofErr w:type="gramEnd"/>
    </w:p>
    <w:p w14:paraId="787BF716" w14:textId="02E4847D" w:rsidR="00FB3CB3" w:rsidRPr="00020888" w:rsidRDefault="00FB3CB3" w:rsidP="00FB3CB3">
      <w:pPr>
        <w:pStyle w:val="enumlev1"/>
        <w:rPr>
          <w:lang w:eastAsia="zh-CN"/>
        </w:rPr>
      </w:pPr>
      <w:r>
        <w:rPr>
          <w:lang w:eastAsia="zh-CN"/>
        </w:rPr>
        <w:t>•</w:t>
      </w:r>
      <w:r>
        <w:rPr>
          <w:lang w:eastAsia="zh-CN"/>
        </w:rPr>
        <w:tab/>
      </w:r>
      <w:r w:rsidRPr="00020888">
        <w:rPr>
          <w:lang w:eastAsia="zh-CN"/>
        </w:rPr>
        <w:t>2022</w:t>
      </w:r>
      <w:r w:rsidRPr="00020888">
        <w:rPr>
          <w:lang w:eastAsia="zh-CN"/>
        </w:rPr>
        <w:t>年</w:t>
      </w:r>
      <w:r w:rsidRPr="00020888">
        <w:rPr>
          <w:lang w:eastAsia="zh-CN"/>
        </w:rPr>
        <w:t>6</w:t>
      </w:r>
      <w:r w:rsidRPr="00020888">
        <w:rPr>
          <w:lang w:eastAsia="zh-CN"/>
        </w:rPr>
        <w:t>月</w:t>
      </w:r>
      <w:r w:rsidRPr="00020888">
        <w:rPr>
          <w:lang w:eastAsia="zh-CN"/>
        </w:rPr>
        <w:t>9</w:t>
      </w:r>
      <w:r w:rsidRPr="00020888">
        <w:rPr>
          <w:lang w:eastAsia="zh-CN"/>
        </w:rPr>
        <w:t>日，在卢旺达基加利召开了一场旨在为乌克兰重建电信行业提供援助和支持的</w:t>
      </w:r>
      <w:r w:rsidR="00ED7321">
        <w:rPr>
          <w:lang w:eastAsia="zh-CN"/>
        </w:rPr>
        <w:fldChar w:fldCharType="begin"/>
      </w:r>
      <w:r w:rsidR="00ED7321">
        <w:rPr>
          <w:lang w:eastAsia="zh-CN"/>
        </w:rPr>
        <w:instrText xml:space="preserve"> HYPERLINK "https://www.itu.int/itu-d/sites/partner2connect/wtdc-roundtable/session-details/?sessionid=40" </w:instrText>
      </w:r>
      <w:r w:rsidR="00ED7321">
        <w:rPr>
          <w:lang w:eastAsia="zh-CN"/>
        </w:rPr>
        <w:fldChar w:fldCharType="separate"/>
      </w:r>
      <w:r w:rsidRPr="00ED7321">
        <w:rPr>
          <w:rStyle w:val="Hyperlink"/>
          <w:lang w:eastAsia="zh-CN"/>
        </w:rPr>
        <w:t>特别认捐会议</w:t>
      </w:r>
      <w:r w:rsidR="00ED7321">
        <w:rPr>
          <w:lang w:eastAsia="zh-CN"/>
        </w:rPr>
        <w:fldChar w:fldCharType="end"/>
      </w:r>
      <w:r>
        <w:rPr>
          <w:rFonts w:hint="eastAsia"/>
          <w:lang w:eastAsia="zh-CN"/>
        </w:rPr>
        <w:t>；</w:t>
      </w:r>
    </w:p>
    <w:p w14:paraId="46C30805" w14:textId="3E66B385" w:rsidR="00FB3CB3" w:rsidRPr="00020888" w:rsidRDefault="00FB3CB3" w:rsidP="00FB3CB3">
      <w:pPr>
        <w:pStyle w:val="enumlev1"/>
        <w:rPr>
          <w:lang w:eastAsia="zh-CN"/>
        </w:rPr>
      </w:pPr>
      <w:r>
        <w:rPr>
          <w:lang w:eastAsia="zh-CN"/>
        </w:rPr>
        <w:lastRenderedPageBreak/>
        <w:t>•</w:t>
      </w:r>
      <w:r>
        <w:rPr>
          <w:lang w:eastAsia="zh-CN"/>
        </w:rPr>
        <w:tab/>
      </w:r>
      <w:r w:rsidRPr="00020888">
        <w:rPr>
          <w:lang w:eastAsia="zh-CN"/>
        </w:rPr>
        <w:t>来自立陶宛、爱沙尼亚、德国、爱沙尼亚、日本、波兰、斯洛文尼亚、西班牙、英国、美国和欧盟认捐承诺达</w:t>
      </w:r>
      <w:r w:rsidRPr="00020888">
        <w:rPr>
          <w:lang w:eastAsia="zh-CN"/>
        </w:rPr>
        <w:t>10</w:t>
      </w:r>
      <w:r w:rsidRPr="00020888">
        <w:rPr>
          <w:lang w:eastAsia="zh-CN"/>
        </w:rPr>
        <w:t>多个，金额至少有</w:t>
      </w:r>
      <w:r w:rsidRPr="00020888">
        <w:rPr>
          <w:lang w:eastAsia="zh-CN"/>
        </w:rPr>
        <w:t>1</w:t>
      </w:r>
      <w:r w:rsidRPr="00020888">
        <w:rPr>
          <w:lang w:eastAsia="zh-CN"/>
        </w:rPr>
        <w:t>亿美元。且</w:t>
      </w:r>
    </w:p>
    <w:p w14:paraId="43177990" w14:textId="0501CA24" w:rsidR="00FB3CB3" w:rsidRPr="00020888" w:rsidRDefault="00FB3CB3" w:rsidP="00FB3CB3">
      <w:pPr>
        <w:pStyle w:val="enumlev1"/>
        <w:rPr>
          <w:lang w:eastAsia="zh-CN"/>
        </w:rPr>
      </w:pPr>
      <w:r>
        <w:rPr>
          <w:lang w:eastAsia="zh-CN"/>
        </w:rPr>
        <w:t>•</w:t>
      </w:r>
      <w:r>
        <w:rPr>
          <w:lang w:eastAsia="zh-CN"/>
        </w:rPr>
        <w:tab/>
      </w:r>
      <w:r w:rsidRPr="00020888">
        <w:rPr>
          <w:lang w:eastAsia="zh-CN"/>
        </w:rPr>
        <w:t>目前正在与成员国和其他利益攸关方开展专门跟进工作，同时敲定新的承诺，如即将为在乌克兰实施</w:t>
      </w:r>
      <w:proofErr w:type="spellStart"/>
      <w:r w:rsidRPr="00020888">
        <w:rPr>
          <w:lang w:eastAsia="zh-CN"/>
        </w:rPr>
        <w:t>GovStack</w:t>
      </w:r>
      <w:proofErr w:type="spellEnd"/>
      <w:r w:rsidRPr="00020888">
        <w:rPr>
          <w:lang w:eastAsia="zh-CN"/>
        </w:rPr>
        <w:t>提供的捐助。</w:t>
      </w:r>
    </w:p>
    <w:p w14:paraId="769F69AB" w14:textId="66795E6B" w:rsidR="00FB3CB3" w:rsidRPr="00020888" w:rsidRDefault="00FB3CB3" w:rsidP="00FB3CB3">
      <w:pPr>
        <w:pStyle w:val="Heading1"/>
        <w:rPr>
          <w:lang w:eastAsia="zh-CN"/>
        </w:rPr>
      </w:pPr>
      <w:r w:rsidRPr="00020888">
        <w:rPr>
          <w:lang w:eastAsia="zh-CN"/>
        </w:rPr>
        <w:t>5</w:t>
      </w:r>
      <w:r w:rsidRPr="00020888">
        <w:rPr>
          <w:lang w:eastAsia="zh-CN"/>
        </w:rPr>
        <w:tab/>
      </w:r>
      <w:r w:rsidRPr="00020888">
        <w:rPr>
          <w:lang w:eastAsia="zh-CN"/>
        </w:rPr>
        <w:t>资源筹措</w:t>
      </w:r>
    </w:p>
    <w:p w14:paraId="5CA5B596" w14:textId="624ECE6C" w:rsidR="00FB3CB3" w:rsidRPr="00020888" w:rsidRDefault="00FB3CB3" w:rsidP="00FB3CB3">
      <w:pPr>
        <w:ind w:firstLineChars="200" w:firstLine="480"/>
        <w:rPr>
          <w:lang w:eastAsia="zh-CN"/>
        </w:rPr>
      </w:pPr>
      <w:r w:rsidRPr="00020888">
        <w:rPr>
          <w:lang w:eastAsia="zh-CN"/>
        </w:rPr>
        <w:t>为落</w:t>
      </w:r>
      <w:r w:rsidR="003728B1" w:rsidRPr="00020888">
        <w:rPr>
          <w:lang w:eastAsia="zh-CN"/>
        </w:rPr>
        <w:t>实</w:t>
      </w:r>
      <w:r w:rsidRPr="00020888">
        <w:rPr>
          <w:lang w:eastAsia="zh-CN"/>
        </w:rPr>
        <w:t>确保第</w:t>
      </w:r>
      <w:r w:rsidRPr="00020888">
        <w:rPr>
          <w:lang w:eastAsia="zh-CN"/>
        </w:rPr>
        <w:t>1408</w:t>
      </w:r>
      <w:r w:rsidRPr="00020888">
        <w:rPr>
          <w:lang w:eastAsia="zh-CN"/>
        </w:rPr>
        <w:t>号决议</w:t>
      </w:r>
      <w:r w:rsidRPr="00FB3CB3">
        <w:rPr>
          <w:rFonts w:ascii="SimSun" w:hAnsi="SimSun"/>
          <w:lang w:eastAsia="zh-CN"/>
        </w:rPr>
        <w:t>“</w:t>
      </w:r>
      <w:r w:rsidRPr="00020888">
        <w:rPr>
          <w:lang w:eastAsia="zh-CN"/>
        </w:rPr>
        <w:t>做出决议</w:t>
      </w:r>
      <w:r w:rsidRPr="00FB3CB3">
        <w:rPr>
          <w:rFonts w:ascii="SimSun" w:hAnsi="SimSun"/>
          <w:lang w:eastAsia="zh-CN"/>
        </w:rPr>
        <w:t>”</w:t>
      </w:r>
      <w:r w:rsidRPr="00020888">
        <w:rPr>
          <w:lang w:eastAsia="zh-CN"/>
        </w:rPr>
        <w:t>部分获得所需的充足财务和人力资源，现已开展了一系列行动</w:t>
      </w:r>
      <w:r>
        <w:rPr>
          <w:rFonts w:hint="eastAsia"/>
          <w:lang w:eastAsia="zh-CN"/>
        </w:rPr>
        <w:t>：</w:t>
      </w:r>
    </w:p>
    <w:p w14:paraId="5C342E0E" w14:textId="79B5B664" w:rsidR="00FB3CB3" w:rsidRPr="00020888" w:rsidRDefault="00FB3CB3" w:rsidP="00FB3CB3">
      <w:pPr>
        <w:pStyle w:val="enumlev1"/>
        <w:rPr>
          <w:lang w:eastAsia="zh-CN"/>
        </w:rPr>
      </w:pPr>
      <w:r>
        <w:rPr>
          <w:lang w:eastAsia="zh-CN"/>
        </w:rPr>
        <w:t>•</w:t>
      </w:r>
      <w:r>
        <w:rPr>
          <w:lang w:eastAsia="zh-CN"/>
        </w:rPr>
        <w:tab/>
      </w:r>
      <w:r w:rsidRPr="00020888">
        <w:rPr>
          <w:lang w:eastAsia="zh-CN"/>
        </w:rPr>
        <w:t>已对内部预算进行了审核，并为启动落实工作确定了种子财务资源；</w:t>
      </w:r>
    </w:p>
    <w:p w14:paraId="58D7C4DF" w14:textId="4B230F4A" w:rsidR="00FB3CB3" w:rsidRPr="00020888" w:rsidRDefault="00FB3CB3" w:rsidP="00FB3CB3">
      <w:pPr>
        <w:pStyle w:val="enumlev1"/>
        <w:rPr>
          <w:lang w:eastAsia="zh-CN"/>
        </w:rPr>
      </w:pPr>
      <w:r>
        <w:rPr>
          <w:lang w:eastAsia="zh-CN"/>
        </w:rPr>
        <w:t>•</w:t>
      </w:r>
      <w:r>
        <w:rPr>
          <w:lang w:eastAsia="zh-CN"/>
        </w:rPr>
        <w:tab/>
      </w:r>
      <w:r w:rsidRPr="00020888">
        <w:rPr>
          <w:lang w:eastAsia="zh-CN"/>
        </w:rPr>
        <w:t>为落实第</w:t>
      </w:r>
      <w:r w:rsidRPr="00020888">
        <w:rPr>
          <w:lang w:eastAsia="zh-CN"/>
        </w:rPr>
        <w:t>1408</w:t>
      </w:r>
      <w:r w:rsidRPr="00020888">
        <w:rPr>
          <w:lang w:eastAsia="zh-CN"/>
        </w:rPr>
        <w:t>号决议设立了专项特别信托基金；</w:t>
      </w:r>
    </w:p>
    <w:p w14:paraId="68A88D87" w14:textId="20ECE440" w:rsidR="00FB3CB3" w:rsidRPr="00020888" w:rsidRDefault="00FB3CB3" w:rsidP="00FB3CB3">
      <w:pPr>
        <w:pStyle w:val="enumlev1"/>
        <w:rPr>
          <w:lang w:eastAsia="zh-CN"/>
        </w:rPr>
      </w:pPr>
      <w:r>
        <w:rPr>
          <w:lang w:eastAsia="zh-CN"/>
        </w:rPr>
        <w:t>•</w:t>
      </w:r>
      <w:r>
        <w:rPr>
          <w:lang w:eastAsia="zh-CN"/>
        </w:rPr>
        <w:tab/>
      </w:r>
      <w:r w:rsidRPr="00020888">
        <w:rPr>
          <w:lang w:eastAsia="zh-CN"/>
        </w:rPr>
        <w:t>2022</w:t>
      </w:r>
      <w:r w:rsidRPr="00020888">
        <w:rPr>
          <w:lang w:eastAsia="zh-CN"/>
        </w:rPr>
        <w:t>年</w:t>
      </w:r>
      <w:r w:rsidRPr="00020888">
        <w:rPr>
          <w:lang w:eastAsia="zh-CN"/>
        </w:rPr>
        <w:t>6</w:t>
      </w:r>
      <w:r w:rsidRPr="00020888">
        <w:rPr>
          <w:lang w:eastAsia="zh-CN"/>
        </w:rPr>
        <w:t>月</w:t>
      </w:r>
      <w:r w:rsidRPr="00020888">
        <w:rPr>
          <w:lang w:eastAsia="zh-CN"/>
        </w:rPr>
        <w:t>6</w:t>
      </w:r>
      <w:r w:rsidRPr="00020888">
        <w:rPr>
          <w:lang w:eastAsia="zh-CN"/>
        </w:rPr>
        <w:t>日发出向该基金捐款的呼吁</w:t>
      </w:r>
      <w:r>
        <w:rPr>
          <w:lang w:eastAsia="zh-CN"/>
        </w:rPr>
        <w:t>（</w:t>
      </w:r>
      <w:hyperlink r:id="rId11" w:history="1">
        <w:r w:rsidRPr="00ED7321">
          <w:rPr>
            <w:rStyle w:val="Hyperlink"/>
            <w:lang w:eastAsia="zh-CN"/>
          </w:rPr>
          <w:t>CL-22/021</w:t>
        </w:r>
      </w:hyperlink>
      <w:r>
        <w:rPr>
          <w:lang w:eastAsia="zh-CN"/>
        </w:rPr>
        <w:t>）</w:t>
      </w:r>
      <w:r w:rsidRPr="00020888">
        <w:rPr>
          <w:lang w:eastAsia="zh-CN"/>
        </w:rPr>
        <w:t>；且</w:t>
      </w:r>
    </w:p>
    <w:p w14:paraId="254A712D" w14:textId="1C039212" w:rsidR="00FB3CB3" w:rsidRPr="00020888" w:rsidRDefault="00FB3CB3" w:rsidP="00FB3CB3">
      <w:pPr>
        <w:pStyle w:val="enumlev1"/>
        <w:rPr>
          <w:lang w:eastAsia="zh-CN"/>
        </w:rPr>
      </w:pPr>
      <w:r>
        <w:rPr>
          <w:lang w:eastAsia="zh-CN"/>
        </w:rPr>
        <w:t>•</w:t>
      </w:r>
      <w:r>
        <w:rPr>
          <w:lang w:eastAsia="zh-CN"/>
        </w:rPr>
        <w:tab/>
      </w:r>
      <w:r w:rsidRPr="00020888">
        <w:rPr>
          <w:lang w:eastAsia="zh-CN"/>
        </w:rPr>
        <w:t>已收到来自日本</w:t>
      </w:r>
      <w:r>
        <w:rPr>
          <w:lang w:eastAsia="zh-CN"/>
        </w:rPr>
        <w:t>（</w:t>
      </w:r>
      <w:r w:rsidRPr="00020888">
        <w:rPr>
          <w:lang w:eastAsia="zh-CN"/>
        </w:rPr>
        <w:t>100 000</w:t>
      </w:r>
      <w:r w:rsidRPr="00020888">
        <w:rPr>
          <w:lang w:eastAsia="zh-CN"/>
        </w:rPr>
        <w:t>瑞郎</w:t>
      </w:r>
      <w:r>
        <w:rPr>
          <w:lang w:eastAsia="zh-CN"/>
        </w:rPr>
        <w:t>）</w:t>
      </w:r>
      <w:r w:rsidRPr="00020888">
        <w:rPr>
          <w:lang w:eastAsia="zh-CN"/>
        </w:rPr>
        <w:t>和立陶宛</w:t>
      </w:r>
      <w:r>
        <w:rPr>
          <w:lang w:eastAsia="zh-CN"/>
        </w:rPr>
        <w:t>（</w:t>
      </w:r>
      <w:r w:rsidRPr="00020888">
        <w:rPr>
          <w:lang w:eastAsia="zh-CN"/>
        </w:rPr>
        <w:t>价值</w:t>
      </w:r>
      <w:r w:rsidRPr="00020888">
        <w:rPr>
          <w:lang w:eastAsia="zh-CN"/>
        </w:rPr>
        <w:t>20</w:t>
      </w:r>
      <w:r w:rsidR="00ED7321">
        <w:rPr>
          <w:lang w:eastAsia="zh-CN"/>
        </w:rPr>
        <w:t> </w:t>
      </w:r>
      <w:r w:rsidRPr="00020888">
        <w:rPr>
          <w:lang w:eastAsia="zh-CN"/>
        </w:rPr>
        <w:t>000</w:t>
      </w:r>
      <w:r w:rsidRPr="00020888">
        <w:rPr>
          <w:lang w:eastAsia="zh-CN"/>
        </w:rPr>
        <w:t>瑞郎的实物捐助</w:t>
      </w:r>
      <w:r>
        <w:rPr>
          <w:lang w:eastAsia="zh-CN"/>
        </w:rPr>
        <w:t>）</w:t>
      </w:r>
      <w:r w:rsidRPr="00020888">
        <w:rPr>
          <w:lang w:eastAsia="zh-CN"/>
        </w:rPr>
        <w:t>的第一批捐助。</w:t>
      </w:r>
    </w:p>
    <w:p w14:paraId="33E48BDD" w14:textId="592823D5" w:rsidR="00FB3CB3" w:rsidRPr="00020888" w:rsidRDefault="00FB3CB3" w:rsidP="00FB3CB3">
      <w:pPr>
        <w:pStyle w:val="Heading1"/>
        <w:rPr>
          <w:lang w:eastAsia="zh-CN"/>
        </w:rPr>
      </w:pPr>
      <w:r w:rsidRPr="00020888">
        <w:rPr>
          <w:lang w:eastAsia="zh-CN"/>
        </w:rPr>
        <w:t>6</w:t>
      </w:r>
      <w:r w:rsidRPr="00020888">
        <w:rPr>
          <w:lang w:eastAsia="zh-CN"/>
        </w:rPr>
        <w:tab/>
      </w:r>
      <w:r w:rsidRPr="00020888">
        <w:rPr>
          <w:lang w:eastAsia="zh-CN"/>
        </w:rPr>
        <w:t>结论</w:t>
      </w:r>
    </w:p>
    <w:p w14:paraId="61D65FD2" w14:textId="77777777" w:rsidR="00FB3CB3" w:rsidRPr="00020888" w:rsidRDefault="00FB3CB3" w:rsidP="00FB3CB3">
      <w:pPr>
        <w:ind w:firstLineChars="200" w:firstLine="480"/>
        <w:rPr>
          <w:lang w:eastAsia="zh-CN"/>
        </w:rPr>
      </w:pPr>
      <w:r w:rsidRPr="00020888">
        <w:rPr>
          <w:lang w:eastAsia="zh-CN"/>
        </w:rPr>
        <w:t>根据近期评估报告得出的结论，乌克兰电信和广播基础设施目前遭受损坏的程度，使该国部分人民和一些利益攸关方无法享受数字技术带来的益处。敬请</w:t>
      </w:r>
      <w:proofErr w:type="gramStart"/>
      <w:r w:rsidRPr="00020888">
        <w:rPr>
          <w:lang w:eastAsia="zh-CN"/>
        </w:rPr>
        <w:t>所有利益</w:t>
      </w:r>
      <w:proofErr w:type="gramEnd"/>
      <w:r w:rsidRPr="00020888">
        <w:rPr>
          <w:lang w:eastAsia="zh-CN"/>
        </w:rPr>
        <w:t>攸关方支持国际电</w:t>
      </w:r>
      <w:proofErr w:type="gramStart"/>
      <w:r w:rsidRPr="00020888">
        <w:rPr>
          <w:lang w:eastAsia="zh-CN"/>
        </w:rPr>
        <w:t>联针对</w:t>
      </w:r>
      <w:proofErr w:type="gramEnd"/>
      <w:r w:rsidRPr="00020888">
        <w:rPr>
          <w:lang w:eastAsia="zh-CN"/>
        </w:rPr>
        <w:t>第</w:t>
      </w:r>
      <w:r w:rsidRPr="00020888">
        <w:rPr>
          <w:lang w:eastAsia="zh-CN"/>
        </w:rPr>
        <w:t>1408</w:t>
      </w:r>
      <w:r w:rsidRPr="00020888">
        <w:rPr>
          <w:lang w:eastAsia="zh-CN"/>
        </w:rPr>
        <w:t>号决议开展的全球合作和活动，特别是：</w:t>
      </w:r>
    </w:p>
    <w:p w14:paraId="7826E084" w14:textId="783E6BBB" w:rsidR="00FB3CB3" w:rsidRPr="00020888" w:rsidRDefault="00FB3CB3" w:rsidP="00FB3CB3">
      <w:pPr>
        <w:pStyle w:val="enumlev1"/>
        <w:rPr>
          <w:lang w:eastAsia="zh-CN"/>
        </w:rPr>
      </w:pPr>
      <w:r>
        <w:rPr>
          <w:lang w:eastAsia="zh-CN"/>
        </w:rPr>
        <w:t>•</w:t>
      </w:r>
      <w:r>
        <w:rPr>
          <w:lang w:eastAsia="zh-CN"/>
        </w:rPr>
        <w:tab/>
      </w:r>
      <w:r w:rsidRPr="00020888">
        <w:rPr>
          <w:lang w:eastAsia="zh-CN"/>
        </w:rPr>
        <w:t>承诺为乌克兰重建电信行业提供技术援助和支持；</w:t>
      </w:r>
    </w:p>
    <w:p w14:paraId="06801102" w14:textId="289EEB50" w:rsidR="00FB3CB3" w:rsidRPr="00020888" w:rsidRDefault="00FB3CB3" w:rsidP="00FB3CB3">
      <w:pPr>
        <w:pStyle w:val="enumlev1"/>
        <w:rPr>
          <w:lang w:eastAsia="zh-CN"/>
        </w:rPr>
      </w:pPr>
      <w:r>
        <w:rPr>
          <w:lang w:eastAsia="zh-CN"/>
        </w:rPr>
        <w:t>•</w:t>
      </w:r>
      <w:r>
        <w:rPr>
          <w:lang w:eastAsia="zh-CN"/>
        </w:rPr>
        <w:tab/>
      </w:r>
      <w:r w:rsidRPr="00020888">
        <w:rPr>
          <w:lang w:eastAsia="zh-CN"/>
        </w:rPr>
        <w:t>加入伙伴关系促进互联互通举措，并通过</w:t>
      </w:r>
      <w:hyperlink r:id="rId12" w:history="1">
        <w:r w:rsidRPr="00ED7321">
          <w:rPr>
            <w:rStyle w:val="Hyperlink"/>
            <w:lang w:eastAsia="zh-CN"/>
          </w:rPr>
          <w:t>此处</w:t>
        </w:r>
      </w:hyperlink>
      <w:r w:rsidRPr="00020888">
        <w:rPr>
          <w:lang w:eastAsia="zh-CN"/>
        </w:rPr>
        <w:t>提供的在线系统聚焦为乌克兰提供捐助；并</w:t>
      </w:r>
    </w:p>
    <w:p w14:paraId="370BEFF6" w14:textId="73B61933" w:rsidR="00476923" w:rsidRDefault="00FB3CB3" w:rsidP="00FB3CB3">
      <w:pPr>
        <w:pStyle w:val="enumlev1"/>
        <w:rPr>
          <w:lang w:eastAsia="zh-CN"/>
        </w:rPr>
      </w:pPr>
      <w:r>
        <w:rPr>
          <w:lang w:eastAsia="zh-CN"/>
        </w:rPr>
        <w:t>•</w:t>
      </w:r>
      <w:r>
        <w:rPr>
          <w:lang w:eastAsia="zh-CN"/>
        </w:rPr>
        <w:tab/>
      </w:r>
      <w:r w:rsidRPr="00020888">
        <w:rPr>
          <w:lang w:eastAsia="zh-CN"/>
        </w:rPr>
        <w:t>向特别信托基金提供财务捐助，支持加大第</w:t>
      </w:r>
      <w:r w:rsidRPr="00020888">
        <w:rPr>
          <w:lang w:eastAsia="zh-CN"/>
        </w:rPr>
        <w:t>1408</w:t>
      </w:r>
      <w:r w:rsidRPr="00020888">
        <w:rPr>
          <w:lang w:eastAsia="zh-CN"/>
        </w:rPr>
        <w:t>号决议的执行力度。</w:t>
      </w:r>
    </w:p>
    <w:p w14:paraId="74B0FE31" w14:textId="77777777" w:rsidR="00ED7321" w:rsidRDefault="00ED7321" w:rsidP="00411C49">
      <w:pPr>
        <w:pStyle w:val="Reasons"/>
        <w:rPr>
          <w:lang w:eastAsia="zh-CN"/>
        </w:rPr>
      </w:pPr>
    </w:p>
    <w:p w14:paraId="2BF1C220" w14:textId="43CA7501" w:rsidR="00ED7321" w:rsidRPr="00ED7321" w:rsidRDefault="00ED7321" w:rsidP="00ED7321">
      <w:pPr>
        <w:jc w:val="center"/>
      </w:pPr>
      <w:r>
        <w:t>______________</w:t>
      </w:r>
    </w:p>
    <w:sectPr w:rsidR="00ED7321" w:rsidRPr="00ED7321" w:rsidSect="00BA20B6">
      <w:headerReference w:type="even" r:id="rId13"/>
      <w:headerReference w:type="default" r:id="rId14"/>
      <w:footerReference w:type="even" r:id="rId15"/>
      <w:footerReference w:type="default" r:id="rId16"/>
      <w:headerReference w:type="first" r:id="rId17"/>
      <w:footerReference w:type="first" r:id="rId1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EB7D" w14:textId="77777777" w:rsidR="004E11D2" w:rsidRDefault="004E11D2">
      <w:r>
        <w:separator/>
      </w:r>
    </w:p>
  </w:endnote>
  <w:endnote w:type="continuationSeparator" w:id="0">
    <w:p w14:paraId="1469F513" w14:textId="77777777" w:rsidR="004E11D2" w:rsidRDefault="004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804" w14:textId="77777777" w:rsidR="008E3FFF" w:rsidRDefault="008E3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507" w14:textId="6B52E1EF" w:rsidR="00E67D51" w:rsidRPr="008E3FFF" w:rsidRDefault="00C3484A" w:rsidP="00E67D51">
    <w:pPr>
      <w:pStyle w:val="Footer"/>
      <w:rPr>
        <w:color w:val="FFFFFF" w:themeColor="background1"/>
      </w:rPr>
    </w:pPr>
    <w:r w:rsidRPr="008E3FFF">
      <w:rPr>
        <w:color w:val="FFFFFF" w:themeColor="background1"/>
      </w:rPr>
      <w:fldChar w:fldCharType="begin"/>
    </w:r>
    <w:r w:rsidRPr="008E3FFF">
      <w:rPr>
        <w:color w:val="FFFFFF" w:themeColor="background1"/>
      </w:rPr>
      <w:instrText xml:space="preserve"> FILENAME \p  \* MERGEFORMAT </w:instrText>
    </w:r>
    <w:r w:rsidRPr="008E3FFF">
      <w:rPr>
        <w:color w:val="FFFFFF" w:themeColor="background1"/>
      </w:rPr>
      <w:fldChar w:fldCharType="separate"/>
    </w:r>
    <w:r w:rsidRPr="008E3FFF">
      <w:rPr>
        <w:color w:val="FFFFFF" w:themeColor="background1"/>
      </w:rPr>
      <w:t>P:\CHI\SG\CONF-SG\PP22\000\070V2C.docx</w:t>
    </w:r>
    <w:r w:rsidRPr="008E3FFF">
      <w:rPr>
        <w:color w:val="FFFFFF" w:themeColor="background1"/>
      </w:rPr>
      <w:fldChar w:fldCharType="end"/>
    </w:r>
    <w:r w:rsidR="00E67D51" w:rsidRPr="008E3FFF">
      <w:rPr>
        <w:color w:val="FFFFFF" w:themeColor="background1"/>
      </w:rPr>
      <w:t xml:space="preserve"> (510864)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B702" w14:textId="77777777" w:rsidR="004E11D2" w:rsidRDefault="004E11D2">
      <w:r>
        <w:t>____________________</w:t>
      </w:r>
    </w:p>
  </w:footnote>
  <w:footnote w:type="continuationSeparator" w:id="0">
    <w:p w14:paraId="52044AB2" w14:textId="77777777" w:rsidR="004E11D2" w:rsidRDefault="004E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893E" w14:textId="77777777" w:rsidR="008E3FFF" w:rsidRDefault="008E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52A28AF6" w:rsidR="00C710E5" w:rsidRPr="00FC2542" w:rsidRDefault="00FC2542" w:rsidP="00FC2542">
    <w:pPr>
      <w:pStyle w:val="Header"/>
    </w:pPr>
    <w:r>
      <w:t>PP</w:t>
    </w:r>
    <w:r w:rsidR="002554F9">
      <w:t>22</w:t>
    </w:r>
    <w:r>
      <w:t>/</w:t>
    </w:r>
    <w:r w:rsidR="00FB3CB3">
      <w:t>70</w:t>
    </w:r>
    <w:r w:rsidR="000077F8">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CC29" w14:textId="77777777" w:rsidR="008E3FFF" w:rsidRDefault="008E3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065D"/>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28B1"/>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4E11D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91EC5"/>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3FFF"/>
    <w:rsid w:val="008E4324"/>
    <w:rsid w:val="008E45D4"/>
    <w:rsid w:val="008E6AE7"/>
    <w:rsid w:val="008E6BC6"/>
    <w:rsid w:val="00904E65"/>
    <w:rsid w:val="00905B6A"/>
    <w:rsid w:val="009216B3"/>
    <w:rsid w:val="009361C2"/>
    <w:rsid w:val="00950E0F"/>
    <w:rsid w:val="0095344B"/>
    <w:rsid w:val="00966EBB"/>
    <w:rsid w:val="0099173A"/>
    <w:rsid w:val="0099477C"/>
    <w:rsid w:val="009A47A2"/>
    <w:rsid w:val="009C4B97"/>
    <w:rsid w:val="009D1E93"/>
    <w:rsid w:val="009D6EA5"/>
    <w:rsid w:val="009E68C1"/>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3484A"/>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67D51"/>
    <w:rsid w:val="00E749DA"/>
    <w:rsid w:val="00ED7321"/>
    <w:rsid w:val="00EF2642"/>
    <w:rsid w:val="00EF3681"/>
    <w:rsid w:val="00EF5523"/>
    <w:rsid w:val="00F00FD0"/>
    <w:rsid w:val="00F015B4"/>
    <w:rsid w:val="00F02A26"/>
    <w:rsid w:val="00F20BC2"/>
    <w:rsid w:val="00F24F0A"/>
    <w:rsid w:val="00F342E4"/>
    <w:rsid w:val="00F44613"/>
    <w:rsid w:val="00F574D8"/>
    <w:rsid w:val="00FB3CB3"/>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FB3CB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line="280" w:lineRule="exact"/>
      <w:jc w:val="center"/>
      <w:textAlignment w:val="auto"/>
    </w:pPr>
    <w:rPr>
      <w:rFonts w:ascii="Times New Roman" w:eastAsia="Times New Roman" w:hAnsi="Times New Roman"/>
      <w:caps/>
      <w:sz w:val="21"/>
      <w:szCs w:val="10"/>
      <w:lang w:val="en-US" w:eastAsia="zh-CN"/>
    </w:rPr>
  </w:style>
  <w:style w:type="character" w:styleId="UnresolvedMention">
    <w:name w:val="Unresolved Mention"/>
    <w:basedOn w:val="DefaultParagraphFont"/>
    <w:uiPriority w:val="99"/>
    <w:semiHidden/>
    <w:unhideWhenUsed/>
    <w:rsid w:val="00E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Pages/connect-2-recover.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2-CL-C-0095/en" TargetMode="External"/><Relationship Id="rId12" Type="http://schemas.openxmlformats.org/officeDocument/2006/relationships/hyperlink" Target="https://www.itu.int/partner2connect-pledges"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dms_pub/itu-s/md/22/sg/cir/S22-SG-CIR-0021%21%21PDF-E.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dms_pub/itu-s/md/22/sg/cir/S22-SG-CIR-0021%21%21PDF-E.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en/ITU-D/Regulatory-Market/Pages/digital-transformation-wheel.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Arnould, Carine</cp:lastModifiedBy>
  <cp:revision>5</cp:revision>
  <dcterms:created xsi:type="dcterms:W3CDTF">2022-09-09T07:11:00Z</dcterms:created>
  <dcterms:modified xsi:type="dcterms:W3CDTF">2022-09-15T12:25:00Z</dcterms:modified>
  <cp:category>Conference document</cp:category>
</cp:coreProperties>
</file>