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B829AA" w14:paraId="4E1E0269" w14:textId="77777777" w:rsidTr="00AB2D04">
        <w:trPr>
          <w:cantSplit/>
        </w:trPr>
        <w:tc>
          <w:tcPr>
            <w:tcW w:w="6629" w:type="dxa"/>
          </w:tcPr>
          <w:p w14:paraId="77DFA0C2" w14:textId="77777777" w:rsidR="001A16ED" w:rsidRPr="00B829AA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B829AA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 w:rsidRPr="00B829AA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B829AA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B829AA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 w:rsidRPr="00B829AA">
              <w:rPr>
                <w:b/>
                <w:bCs/>
                <w:position w:val="6"/>
                <w:szCs w:val="24"/>
              </w:rPr>
              <w:t>Bucharest</w:t>
            </w:r>
            <w:r w:rsidRPr="00B829AA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B829AA">
              <w:rPr>
                <w:b/>
                <w:bCs/>
                <w:position w:val="6"/>
                <w:szCs w:val="24"/>
              </w:rPr>
              <w:t>2</w:t>
            </w:r>
            <w:r w:rsidR="000235EC" w:rsidRPr="00B829AA">
              <w:rPr>
                <w:b/>
                <w:bCs/>
                <w:position w:val="6"/>
                <w:szCs w:val="24"/>
              </w:rPr>
              <w:t>6</w:t>
            </w:r>
            <w:r w:rsidRPr="00B829AA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B829AA">
              <w:rPr>
                <w:b/>
                <w:bCs/>
                <w:position w:val="6"/>
                <w:szCs w:val="24"/>
              </w:rPr>
              <w:t>September</w:t>
            </w:r>
            <w:r w:rsidRPr="00B829AA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B829AA">
              <w:rPr>
                <w:b/>
                <w:bCs/>
                <w:position w:val="6"/>
                <w:szCs w:val="24"/>
              </w:rPr>
              <w:t>1</w:t>
            </w:r>
            <w:r w:rsidR="000235EC" w:rsidRPr="00B829AA">
              <w:rPr>
                <w:b/>
                <w:bCs/>
                <w:position w:val="6"/>
                <w:szCs w:val="24"/>
              </w:rPr>
              <w:t>4</w:t>
            </w:r>
            <w:r w:rsidRPr="00B829AA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B829AA">
              <w:rPr>
                <w:b/>
                <w:bCs/>
                <w:position w:val="6"/>
                <w:szCs w:val="24"/>
              </w:rPr>
              <w:t>October</w:t>
            </w:r>
            <w:r w:rsidRPr="00B829AA">
              <w:rPr>
                <w:b/>
                <w:bCs/>
                <w:position w:val="6"/>
                <w:szCs w:val="24"/>
              </w:rPr>
              <w:t xml:space="preserve"> 20</w:t>
            </w:r>
            <w:r w:rsidR="000235EC" w:rsidRPr="00B829AA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927275D" w14:textId="77777777" w:rsidR="001A16ED" w:rsidRPr="00B829AA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B829AA">
              <w:rPr>
                <w:noProof/>
              </w:rPr>
              <w:drawing>
                <wp:inline distT="0" distB="0" distL="0" distR="0" wp14:anchorId="7960C999" wp14:editId="1122FBA1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B829AA" w14:paraId="4299A81C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704F5800" w14:textId="77777777" w:rsidR="001A16ED" w:rsidRPr="00B829AA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EEFDA62" w14:textId="77777777" w:rsidR="001A16ED" w:rsidRPr="00B829AA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B829AA" w14:paraId="34D8587F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1BD31117" w14:textId="77777777" w:rsidR="001A16ED" w:rsidRPr="00B829AA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B436DCF" w14:textId="77777777" w:rsidR="001A16ED" w:rsidRPr="00B829AA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B829AA" w14:paraId="77ED7E6D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AC7BFC0" w14:textId="77777777" w:rsidR="001A16ED" w:rsidRPr="00B829AA" w:rsidRDefault="00E844D5" w:rsidP="002E77F4">
            <w:pPr>
              <w:pStyle w:val="Committee"/>
              <w:spacing w:after="0"/>
              <w:rPr>
                <w:lang w:val="en-GB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829AA">
              <w:rPr>
                <w:lang w:val="en-GB"/>
              </w:rPr>
              <w:t>PLENARY MEETING</w:t>
            </w:r>
          </w:p>
        </w:tc>
        <w:tc>
          <w:tcPr>
            <w:tcW w:w="3402" w:type="dxa"/>
          </w:tcPr>
          <w:p w14:paraId="0C140AC2" w14:textId="77777777" w:rsidR="001A16ED" w:rsidRPr="00B829A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 w:rsidRPr="00B829AA">
              <w:rPr>
                <w:rFonts w:cstheme="minorHAnsi"/>
                <w:b/>
                <w:szCs w:val="24"/>
              </w:rPr>
              <w:t>Addendum 17 to</w:t>
            </w:r>
            <w:r w:rsidRPr="00B829AA">
              <w:rPr>
                <w:rFonts w:cstheme="minorHAnsi"/>
                <w:b/>
                <w:szCs w:val="24"/>
              </w:rPr>
              <w:br/>
              <w:t>Document 68</w:t>
            </w:r>
            <w:r w:rsidR="00F44B1A" w:rsidRPr="00B829A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B829AA" w14:paraId="2296A004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D182683" w14:textId="77777777" w:rsidR="001A16ED" w:rsidRPr="00B829AA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528A66CD" w14:textId="77777777" w:rsidR="001A16ED" w:rsidRPr="00B829AA" w:rsidRDefault="001A16ED" w:rsidP="003740BC">
            <w:pPr>
              <w:spacing w:before="0"/>
              <w:rPr>
                <w:rFonts w:cstheme="minorHAnsi"/>
                <w:szCs w:val="24"/>
              </w:rPr>
            </w:pPr>
            <w:r w:rsidRPr="00B829AA">
              <w:rPr>
                <w:rFonts w:cstheme="minorHAnsi"/>
                <w:b/>
                <w:szCs w:val="24"/>
              </w:rPr>
              <w:t>18 August 2022</w:t>
            </w:r>
          </w:p>
        </w:tc>
      </w:tr>
      <w:tr w:rsidR="001A16ED" w:rsidRPr="00B829AA" w14:paraId="051B9C5B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7856F41" w14:textId="77777777" w:rsidR="001A16ED" w:rsidRPr="00B829A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2509D420" w14:textId="77777777" w:rsidR="001A16ED" w:rsidRPr="00B829AA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B829AA">
              <w:rPr>
                <w:rFonts w:cstheme="minorHAnsi"/>
                <w:b/>
                <w:szCs w:val="24"/>
              </w:rPr>
              <w:t>Original: Russian</w:t>
            </w:r>
          </w:p>
        </w:tc>
      </w:tr>
      <w:tr w:rsidR="001A16ED" w:rsidRPr="00B829AA" w14:paraId="25501371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F4A028A" w14:textId="77777777" w:rsidR="001A16ED" w:rsidRPr="00B829AA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B829AA" w14:paraId="7785504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C06AF72" w14:textId="1A840EEC" w:rsidR="001A16ED" w:rsidRPr="00B829AA" w:rsidRDefault="001A16ED" w:rsidP="006A046E">
            <w:pPr>
              <w:pStyle w:val="Source"/>
            </w:pPr>
            <w:r w:rsidRPr="00B829AA">
              <w:t xml:space="preserve">ITU Member States, </w:t>
            </w:r>
            <w:r w:rsidR="00852970" w:rsidRPr="00B829AA">
              <w:t xml:space="preserve">members </w:t>
            </w:r>
            <w:r w:rsidRPr="00B829AA">
              <w:t xml:space="preserve">of the </w:t>
            </w:r>
            <w:r w:rsidR="00852970" w:rsidRPr="00B829AA">
              <w:t>Regional Commonwealth in the field of Communications</w:t>
            </w:r>
            <w:r w:rsidRPr="00B829AA">
              <w:t xml:space="preserve"> </w:t>
            </w:r>
            <w:r w:rsidR="00852970" w:rsidRPr="00B829AA">
              <w:t>(</w:t>
            </w:r>
            <w:r w:rsidRPr="00B829AA">
              <w:t>RCC</w:t>
            </w:r>
            <w:r w:rsidR="00852970" w:rsidRPr="00B829AA">
              <w:t>)</w:t>
            </w:r>
          </w:p>
        </w:tc>
      </w:tr>
      <w:tr w:rsidR="001A16ED" w:rsidRPr="00B829AA" w14:paraId="60DAE9E9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0657F8B" w14:textId="4FF18138" w:rsidR="001A16ED" w:rsidRPr="00B829AA" w:rsidRDefault="006E3C43" w:rsidP="006A046E">
            <w:pPr>
              <w:pStyle w:val="Title1"/>
            </w:pPr>
            <w:r w:rsidRPr="00B829AA">
              <w:t>DRAFT NEW</w:t>
            </w:r>
            <w:r w:rsidR="00EE0488" w:rsidRPr="00B829AA">
              <w:t xml:space="preserve"> PP-22</w:t>
            </w:r>
            <w:r w:rsidRPr="00B829AA">
              <w:t xml:space="preserve"> DECISION</w:t>
            </w:r>
            <w:r w:rsidR="004F41EC" w:rsidRPr="00B829AA">
              <w:t xml:space="preserve"> </w:t>
            </w:r>
          </w:p>
        </w:tc>
      </w:tr>
      <w:tr w:rsidR="001A16ED" w:rsidRPr="00B829AA" w14:paraId="1591138A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94C777F" w14:textId="6DFE99FB" w:rsidR="001A16ED" w:rsidRPr="00B829AA" w:rsidRDefault="00C61B88" w:rsidP="006A046E">
            <w:pPr>
              <w:pStyle w:val="Title2"/>
            </w:pPr>
            <w:r w:rsidRPr="00B829AA">
              <w:t>CONDUCT OF ELECT</w:t>
            </w:r>
            <w:r w:rsidR="000E1998" w:rsidRPr="00B829AA">
              <w:t>ION</w:t>
            </w:r>
            <w:r w:rsidRPr="00B829AA">
              <w:t xml:space="preserve"> CAMPAIGNS AND PROCEDURES FOR ELECTI</w:t>
            </w:r>
            <w:r w:rsidR="004F3A42" w:rsidRPr="00B829AA">
              <w:t>ng</w:t>
            </w:r>
            <w:r w:rsidRPr="00B829AA">
              <w:t xml:space="preserve"> THE SECRETARY-GENERAL, DEPUTY SECRETARY-GENERAL, DIRECTORS OF THE BUREAUX OF THE SECTORS AND MEMBERS OF THE RADIO REGULATIONS BOARD</w:t>
            </w:r>
          </w:p>
        </w:tc>
      </w:tr>
      <w:bookmarkEnd w:id="7"/>
      <w:bookmarkEnd w:id="8"/>
    </w:tbl>
    <w:p w14:paraId="7FECB261" w14:textId="77777777" w:rsidR="005334A6" w:rsidRPr="00B829AA" w:rsidRDefault="005334A6" w:rsidP="005334A6"/>
    <w:tbl>
      <w:tblPr>
        <w:tblW w:w="8505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5334A6" w:rsidRPr="00B829AA" w14:paraId="716114DE" w14:textId="77777777" w:rsidTr="00B829AA">
        <w:tc>
          <w:tcPr>
            <w:tcW w:w="8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0A2AF" w14:textId="77777777" w:rsidR="005334A6" w:rsidRPr="00A911F0" w:rsidRDefault="005334A6" w:rsidP="00EA284D">
            <w:pPr>
              <w:pStyle w:val="Headingb"/>
              <w:keepNext w:val="0"/>
              <w:keepLines w:val="0"/>
            </w:pPr>
            <w:r w:rsidRPr="00A911F0">
              <w:t>Summary</w:t>
            </w:r>
          </w:p>
          <w:p w14:paraId="400179F0" w14:textId="25D93A0E" w:rsidR="00144484" w:rsidRPr="00A911F0" w:rsidRDefault="00144484" w:rsidP="00144484">
            <w:r w:rsidRPr="00A911F0">
              <w:t>The Plenipotentiary Conferences of 2014 (PP-14) and 2018 (PP-18) discussed the issue of improving the elect</w:t>
            </w:r>
            <w:r w:rsidR="00A13D92" w:rsidRPr="00A911F0">
              <w:t>ion</w:t>
            </w:r>
            <w:r w:rsidRPr="00A911F0">
              <w:t xml:space="preserve"> process for elected officials, i.e. the Secretary-General,</w:t>
            </w:r>
            <w:r w:rsidR="003D13BF" w:rsidRPr="00A911F0">
              <w:t xml:space="preserve"> the</w:t>
            </w:r>
            <w:r w:rsidRPr="00A911F0">
              <w:t xml:space="preserve"> Deputy Secretary-General and the Directors of the Bureaux. Given the complexity of the issue and the lack of </w:t>
            </w:r>
            <w:r w:rsidR="00A31230" w:rsidRPr="00A911F0">
              <w:t xml:space="preserve">thorough </w:t>
            </w:r>
            <w:r w:rsidR="00A92A37" w:rsidRPr="00A911F0">
              <w:t xml:space="preserve">preparatory </w:t>
            </w:r>
            <w:r w:rsidRPr="00A911F0">
              <w:t xml:space="preserve">work on the matter, </w:t>
            </w:r>
            <w:r w:rsidR="00A31230" w:rsidRPr="00A911F0">
              <w:t>however</w:t>
            </w:r>
            <w:r w:rsidRPr="00A911F0">
              <w:t>, the</w:t>
            </w:r>
            <w:r w:rsidR="00D32B8D" w:rsidRPr="00A911F0">
              <w:t xml:space="preserve"> </w:t>
            </w:r>
            <w:r w:rsidRPr="00A911F0">
              <w:t>conferences were unable to take any specific decisions on changing the existing elect</w:t>
            </w:r>
            <w:r w:rsidR="00A13D92" w:rsidRPr="00A911F0">
              <w:t>ion</w:t>
            </w:r>
            <w:r w:rsidRPr="00A911F0">
              <w:t xml:space="preserve"> proce</w:t>
            </w:r>
            <w:r w:rsidR="00A13D92" w:rsidRPr="00A911F0">
              <w:t>ss</w:t>
            </w:r>
            <w:r w:rsidRPr="00A911F0">
              <w:t>.</w:t>
            </w:r>
          </w:p>
          <w:p w14:paraId="13AFD58A" w14:textId="76122B61" w:rsidR="00144484" w:rsidRPr="00A911F0" w:rsidRDefault="00144484" w:rsidP="00144484">
            <w:r w:rsidRPr="00A911F0">
              <w:t>At PP-18, the proposals on improving the elect</w:t>
            </w:r>
            <w:r w:rsidR="00A13D92" w:rsidRPr="00A911F0">
              <w:t>ion</w:t>
            </w:r>
            <w:r w:rsidRPr="00A911F0">
              <w:t xml:space="preserve"> process were discussed by Committee 5, which produced and submitted to the </w:t>
            </w:r>
            <w:r w:rsidR="003D13BF" w:rsidRPr="00A911F0">
              <w:t>p</w:t>
            </w:r>
            <w:r w:rsidRPr="00A911F0">
              <w:t xml:space="preserve">lenary </w:t>
            </w:r>
            <w:r w:rsidR="003D13BF" w:rsidRPr="00A911F0">
              <w:t>m</w:t>
            </w:r>
            <w:r w:rsidRPr="00A911F0">
              <w:t xml:space="preserve">eeting Document PP-18/155, </w:t>
            </w:r>
            <w:r w:rsidR="00FB7D2D" w:rsidRPr="00A911F0">
              <w:t>containing</w:t>
            </w:r>
            <w:r w:rsidRPr="00A911F0">
              <w:t xml:space="preserve"> a text of </w:t>
            </w:r>
            <w:r w:rsidR="00FB7D2D" w:rsidRPr="00A911F0">
              <w:t xml:space="preserve">these </w:t>
            </w:r>
            <w:r w:rsidRPr="00A911F0">
              <w:t xml:space="preserve">recommendations. The PP-18 </w:t>
            </w:r>
            <w:r w:rsidR="003D13BF" w:rsidRPr="00A911F0">
              <w:t>p</w:t>
            </w:r>
            <w:r w:rsidRPr="00A911F0">
              <w:t xml:space="preserve">lenary </w:t>
            </w:r>
            <w:r w:rsidR="003D13BF" w:rsidRPr="00A911F0">
              <w:t>m</w:t>
            </w:r>
            <w:r w:rsidRPr="00A911F0">
              <w:t>eeting adopted these recommendations (see Document PP-18/173).</w:t>
            </w:r>
          </w:p>
          <w:p w14:paraId="5B9FD171" w14:textId="3217237F" w:rsidR="00144484" w:rsidRPr="00A911F0" w:rsidRDefault="00144484" w:rsidP="00144484">
            <w:r w:rsidRPr="00A911F0">
              <w:t xml:space="preserve">In accordance with Nos. 54-56 of the ITU Constitution, the holding of elections is one of the primary functions of the Plenipotentiary Conference. General approaches and requirements for elections can be found </w:t>
            </w:r>
            <w:r w:rsidR="003D13BF" w:rsidRPr="00A911F0">
              <w:t>in</w:t>
            </w:r>
            <w:r w:rsidRPr="00A911F0">
              <w:t>:</w:t>
            </w:r>
          </w:p>
          <w:p w14:paraId="1D32D2BD" w14:textId="13861EEE" w:rsidR="00144484" w:rsidRPr="00A911F0" w:rsidRDefault="00B829AA" w:rsidP="00B829AA">
            <w:pPr>
              <w:pStyle w:val="enumlev1"/>
            </w:pPr>
            <w:r w:rsidRPr="00A911F0">
              <w:t>–</w:t>
            </w:r>
            <w:r w:rsidR="00144484" w:rsidRPr="00A911F0">
              <w:tab/>
              <w:t>Article 9 of the Constitution, on principles concerning elections and related matters; and</w:t>
            </w:r>
          </w:p>
          <w:p w14:paraId="41CB6BB6" w14:textId="656E4F90" w:rsidR="00144484" w:rsidRPr="00A911F0" w:rsidRDefault="00B829AA" w:rsidP="00B829AA">
            <w:pPr>
              <w:pStyle w:val="enumlev1"/>
            </w:pPr>
            <w:r w:rsidRPr="00A911F0">
              <w:t>–</w:t>
            </w:r>
            <w:r w:rsidR="00144484" w:rsidRPr="00A911F0">
              <w:tab/>
              <w:t>Article 2 of the ITU Convention, on elections and related matters.</w:t>
            </w:r>
          </w:p>
          <w:p w14:paraId="33EFF0CC" w14:textId="4A9A4DDF" w:rsidR="00144484" w:rsidRPr="00A911F0" w:rsidRDefault="00144484" w:rsidP="00144484">
            <w:r w:rsidRPr="00A911F0">
              <w:t>The ITU elect</w:t>
            </w:r>
            <w:r w:rsidR="00A13D92" w:rsidRPr="00A911F0">
              <w:t>ion</w:t>
            </w:r>
            <w:r w:rsidRPr="00A911F0">
              <w:t xml:space="preserve"> process is directly regulated by the rules set out in Chapter III of the General Rules of conferences, assemblies and meetings of the Union (General Rules).</w:t>
            </w:r>
          </w:p>
          <w:p w14:paraId="16F5871F" w14:textId="4D5E8085" w:rsidR="00144484" w:rsidRPr="00A911F0" w:rsidRDefault="00144484" w:rsidP="00144484">
            <w:r w:rsidRPr="00A911F0">
              <w:t xml:space="preserve">The provisions of the above-mentioned </w:t>
            </w:r>
            <w:r w:rsidR="00DF66D9" w:rsidRPr="00A911F0">
              <w:t>b</w:t>
            </w:r>
            <w:r w:rsidRPr="00A911F0">
              <w:t xml:space="preserve">asic </w:t>
            </w:r>
            <w:r w:rsidR="00DF66D9" w:rsidRPr="00A911F0">
              <w:t>t</w:t>
            </w:r>
            <w:r w:rsidRPr="00A911F0">
              <w:t xml:space="preserve">exts of the Union and General Rules apply to all candidates and do not impose any additional restrictions, including on </w:t>
            </w:r>
            <w:r w:rsidR="000621BD" w:rsidRPr="00A911F0">
              <w:t>"</w:t>
            </w:r>
            <w:r w:rsidRPr="00A911F0">
              <w:t>internal</w:t>
            </w:r>
            <w:r w:rsidR="000621BD" w:rsidRPr="00A911F0">
              <w:t>"</w:t>
            </w:r>
            <w:r w:rsidRPr="00A911F0">
              <w:t xml:space="preserve"> candidates from</w:t>
            </w:r>
            <w:r w:rsidR="00F701A5" w:rsidRPr="00A911F0">
              <w:t xml:space="preserve"> among the</w:t>
            </w:r>
            <w:r w:rsidRPr="00A911F0">
              <w:t xml:space="preserve"> staff of the ITU secretariat. However, certain </w:t>
            </w:r>
            <w:r w:rsidR="006101E7" w:rsidRPr="00A911F0">
              <w:lastRenderedPageBreak/>
              <w:t>provisions of</w:t>
            </w:r>
            <w:r w:rsidRPr="00A911F0">
              <w:t xml:space="preserve"> the Staff Regulations and Staff Rules, in particular Regulation 12.2, on appointed staff of the Union standing for election or elected to an elected official post, </w:t>
            </w:r>
            <w:r w:rsidR="005053DD" w:rsidRPr="00A911F0">
              <w:t xml:space="preserve">effectively </w:t>
            </w:r>
            <w:r w:rsidRPr="00A911F0">
              <w:t xml:space="preserve">impose restrictions </w:t>
            </w:r>
            <w:r w:rsidR="00C638E1" w:rsidRPr="00A911F0">
              <w:t xml:space="preserve">on </w:t>
            </w:r>
            <w:r w:rsidRPr="00A911F0">
              <w:t>the participation of appointed staff of the Union in elect</w:t>
            </w:r>
            <w:r w:rsidR="006101E7" w:rsidRPr="00A911F0">
              <w:t>ion</w:t>
            </w:r>
            <w:r w:rsidRPr="00A911F0">
              <w:t xml:space="preserve"> campaigns and </w:t>
            </w:r>
            <w:r w:rsidR="005053DD" w:rsidRPr="00A911F0">
              <w:t>place them on an unequal footing</w:t>
            </w:r>
            <w:r w:rsidR="006101E7" w:rsidRPr="00A911F0">
              <w:t xml:space="preserve"> with</w:t>
            </w:r>
            <w:r w:rsidRPr="00A911F0">
              <w:t xml:space="preserve"> elected officials of the Union, for whom no such restrictions exist.</w:t>
            </w:r>
          </w:p>
          <w:p w14:paraId="644D6EE6" w14:textId="77777777" w:rsidR="00144484" w:rsidRPr="00A911F0" w:rsidRDefault="00144484" w:rsidP="00144484">
            <w:r w:rsidRPr="00A911F0">
              <w:t>Regulation 12.2.1.a) reads:</w:t>
            </w:r>
          </w:p>
          <w:p w14:paraId="09A46811" w14:textId="569D60DE" w:rsidR="00144484" w:rsidRPr="00A911F0" w:rsidRDefault="000621BD" w:rsidP="00144484">
            <w:r w:rsidRPr="00A911F0">
              <w:t>"</w:t>
            </w:r>
            <w:r w:rsidR="00144484" w:rsidRPr="00A911F0">
              <w:t>An appointed staff member of the Union standing for election to one of the elected official posts referred to, respectively, in Article 9 of the Constitution and Article 2 of the Convention of the Union (Geneva, 1992) shall automatically be placed on special leave without pay by the Secretary-General, in accordance with Regulation 5.2 of the Staff Regulations and Staff Rules for appointed staff, with effect from the day following the date of submission of his candidature to the Secretary-General.</w:t>
            </w:r>
            <w:r w:rsidRPr="00A911F0">
              <w:t>"</w:t>
            </w:r>
          </w:p>
          <w:p w14:paraId="033906FB" w14:textId="25D5E6CC" w:rsidR="00144484" w:rsidRPr="00A911F0" w:rsidRDefault="00144484" w:rsidP="00144484">
            <w:r w:rsidRPr="00A911F0">
              <w:t>This provision makes it practically impossible for appointed staff to begin elect</w:t>
            </w:r>
            <w:r w:rsidR="006101E7" w:rsidRPr="00A911F0">
              <w:t>ion</w:t>
            </w:r>
            <w:r w:rsidRPr="00A911F0">
              <w:t xml:space="preserve"> campaigns </w:t>
            </w:r>
            <w:r w:rsidR="00334BB8" w:rsidRPr="00A911F0">
              <w:t>in good time</w:t>
            </w:r>
            <w:r w:rsidRPr="00A911F0">
              <w:t xml:space="preserve">, as many, if not most, ITU Member States, in particular developing countries, are not </w:t>
            </w:r>
            <w:r w:rsidR="00411F95" w:rsidRPr="00A911F0">
              <w:t>prepared</w:t>
            </w:r>
            <w:r w:rsidRPr="00A911F0">
              <w:t xml:space="preserve"> to </w:t>
            </w:r>
            <w:r w:rsidR="00411F95" w:rsidRPr="00A911F0">
              <w:t>cover the costs of</w:t>
            </w:r>
            <w:r w:rsidRPr="00A911F0">
              <w:t xml:space="preserve"> their candidates</w:t>
            </w:r>
            <w:r w:rsidR="000621BD" w:rsidRPr="00A911F0">
              <w:t>'</w:t>
            </w:r>
            <w:r w:rsidRPr="00A911F0">
              <w:t xml:space="preserve"> </w:t>
            </w:r>
            <w:r w:rsidR="005053DD" w:rsidRPr="00A911F0">
              <w:t xml:space="preserve">unpaid </w:t>
            </w:r>
            <w:r w:rsidRPr="00A911F0">
              <w:t xml:space="preserve">leave. Consequently, many candidates from the appointed staff of the Union wait until </w:t>
            </w:r>
            <w:r w:rsidR="00411F95" w:rsidRPr="00A911F0">
              <w:t xml:space="preserve">only </w:t>
            </w:r>
            <w:r w:rsidRPr="00A911F0">
              <w:t xml:space="preserve">28 days prior to </w:t>
            </w:r>
            <w:r w:rsidR="005053DD" w:rsidRPr="00A911F0">
              <w:t xml:space="preserve">a </w:t>
            </w:r>
            <w:r w:rsidRPr="00A911F0">
              <w:t xml:space="preserve">plenipotentiary conference before officially submitting their candidatures (see No. 170 of the General Rules), which </w:t>
            </w:r>
            <w:r w:rsidR="007842BB" w:rsidRPr="00A911F0">
              <w:t xml:space="preserve">in practice makes it impossible for them </w:t>
            </w:r>
            <w:r w:rsidRPr="00A911F0">
              <w:t>to participate effectively in campaign activities.</w:t>
            </w:r>
          </w:p>
          <w:p w14:paraId="3DCD8481" w14:textId="38D6A4E3" w:rsidR="00144484" w:rsidRPr="00A911F0" w:rsidRDefault="00144484" w:rsidP="00144484">
            <w:r w:rsidRPr="00A911F0">
              <w:t>The same text is repeated in Regulation XI.2.1.a) of the Staff Regulations and Staff Rules for elected officials.</w:t>
            </w:r>
          </w:p>
          <w:p w14:paraId="106120FC" w14:textId="21F01010" w:rsidR="00144484" w:rsidRPr="00A911F0" w:rsidRDefault="00144484" w:rsidP="00144484">
            <w:r w:rsidRPr="00A911F0">
              <w:t>At the same time, the absence of any formal restrictions on the participation of elected officials in elect</w:t>
            </w:r>
            <w:r w:rsidR="004243C7" w:rsidRPr="00A911F0">
              <w:t>ion</w:t>
            </w:r>
            <w:r w:rsidRPr="00A911F0">
              <w:t xml:space="preserve"> campaigns and their broad involvement in various </w:t>
            </w:r>
            <w:r w:rsidR="004243C7" w:rsidRPr="00A911F0">
              <w:t>events</w:t>
            </w:r>
            <w:r w:rsidRPr="00A911F0">
              <w:t xml:space="preserve"> organized by ITU, Member States and regional telecommunication organizations give these candidates </w:t>
            </w:r>
            <w:r w:rsidR="005053DD" w:rsidRPr="00A911F0">
              <w:t xml:space="preserve">certain </w:t>
            </w:r>
            <w:r w:rsidRPr="00A911F0">
              <w:t>advantages in promoting their candidatures</w:t>
            </w:r>
            <w:r w:rsidR="004243C7" w:rsidRPr="00A911F0">
              <w:t xml:space="preserve"> over</w:t>
            </w:r>
            <w:r w:rsidRPr="00A911F0">
              <w:t xml:space="preserve"> other candidates from ITU Member States, whether they are appointed staff of the Union or not.</w:t>
            </w:r>
          </w:p>
          <w:p w14:paraId="431F5B88" w14:textId="3A016264" w:rsidR="00EA284D" w:rsidRPr="00A911F0" w:rsidRDefault="00144484" w:rsidP="00144484">
            <w:pPr>
              <w:spacing w:after="120"/>
            </w:pPr>
            <w:r w:rsidRPr="00A911F0">
              <w:t>In 2021, the ITU Council approved by correspondence guidelines on ethical aspects of certain campaign activities prior to a plenipotentiary conference (see Annex 3 to Document C21/4(Rev.1)</w:t>
            </w:r>
            <w:r w:rsidR="00D94C8B" w:rsidRPr="00A911F0">
              <w:t>)</w:t>
            </w:r>
            <w:r w:rsidRPr="00A911F0">
              <w:t xml:space="preserve">, which contain a whole series of </w:t>
            </w:r>
            <w:r w:rsidR="00FE12AE" w:rsidRPr="00A911F0">
              <w:t xml:space="preserve">very </w:t>
            </w:r>
            <w:r w:rsidRPr="00A911F0">
              <w:t>useful and necessary provisions and recommendations; however, they do not eliminate this inequality and, strictly speaking, the document is not binding.</w:t>
            </w:r>
          </w:p>
          <w:p w14:paraId="559FA2DA" w14:textId="1A3E64AF" w:rsidR="00EA284D" w:rsidRPr="00A911F0" w:rsidRDefault="00144484" w:rsidP="00EA284D">
            <w:pPr>
              <w:pStyle w:val="Headingb"/>
            </w:pPr>
            <w:r w:rsidRPr="00A911F0">
              <w:t>Action required</w:t>
            </w:r>
          </w:p>
          <w:p w14:paraId="0A647108" w14:textId="46E4ED1C" w:rsidR="00144484" w:rsidRPr="00A911F0" w:rsidRDefault="00144484" w:rsidP="00144484">
            <w:pPr>
              <w:spacing w:after="120"/>
            </w:pPr>
            <w:r w:rsidRPr="00A911F0">
              <w:t xml:space="preserve">The </w:t>
            </w:r>
            <w:r w:rsidR="004243C7" w:rsidRPr="00A911F0">
              <w:t xml:space="preserve">RCC </w:t>
            </w:r>
            <w:r w:rsidRPr="00A911F0">
              <w:t xml:space="preserve">member </w:t>
            </w:r>
            <w:r w:rsidR="004243C7" w:rsidRPr="00A911F0">
              <w:t>A</w:t>
            </w:r>
            <w:r w:rsidRPr="00A911F0">
              <w:t xml:space="preserve">dministrations </w:t>
            </w:r>
            <w:r w:rsidR="004243C7" w:rsidRPr="00A911F0">
              <w:t xml:space="preserve">propose </w:t>
            </w:r>
            <w:r w:rsidR="00D94C8B" w:rsidRPr="00A911F0">
              <w:t>that</w:t>
            </w:r>
            <w:r w:rsidR="004243C7" w:rsidRPr="00A911F0">
              <w:t xml:space="preserve"> the</w:t>
            </w:r>
            <w:r w:rsidRPr="00A911F0">
              <w:t xml:space="preserve"> proposal for a new Decision on </w:t>
            </w:r>
            <w:bookmarkStart w:id="9" w:name="_Hlk112155018"/>
            <w:r w:rsidR="00F16121" w:rsidRPr="00A911F0">
              <w:t xml:space="preserve">the </w:t>
            </w:r>
            <w:r w:rsidR="004243C7" w:rsidRPr="00A911F0">
              <w:t>conduct</w:t>
            </w:r>
            <w:r w:rsidRPr="00A911F0">
              <w:t xml:space="preserve"> of elect</w:t>
            </w:r>
            <w:r w:rsidR="004243C7" w:rsidRPr="00A911F0">
              <w:t>ion</w:t>
            </w:r>
            <w:r w:rsidRPr="00A911F0">
              <w:t xml:space="preserve"> campaigns and </w:t>
            </w:r>
            <w:r w:rsidR="00F16121" w:rsidRPr="00A911F0">
              <w:t xml:space="preserve">procedures for </w:t>
            </w:r>
            <w:r w:rsidRPr="00A911F0">
              <w:t>electi</w:t>
            </w:r>
            <w:r w:rsidR="00D94C8B" w:rsidRPr="00A911F0">
              <w:t>ng</w:t>
            </w:r>
            <w:r w:rsidRPr="00A911F0">
              <w:t xml:space="preserve"> the Secretary-General, Deputy Secretary-General, Directors of the Bureaux of the Sectors and members of the Radio Regulations Board</w:t>
            </w:r>
            <w:bookmarkEnd w:id="9"/>
            <w:r w:rsidR="00D94C8B" w:rsidRPr="00A911F0">
              <w:t xml:space="preserve"> be considered</w:t>
            </w:r>
            <w:r w:rsidRPr="00A911F0">
              <w:t>, with a view to its adoption by the</w:t>
            </w:r>
            <w:r w:rsidR="00D94C8B" w:rsidRPr="00A911F0">
              <w:t xml:space="preserve"> 2022</w:t>
            </w:r>
            <w:r w:rsidRPr="00A911F0">
              <w:t xml:space="preserve"> Plenipotentiary Conference.</w:t>
            </w:r>
          </w:p>
          <w:p w14:paraId="4F2F1ACB" w14:textId="66A95D12" w:rsidR="005334A6" w:rsidRPr="00A911F0" w:rsidRDefault="005334A6" w:rsidP="003B2E60">
            <w:pPr>
              <w:spacing w:after="120"/>
              <w:jc w:val="center"/>
            </w:pPr>
            <w:r w:rsidRPr="00A911F0">
              <w:t>____________</w:t>
            </w:r>
          </w:p>
          <w:p w14:paraId="5D23BC3B" w14:textId="4328AA24" w:rsidR="005334A6" w:rsidRPr="00A911F0" w:rsidRDefault="0093467F" w:rsidP="003B2E60">
            <w:pPr>
              <w:pStyle w:val="Headingb"/>
              <w:spacing w:before="120" w:after="120"/>
            </w:pPr>
            <w:r w:rsidRPr="00A911F0">
              <w:t>References</w:t>
            </w:r>
          </w:p>
          <w:p w14:paraId="3EF8FF25" w14:textId="77777777" w:rsidR="005334A6" w:rsidRPr="00A911F0" w:rsidRDefault="005334A6" w:rsidP="003B2E60">
            <w:pPr>
              <w:spacing w:after="120"/>
              <w:rPr>
                <w:bCs/>
                <w:i/>
                <w:iCs/>
              </w:rPr>
            </w:pPr>
            <w:r w:rsidRPr="00A911F0">
              <w:t>-</w:t>
            </w:r>
          </w:p>
        </w:tc>
      </w:tr>
    </w:tbl>
    <w:p w14:paraId="7970F53D" w14:textId="77777777" w:rsidR="00EA284D" w:rsidRPr="00B829AA" w:rsidRDefault="00EA284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829AA">
        <w:lastRenderedPageBreak/>
        <w:br w:type="page"/>
      </w:r>
    </w:p>
    <w:p w14:paraId="2995F5CE" w14:textId="77777777" w:rsidR="00B829AA" w:rsidRPr="00B829AA" w:rsidRDefault="00B829AA" w:rsidP="00B829AA"/>
    <w:p w14:paraId="6381B966" w14:textId="539C2DCD" w:rsidR="00426B9E" w:rsidRPr="00B829AA" w:rsidRDefault="00852970">
      <w:pPr>
        <w:pStyle w:val="Proposal"/>
      </w:pPr>
      <w:r w:rsidRPr="00B829AA">
        <w:t>ADD</w:t>
      </w:r>
      <w:r w:rsidRPr="00B829AA">
        <w:tab/>
        <w:t>RCC/68A17/1</w:t>
      </w:r>
    </w:p>
    <w:p w14:paraId="02B26EFA" w14:textId="25F497BE" w:rsidR="00426B9E" w:rsidRPr="00B829AA" w:rsidRDefault="00852970">
      <w:pPr>
        <w:pStyle w:val="DecNo"/>
      </w:pPr>
      <w:r w:rsidRPr="00B829AA">
        <w:t>Draft New Decision [RCC-</w:t>
      </w:r>
      <w:r w:rsidR="00EA284D" w:rsidRPr="00B829AA">
        <w:t>1</w:t>
      </w:r>
      <w:r w:rsidRPr="00B829AA">
        <w:t>]</w:t>
      </w:r>
    </w:p>
    <w:p w14:paraId="12581609" w14:textId="034C90B2" w:rsidR="00426B9E" w:rsidRPr="00B829AA" w:rsidRDefault="00A538C2">
      <w:pPr>
        <w:pStyle w:val="Dectitle"/>
      </w:pPr>
      <w:r w:rsidRPr="00B829AA">
        <w:t>C</w:t>
      </w:r>
      <w:r w:rsidR="0093467F" w:rsidRPr="00B829AA">
        <w:t>onduct of elect</w:t>
      </w:r>
      <w:r w:rsidR="009F7CA3" w:rsidRPr="00B829AA">
        <w:t>ion</w:t>
      </w:r>
      <w:r w:rsidR="0093467F" w:rsidRPr="00B829AA">
        <w:t xml:space="preserve"> campaigns and </w:t>
      </w:r>
      <w:r w:rsidR="00C61B88" w:rsidRPr="00B829AA">
        <w:t xml:space="preserve">procedures for </w:t>
      </w:r>
      <w:r w:rsidR="0093467F" w:rsidRPr="00B829AA">
        <w:t>electi</w:t>
      </w:r>
      <w:r w:rsidR="004F3A42" w:rsidRPr="00B829AA">
        <w:t>ng</w:t>
      </w:r>
      <w:r w:rsidR="0093467F" w:rsidRPr="00B829AA">
        <w:t xml:space="preserve"> the Secretary-General, Deputy Secretary-General, Directors of the Bureaux of the Sectors and members</w:t>
      </w:r>
      <w:r w:rsidR="000621BD">
        <w:t> </w:t>
      </w:r>
      <w:r w:rsidR="0093467F" w:rsidRPr="00B829AA">
        <w:t>of</w:t>
      </w:r>
      <w:r w:rsidR="000621BD">
        <w:t> </w:t>
      </w:r>
      <w:r w:rsidR="0093467F" w:rsidRPr="00B829AA">
        <w:t>the Radio Regulations Board</w:t>
      </w:r>
    </w:p>
    <w:p w14:paraId="6D14E9B2" w14:textId="526B476D" w:rsidR="00EA284D" w:rsidRPr="00B829AA" w:rsidRDefault="00EA284D" w:rsidP="000621BD">
      <w:pPr>
        <w:pStyle w:val="Normalaftertitle"/>
      </w:pPr>
      <w:r w:rsidRPr="00B829AA">
        <w:t>The Plenipotentiary Conference of the International Telecommunication Union (Bucharest, 2022),</w:t>
      </w:r>
    </w:p>
    <w:p w14:paraId="78A00AFE" w14:textId="52D401E0" w:rsidR="00852970" w:rsidRPr="00B829AA" w:rsidRDefault="00852970" w:rsidP="00852970">
      <w:pPr>
        <w:pStyle w:val="Call"/>
      </w:pPr>
      <w:r w:rsidRPr="00B829AA">
        <w:t>considering</w:t>
      </w:r>
    </w:p>
    <w:p w14:paraId="665D59E5" w14:textId="60F10221" w:rsidR="00852970" w:rsidRPr="00B829AA" w:rsidRDefault="00852970" w:rsidP="00852970">
      <w:r w:rsidRPr="00B829AA">
        <w:rPr>
          <w:i/>
          <w:iCs/>
          <w:shd w:val="clear" w:color="auto" w:fill="FFFFFF"/>
        </w:rPr>
        <w:t>a)</w:t>
      </w:r>
      <w:r w:rsidRPr="00B829AA">
        <w:rPr>
          <w:i/>
          <w:iCs/>
          <w:shd w:val="clear" w:color="auto" w:fill="FFFFFF"/>
        </w:rPr>
        <w:tab/>
      </w:r>
      <w:r w:rsidR="0093467F" w:rsidRPr="00B829AA">
        <w:rPr>
          <w:shd w:val="clear" w:color="auto" w:fill="FFFFFF"/>
        </w:rPr>
        <w:t>that</w:t>
      </w:r>
      <w:r w:rsidR="009559FD" w:rsidRPr="00B829AA">
        <w:rPr>
          <w:shd w:val="clear" w:color="auto" w:fill="FFFFFF"/>
        </w:rPr>
        <w:t>, in accordance with Nos.</w:t>
      </w:r>
      <w:r w:rsidR="000621BD">
        <w:rPr>
          <w:shd w:val="clear" w:color="auto" w:fill="FFFFFF"/>
        </w:rPr>
        <w:t> </w:t>
      </w:r>
      <w:r w:rsidR="009559FD" w:rsidRPr="00B829AA">
        <w:rPr>
          <w:shd w:val="clear" w:color="auto" w:fill="FFFFFF"/>
        </w:rPr>
        <w:t>54</w:t>
      </w:r>
      <w:r w:rsidR="000621BD">
        <w:rPr>
          <w:shd w:val="clear" w:color="auto" w:fill="FFFFFF"/>
        </w:rPr>
        <w:noBreakHyphen/>
      </w:r>
      <w:r w:rsidR="009559FD" w:rsidRPr="00B829AA">
        <w:rPr>
          <w:shd w:val="clear" w:color="auto" w:fill="FFFFFF"/>
        </w:rPr>
        <w:t>56 of the ITU Constitution,</w:t>
      </w:r>
      <w:r w:rsidR="0093467F" w:rsidRPr="00B829AA">
        <w:rPr>
          <w:shd w:val="clear" w:color="auto" w:fill="FFFFFF"/>
        </w:rPr>
        <w:t xml:space="preserve"> </w:t>
      </w:r>
      <w:r w:rsidRPr="00B829AA">
        <w:t>the Plenipotentiary Conference elects the Secretary-General, the Deputy Secretary-General, the Directors of the Bureaux</w:t>
      </w:r>
      <w:r w:rsidR="00B829AA" w:rsidRPr="00B829AA">
        <w:t xml:space="preserve"> </w:t>
      </w:r>
      <w:r w:rsidRPr="00B829AA">
        <w:t xml:space="preserve">of the </w:t>
      </w:r>
      <w:r w:rsidR="009559FD" w:rsidRPr="00B829AA">
        <w:t>Sectors,</w:t>
      </w:r>
      <w:r w:rsidRPr="00B829AA">
        <w:t xml:space="preserve"> </w:t>
      </w:r>
      <w:r w:rsidR="008419EC" w:rsidRPr="00B829AA">
        <w:t xml:space="preserve">the </w:t>
      </w:r>
      <w:r w:rsidRPr="00B829AA">
        <w:t xml:space="preserve">members of the Radio Regulations Board (RRB) </w:t>
      </w:r>
      <w:r w:rsidR="009559FD" w:rsidRPr="00B829AA">
        <w:t>and the Member States which are to serve on the ITU Council</w:t>
      </w:r>
      <w:r w:rsidRPr="00B829AA">
        <w:t>;</w:t>
      </w:r>
    </w:p>
    <w:p w14:paraId="2E6F2AD7" w14:textId="4B0273E9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  <w:i/>
          <w:iCs/>
        </w:rPr>
        <w:t>b)</w:t>
      </w:r>
      <w:r w:rsidRPr="00B829AA">
        <w:rPr>
          <w:rFonts w:eastAsia="Calibri"/>
        </w:rPr>
        <w:tab/>
      </w:r>
      <w:r w:rsidR="009C28B0" w:rsidRPr="00B829AA">
        <w:rPr>
          <w:rFonts w:eastAsia="Calibri"/>
        </w:rPr>
        <w:t>that provision</w:t>
      </w:r>
      <w:r w:rsidR="00D202B6" w:rsidRPr="00B829AA">
        <w:rPr>
          <w:rFonts w:eastAsia="Calibri"/>
        </w:rPr>
        <w:t>s</w:t>
      </w:r>
      <w:r w:rsidR="009C28B0" w:rsidRPr="00B829AA">
        <w:rPr>
          <w:rFonts w:eastAsia="Calibri"/>
        </w:rPr>
        <w:t xml:space="preserve"> concerning elections and related matters are set out </w:t>
      </w:r>
      <w:r w:rsidR="008419EC" w:rsidRPr="00B829AA">
        <w:rPr>
          <w:rFonts w:eastAsia="Calibri"/>
        </w:rPr>
        <w:t xml:space="preserve">in </w:t>
      </w:r>
      <w:r w:rsidR="009C28B0" w:rsidRPr="00B829AA">
        <w:rPr>
          <w:rFonts w:eastAsia="Calibri"/>
        </w:rPr>
        <w:t>Article</w:t>
      </w:r>
      <w:r w:rsidR="000621BD">
        <w:rPr>
          <w:rFonts w:eastAsia="Calibri"/>
        </w:rPr>
        <w:t> </w:t>
      </w:r>
      <w:r w:rsidR="009C28B0" w:rsidRPr="00B829AA">
        <w:rPr>
          <w:rFonts w:eastAsia="Calibri"/>
        </w:rPr>
        <w:t>9 of the Constitution and Article</w:t>
      </w:r>
      <w:r w:rsidR="000621BD">
        <w:rPr>
          <w:rFonts w:eastAsia="Calibri"/>
        </w:rPr>
        <w:t> </w:t>
      </w:r>
      <w:r w:rsidR="009C28B0" w:rsidRPr="00B829AA">
        <w:rPr>
          <w:rFonts w:eastAsia="Calibri"/>
        </w:rPr>
        <w:t>2 of the ITU Convention</w:t>
      </w:r>
      <w:r w:rsidRPr="00B829AA">
        <w:rPr>
          <w:rFonts w:eastAsia="Calibri"/>
        </w:rPr>
        <w:t>;</w:t>
      </w:r>
    </w:p>
    <w:p w14:paraId="79CB4C99" w14:textId="15534F7A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  <w:i/>
          <w:iCs/>
        </w:rPr>
        <w:t>c)</w:t>
      </w:r>
      <w:r w:rsidRPr="00B829AA">
        <w:rPr>
          <w:rFonts w:eastAsia="Calibri"/>
        </w:rPr>
        <w:tab/>
      </w:r>
      <w:r w:rsidR="00D202B6" w:rsidRPr="00B829AA">
        <w:rPr>
          <w:rFonts w:eastAsia="Calibri"/>
        </w:rPr>
        <w:t>that election procedures are set out in Chapter</w:t>
      </w:r>
      <w:r w:rsidR="000621BD">
        <w:rPr>
          <w:rFonts w:eastAsia="Calibri"/>
        </w:rPr>
        <w:t> </w:t>
      </w:r>
      <w:r w:rsidR="00D202B6" w:rsidRPr="00B829AA">
        <w:rPr>
          <w:rFonts w:eastAsia="Calibri"/>
        </w:rPr>
        <w:t>III of the General Rules of conferences, assemblies and meetings of the Union (General Rules)</w:t>
      </w:r>
      <w:r w:rsidRPr="00B829AA">
        <w:rPr>
          <w:rFonts w:eastAsia="Calibri"/>
        </w:rPr>
        <w:t>;</w:t>
      </w:r>
    </w:p>
    <w:p w14:paraId="07468943" w14:textId="73532C91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  <w:i/>
          <w:iCs/>
        </w:rPr>
        <w:t>d)</w:t>
      </w:r>
      <w:r w:rsidRPr="00B829AA">
        <w:rPr>
          <w:rFonts w:eastAsia="Calibri"/>
        </w:rPr>
        <w:tab/>
      </w:r>
      <w:r w:rsidR="00D202B6" w:rsidRPr="00B829AA">
        <w:rPr>
          <w:rFonts w:eastAsia="Calibri"/>
        </w:rPr>
        <w:t>that</w:t>
      </w:r>
      <w:r w:rsidR="00FC1F5B" w:rsidRPr="00B829AA">
        <w:rPr>
          <w:rFonts w:eastAsia="Calibri"/>
        </w:rPr>
        <w:t>,</w:t>
      </w:r>
      <w:r w:rsidR="00D202B6" w:rsidRPr="00B829AA">
        <w:rPr>
          <w:rFonts w:eastAsia="Calibri"/>
        </w:rPr>
        <w:t xml:space="preserve"> </w:t>
      </w:r>
      <w:r w:rsidR="00FC1F5B" w:rsidRPr="00B829AA">
        <w:rPr>
          <w:rFonts w:eastAsia="Calibri"/>
        </w:rPr>
        <w:t xml:space="preserve">at least six months prior to the opening of </w:t>
      </w:r>
      <w:r w:rsidR="00312A65" w:rsidRPr="00B829AA">
        <w:rPr>
          <w:rFonts w:eastAsia="Calibri"/>
        </w:rPr>
        <w:t>a plenipotentiary</w:t>
      </w:r>
      <w:r w:rsidR="00FC1F5B" w:rsidRPr="00B829AA">
        <w:rPr>
          <w:rFonts w:eastAsia="Calibri"/>
        </w:rPr>
        <w:t xml:space="preserve"> conference, </w:t>
      </w:r>
      <w:r w:rsidR="00D202B6" w:rsidRPr="00B829AA">
        <w:rPr>
          <w:rFonts w:eastAsia="Calibri"/>
        </w:rPr>
        <w:t>the Secretary-General shall invite Member States</w:t>
      </w:r>
      <w:r w:rsidR="00FC1F5B" w:rsidRPr="00B829AA">
        <w:rPr>
          <w:rFonts w:eastAsia="Calibri"/>
        </w:rPr>
        <w:t xml:space="preserve"> to submit </w:t>
      </w:r>
      <w:proofErr w:type="gramStart"/>
      <w:r w:rsidR="00FC1F5B" w:rsidRPr="00B829AA">
        <w:rPr>
          <w:rFonts w:eastAsia="Calibri"/>
        </w:rPr>
        <w:t>candidatures</w:t>
      </w:r>
      <w:r w:rsidRPr="00B829AA">
        <w:rPr>
          <w:rFonts w:eastAsia="Calibri"/>
        </w:rPr>
        <w:t>;</w:t>
      </w:r>
      <w:proofErr w:type="gramEnd"/>
    </w:p>
    <w:p w14:paraId="380C9699" w14:textId="5FE0EF70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  <w:i/>
          <w:iCs/>
        </w:rPr>
        <w:t>e)</w:t>
      </w:r>
      <w:r w:rsidRPr="00B829AA">
        <w:rPr>
          <w:rFonts w:eastAsia="Calibri"/>
        </w:rPr>
        <w:tab/>
      </w:r>
      <w:r w:rsidR="00FC1F5B" w:rsidRPr="00B829AA">
        <w:rPr>
          <w:rFonts w:eastAsia="Calibri"/>
        </w:rPr>
        <w:t>that candidatures and curricula vitae</w:t>
      </w:r>
      <w:r w:rsidR="000F4F0A" w:rsidRPr="00B829AA">
        <w:rPr>
          <w:rFonts w:eastAsia="Calibri"/>
        </w:rPr>
        <w:t xml:space="preserve"> must reach the Secretary-General not later than 2359</w:t>
      </w:r>
      <w:r w:rsidR="008E50F2">
        <w:rPr>
          <w:rFonts w:eastAsia="Calibri"/>
        </w:rPr>
        <w:t> </w:t>
      </w:r>
      <w:r w:rsidR="000F4F0A" w:rsidRPr="00B829AA">
        <w:rPr>
          <w:rFonts w:eastAsia="Calibri"/>
        </w:rPr>
        <w:t>hours (Geneva time) on the twenty-eighth</w:t>
      </w:r>
      <w:r w:rsidR="00C147BB" w:rsidRPr="00B829AA">
        <w:rPr>
          <w:rFonts w:eastAsia="Calibri"/>
        </w:rPr>
        <w:t xml:space="preserve"> day prior to the conference</w:t>
      </w:r>
      <w:r w:rsidRPr="00B829AA">
        <w:rPr>
          <w:rFonts w:eastAsia="Calibri"/>
        </w:rPr>
        <w:t>;</w:t>
      </w:r>
    </w:p>
    <w:p w14:paraId="55FA3B74" w14:textId="0588BA61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  <w:i/>
          <w:iCs/>
        </w:rPr>
        <w:t>f)</w:t>
      </w:r>
      <w:r w:rsidRPr="00B829AA">
        <w:rPr>
          <w:rFonts w:eastAsia="Calibri"/>
        </w:rPr>
        <w:tab/>
      </w:r>
      <w:r w:rsidR="00C31F47" w:rsidRPr="00B829AA">
        <w:rPr>
          <w:rFonts w:eastAsia="Calibri"/>
        </w:rPr>
        <w:t xml:space="preserve">that the above-mentioned </w:t>
      </w:r>
      <w:r w:rsidR="00DF66D9" w:rsidRPr="00B829AA">
        <w:rPr>
          <w:rFonts w:eastAsia="Calibri"/>
        </w:rPr>
        <w:t>b</w:t>
      </w:r>
      <w:r w:rsidR="00C31F47" w:rsidRPr="00B829AA">
        <w:rPr>
          <w:rFonts w:eastAsia="Calibri"/>
        </w:rPr>
        <w:t xml:space="preserve">asic </w:t>
      </w:r>
      <w:r w:rsidR="00DF66D9" w:rsidRPr="00B829AA">
        <w:rPr>
          <w:rFonts w:eastAsia="Calibri"/>
        </w:rPr>
        <w:t>t</w:t>
      </w:r>
      <w:r w:rsidR="00C31F47" w:rsidRPr="00B829AA">
        <w:rPr>
          <w:rFonts w:eastAsia="Calibri"/>
        </w:rPr>
        <w:t xml:space="preserve">exts of the Union and the General Rules contain no provisions defining the process and procedures to be followed by candidates during </w:t>
      </w:r>
      <w:r w:rsidR="00756108" w:rsidRPr="00B829AA">
        <w:rPr>
          <w:rFonts w:eastAsia="Calibri"/>
        </w:rPr>
        <w:t>elect</w:t>
      </w:r>
      <w:r w:rsidR="00312A65" w:rsidRPr="00B829AA">
        <w:rPr>
          <w:rFonts w:eastAsia="Calibri"/>
        </w:rPr>
        <w:t>ion</w:t>
      </w:r>
      <w:r w:rsidR="00756108" w:rsidRPr="00B829AA">
        <w:rPr>
          <w:rFonts w:eastAsia="Calibri"/>
        </w:rPr>
        <w:t xml:space="preserve"> </w:t>
      </w:r>
      <w:r w:rsidR="00C31F47" w:rsidRPr="00B829AA">
        <w:rPr>
          <w:rFonts w:eastAsia="Calibri"/>
        </w:rPr>
        <w:t>campaign</w:t>
      </w:r>
      <w:r w:rsidR="00312A65" w:rsidRPr="00B829AA">
        <w:rPr>
          <w:rFonts w:eastAsia="Calibri"/>
        </w:rPr>
        <w:t>s</w:t>
      </w:r>
      <w:r w:rsidRPr="00B829AA">
        <w:rPr>
          <w:rFonts w:eastAsia="Calibri"/>
        </w:rPr>
        <w:t>;</w:t>
      </w:r>
    </w:p>
    <w:p w14:paraId="7BC7C31A" w14:textId="34F63431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  <w:i/>
          <w:iCs/>
        </w:rPr>
        <w:t>g)</w:t>
      </w:r>
      <w:r w:rsidRPr="00B829AA">
        <w:rPr>
          <w:rFonts w:eastAsia="Calibri"/>
        </w:rPr>
        <w:tab/>
      </w:r>
      <w:r w:rsidR="00756108" w:rsidRPr="00B829AA">
        <w:rPr>
          <w:rFonts w:eastAsia="Calibri"/>
        </w:rPr>
        <w:t xml:space="preserve">that the process for the participation of </w:t>
      </w:r>
      <w:r w:rsidR="005F4195" w:rsidRPr="00B829AA">
        <w:rPr>
          <w:rFonts w:eastAsia="Calibri"/>
        </w:rPr>
        <w:t xml:space="preserve">candidates from </w:t>
      </w:r>
      <w:r w:rsidR="008E68FC" w:rsidRPr="00B829AA">
        <w:rPr>
          <w:rFonts w:eastAsia="Calibri"/>
        </w:rPr>
        <w:t xml:space="preserve">among </w:t>
      </w:r>
      <w:r w:rsidR="005F4195" w:rsidRPr="00B829AA">
        <w:rPr>
          <w:rFonts w:eastAsia="Calibri"/>
        </w:rPr>
        <w:t xml:space="preserve">the staff of </w:t>
      </w:r>
      <w:r w:rsidR="00756108" w:rsidRPr="00B829AA">
        <w:rPr>
          <w:rFonts w:eastAsia="Calibri"/>
        </w:rPr>
        <w:t>the secretariat, including elected officials, is defined in the Staff R</w:t>
      </w:r>
      <w:r w:rsidR="005F4195" w:rsidRPr="00B829AA">
        <w:rPr>
          <w:rFonts w:eastAsia="Calibri"/>
        </w:rPr>
        <w:t>egulations and Staff Rules applicable to appointed staff and in the Staff Regulations and Staff Rules for elected officials</w:t>
      </w:r>
      <w:r w:rsidRPr="00B829AA">
        <w:rPr>
          <w:rFonts w:eastAsia="Calibri"/>
        </w:rPr>
        <w:t>;</w:t>
      </w:r>
    </w:p>
    <w:p w14:paraId="3994C737" w14:textId="0649F356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  <w:i/>
          <w:iCs/>
        </w:rPr>
        <w:t>h)</w:t>
      </w:r>
      <w:r w:rsidRPr="00B829AA">
        <w:rPr>
          <w:rFonts w:eastAsia="Calibri"/>
        </w:rPr>
        <w:tab/>
      </w:r>
      <w:r w:rsidR="005F4195" w:rsidRPr="00B829AA">
        <w:rPr>
          <w:rFonts w:eastAsia="Calibri"/>
        </w:rPr>
        <w:t xml:space="preserve">that the provisions referred to in </w:t>
      </w:r>
      <w:r w:rsidR="00312A65" w:rsidRPr="00B829AA">
        <w:rPr>
          <w:rFonts w:eastAsia="Calibri"/>
          <w:i/>
          <w:iCs/>
        </w:rPr>
        <w:t>considering</w:t>
      </w:r>
      <w:r w:rsidR="008E50F2">
        <w:rPr>
          <w:rFonts w:eastAsia="Calibri"/>
          <w:i/>
          <w:iCs/>
        </w:rPr>
        <w:t> </w:t>
      </w:r>
      <w:r w:rsidR="005F4195" w:rsidRPr="008E50F2">
        <w:rPr>
          <w:rFonts w:eastAsia="Calibri"/>
          <w:i/>
          <w:iCs/>
        </w:rPr>
        <w:t>g)</w:t>
      </w:r>
      <w:r w:rsidR="005F4195" w:rsidRPr="00B829AA">
        <w:rPr>
          <w:rFonts w:eastAsia="Calibri"/>
        </w:rPr>
        <w:t xml:space="preserve"> above</w:t>
      </w:r>
      <w:r w:rsidR="005113AE" w:rsidRPr="00B829AA">
        <w:rPr>
          <w:rFonts w:eastAsia="Calibri"/>
        </w:rPr>
        <w:t xml:space="preserve"> </w:t>
      </w:r>
      <w:r w:rsidR="008E68FC" w:rsidRPr="00B829AA">
        <w:rPr>
          <w:rFonts w:eastAsia="Calibri"/>
        </w:rPr>
        <w:t xml:space="preserve">and </w:t>
      </w:r>
      <w:r w:rsidR="005113AE" w:rsidRPr="00B829AA">
        <w:rPr>
          <w:rFonts w:eastAsia="Calibri"/>
        </w:rPr>
        <w:t xml:space="preserve">current practice </w:t>
      </w:r>
      <w:r w:rsidR="008E68FC" w:rsidRPr="00B829AA">
        <w:rPr>
          <w:rFonts w:eastAsia="Calibri"/>
        </w:rPr>
        <w:t xml:space="preserve">do not </w:t>
      </w:r>
      <w:r w:rsidR="005113AE" w:rsidRPr="00B829AA">
        <w:rPr>
          <w:rFonts w:eastAsia="Calibri"/>
        </w:rPr>
        <w:t xml:space="preserve">ensure </w:t>
      </w:r>
      <w:r w:rsidR="008E68FC" w:rsidRPr="00B829AA">
        <w:rPr>
          <w:rFonts w:eastAsia="Calibri"/>
        </w:rPr>
        <w:t>the same conditions</w:t>
      </w:r>
      <w:r w:rsidR="005113AE" w:rsidRPr="00B829AA">
        <w:rPr>
          <w:rFonts w:eastAsia="Calibri"/>
        </w:rPr>
        <w:t xml:space="preserve"> for all candidates</w:t>
      </w:r>
      <w:r w:rsidRPr="00B829AA">
        <w:rPr>
          <w:rFonts w:eastAsia="Calibri"/>
        </w:rPr>
        <w:t>;</w:t>
      </w:r>
    </w:p>
    <w:p w14:paraId="1BAB4BBE" w14:textId="00D77740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  <w:i/>
          <w:iCs/>
        </w:rPr>
        <w:t>i)</w:t>
      </w:r>
      <w:r w:rsidRPr="00B829AA">
        <w:rPr>
          <w:rFonts w:eastAsia="Calibri"/>
        </w:rPr>
        <w:tab/>
      </w:r>
      <w:r w:rsidR="005113AE" w:rsidRPr="00B829AA">
        <w:rPr>
          <w:rFonts w:eastAsia="Calibri"/>
        </w:rPr>
        <w:t xml:space="preserve">that measures </w:t>
      </w:r>
      <w:r w:rsidR="008E68FC" w:rsidRPr="00B829AA">
        <w:rPr>
          <w:rFonts w:eastAsia="Calibri"/>
        </w:rPr>
        <w:t xml:space="preserve">need to </w:t>
      </w:r>
      <w:r w:rsidR="005113AE" w:rsidRPr="00B829AA">
        <w:rPr>
          <w:rFonts w:eastAsia="Calibri"/>
        </w:rPr>
        <w:t xml:space="preserve">be taken to </w:t>
      </w:r>
      <w:r w:rsidR="008E68FC" w:rsidRPr="00B829AA">
        <w:rPr>
          <w:rFonts w:eastAsia="Calibri"/>
        </w:rPr>
        <w:t>ensure that</w:t>
      </w:r>
      <w:r w:rsidR="005113AE" w:rsidRPr="00B829AA">
        <w:rPr>
          <w:rFonts w:eastAsia="Calibri"/>
        </w:rPr>
        <w:t xml:space="preserve"> all candidates</w:t>
      </w:r>
      <w:r w:rsidR="008E68FC" w:rsidRPr="00B829AA">
        <w:rPr>
          <w:rFonts w:eastAsia="Calibri"/>
        </w:rPr>
        <w:t xml:space="preserve"> have the opportunity to participate on an equal footing</w:t>
      </w:r>
      <w:r w:rsidR="005113AE" w:rsidRPr="00B829AA">
        <w:rPr>
          <w:rFonts w:eastAsia="Calibri"/>
        </w:rPr>
        <w:t xml:space="preserve"> and </w:t>
      </w:r>
      <w:r w:rsidR="008E68FC" w:rsidRPr="00B829AA">
        <w:rPr>
          <w:rFonts w:eastAsia="Calibri"/>
        </w:rPr>
        <w:t xml:space="preserve">to </w:t>
      </w:r>
      <w:r w:rsidR="00691807" w:rsidRPr="00B829AA">
        <w:rPr>
          <w:rFonts w:eastAsia="Calibri"/>
        </w:rPr>
        <w:t xml:space="preserve">enhance </w:t>
      </w:r>
      <w:r w:rsidR="005113AE" w:rsidRPr="00B829AA">
        <w:rPr>
          <w:rFonts w:eastAsia="Calibri"/>
        </w:rPr>
        <w:t xml:space="preserve">transparency, </w:t>
      </w:r>
      <w:r w:rsidR="00691807" w:rsidRPr="00B829AA">
        <w:rPr>
          <w:rFonts w:eastAsia="Calibri"/>
        </w:rPr>
        <w:t>integrity</w:t>
      </w:r>
      <w:r w:rsidR="005113AE" w:rsidRPr="00B829AA">
        <w:rPr>
          <w:rFonts w:eastAsia="Calibri"/>
        </w:rPr>
        <w:t xml:space="preserve"> and impartiality </w:t>
      </w:r>
      <w:r w:rsidR="00312A65" w:rsidRPr="00B829AA">
        <w:rPr>
          <w:rFonts w:eastAsia="Calibri"/>
        </w:rPr>
        <w:t>in</w:t>
      </w:r>
      <w:r w:rsidR="005113AE" w:rsidRPr="00B829AA">
        <w:rPr>
          <w:rFonts w:eastAsia="Calibri"/>
        </w:rPr>
        <w:t xml:space="preserve"> </w:t>
      </w:r>
      <w:r w:rsidR="00312A65" w:rsidRPr="00B829AA">
        <w:rPr>
          <w:rFonts w:eastAsia="Calibri"/>
        </w:rPr>
        <w:t xml:space="preserve">the conduct of </w:t>
      </w:r>
      <w:r w:rsidR="005113AE" w:rsidRPr="00B829AA">
        <w:rPr>
          <w:rFonts w:eastAsia="Calibri"/>
        </w:rPr>
        <w:t>elect</w:t>
      </w:r>
      <w:r w:rsidR="00312A65" w:rsidRPr="00B829AA">
        <w:rPr>
          <w:rFonts w:eastAsia="Calibri"/>
        </w:rPr>
        <w:t>ion</w:t>
      </w:r>
      <w:r w:rsidR="005113AE" w:rsidRPr="00B829AA">
        <w:rPr>
          <w:rFonts w:eastAsia="Calibri"/>
        </w:rPr>
        <w:t xml:space="preserve"> campaign</w:t>
      </w:r>
      <w:r w:rsidR="00312A65" w:rsidRPr="00B829AA">
        <w:rPr>
          <w:rFonts w:eastAsia="Calibri"/>
        </w:rPr>
        <w:t>s</w:t>
      </w:r>
      <w:r w:rsidR="005113AE" w:rsidRPr="00B829AA">
        <w:rPr>
          <w:rFonts w:eastAsia="Calibri"/>
        </w:rPr>
        <w:t xml:space="preserve"> and elections</w:t>
      </w:r>
      <w:r w:rsidRPr="00B829AA">
        <w:rPr>
          <w:rFonts w:eastAsia="Calibri"/>
        </w:rPr>
        <w:t>;</w:t>
      </w:r>
    </w:p>
    <w:p w14:paraId="15858BCC" w14:textId="65067F94" w:rsidR="00852970" w:rsidRPr="00A911F0" w:rsidRDefault="00852970" w:rsidP="00852970">
      <w:pPr>
        <w:rPr>
          <w:rFonts w:eastAsia="Calibri"/>
        </w:rPr>
      </w:pPr>
      <w:r w:rsidRPr="00A911F0">
        <w:rPr>
          <w:rFonts w:eastAsia="Calibri"/>
          <w:i/>
          <w:iCs/>
        </w:rPr>
        <w:t>j)</w:t>
      </w:r>
      <w:r w:rsidRPr="00A911F0">
        <w:rPr>
          <w:rFonts w:eastAsia="Calibri"/>
        </w:rPr>
        <w:tab/>
      </w:r>
      <w:r w:rsidR="00691807" w:rsidRPr="00A911F0">
        <w:rPr>
          <w:rFonts w:eastAsia="Calibri"/>
        </w:rPr>
        <w:t>that the Plenipotentiary Conference (Dubai, 2018) instructed the Council to conduct a comprehensive study on possible improvements of the ITU elect</w:t>
      </w:r>
      <w:r w:rsidR="00DB468E" w:rsidRPr="00A911F0">
        <w:rPr>
          <w:rFonts w:eastAsia="Calibri"/>
        </w:rPr>
        <w:t>ion</w:t>
      </w:r>
      <w:r w:rsidR="00691807" w:rsidRPr="00A911F0">
        <w:rPr>
          <w:rFonts w:eastAsia="Calibri"/>
        </w:rPr>
        <w:t xml:space="preserve"> process as a whole, </w:t>
      </w:r>
      <w:proofErr w:type="gramStart"/>
      <w:r w:rsidR="00691807" w:rsidRPr="00A911F0">
        <w:rPr>
          <w:rFonts w:eastAsia="Calibri"/>
        </w:rPr>
        <w:t>in particular on</w:t>
      </w:r>
      <w:proofErr w:type="gramEnd"/>
      <w:r w:rsidR="00691807" w:rsidRPr="00A911F0">
        <w:rPr>
          <w:rFonts w:eastAsia="Calibri"/>
        </w:rPr>
        <w:t xml:space="preserve"> the need for a revision of the General Rules related to election procedures, including studies for holding hearings and</w:t>
      </w:r>
      <w:r w:rsidR="00B86659" w:rsidRPr="00A911F0">
        <w:rPr>
          <w:rFonts w:eastAsia="Calibri"/>
        </w:rPr>
        <w:t xml:space="preserve"> to amend</w:t>
      </w:r>
      <w:r w:rsidR="00691807" w:rsidRPr="00A911F0">
        <w:rPr>
          <w:rFonts w:eastAsia="Calibri"/>
        </w:rPr>
        <w:t>, if necessary, the ITU Staff Regulations and Staff Rules applicable to appointed staff</w:t>
      </w:r>
      <w:r w:rsidR="00B86659" w:rsidRPr="00A911F0">
        <w:rPr>
          <w:rFonts w:eastAsia="Calibri"/>
        </w:rPr>
        <w:t xml:space="preserve"> and the Staff Regulations and Staff Rules for elected officials</w:t>
      </w:r>
      <w:r w:rsidRPr="00A911F0">
        <w:rPr>
          <w:rFonts w:eastAsia="Calibri"/>
        </w:rPr>
        <w:t>,</w:t>
      </w:r>
    </w:p>
    <w:p w14:paraId="3F50C76F" w14:textId="239EE0C6" w:rsidR="00852970" w:rsidRPr="00A911F0" w:rsidRDefault="00B86659" w:rsidP="00852970">
      <w:pPr>
        <w:pStyle w:val="Call"/>
        <w:rPr>
          <w:rFonts w:eastAsia="Calibri"/>
        </w:rPr>
      </w:pPr>
      <w:r w:rsidRPr="00A911F0">
        <w:rPr>
          <w:rFonts w:eastAsia="Calibri"/>
        </w:rPr>
        <w:lastRenderedPageBreak/>
        <w:t>noting</w:t>
      </w:r>
    </w:p>
    <w:p w14:paraId="18FFBB41" w14:textId="07459E91" w:rsidR="00852970" w:rsidRPr="00A911F0" w:rsidRDefault="00B86659" w:rsidP="00852970">
      <w:pPr>
        <w:rPr>
          <w:rFonts w:eastAsia="Calibri"/>
        </w:rPr>
      </w:pPr>
      <w:r w:rsidRPr="00A911F0">
        <w:rPr>
          <w:rFonts w:eastAsia="Calibri"/>
        </w:rPr>
        <w:t xml:space="preserve">the work carried out by Member States, the Council and the secretariat </w:t>
      </w:r>
      <w:r w:rsidR="00776B67" w:rsidRPr="00A911F0">
        <w:rPr>
          <w:rFonts w:eastAsia="Calibri"/>
        </w:rPr>
        <w:t xml:space="preserve">to </w:t>
      </w:r>
      <w:r w:rsidRPr="00A911F0">
        <w:rPr>
          <w:rFonts w:eastAsia="Calibri"/>
        </w:rPr>
        <w:t>fulfil the instructions of the 2018 Plenipotentiary Conference on th</w:t>
      </w:r>
      <w:r w:rsidR="00776B67" w:rsidRPr="00A911F0">
        <w:rPr>
          <w:rFonts w:eastAsia="Calibri"/>
        </w:rPr>
        <w:t>is</w:t>
      </w:r>
      <w:r w:rsidRPr="00A911F0">
        <w:rPr>
          <w:rFonts w:eastAsia="Calibri"/>
        </w:rPr>
        <w:t xml:space="preserve"> matter</w:t>
      </w:r>
      <w:r w:rsidR="000B1FC7" w:rsidRPr="00A911F0">
        <w:rPr>
          <w:rFonts w:eastAsia="Calibri"/>
        </w:rPr>
        <w:t>, including the approval by the Member States of the Council, through consultation by correspondence, of guidelines on ethical aspects of certain campaign activities prior to the plenipotentiary conference</w:t>
      </w:r>
      <w:r w:rsidR="00852970" w:rsidRPr="00A911F0">
        <w:rPr>
          <w:rFonts w:eastAsia="Calibri"/>
        </w:rPr>
        <w:t>,</w:t>
      </w:r>
    </w:p>
    <w:p w14:paraId="25BF5C7F" w14:textId="0B703AA9" w:rsidR="00852970" w:rsidRPr="00A911F0" w:rsidRDefault="000B1FC7" w:rsidP="00852970">
      <w:pPr>
        <w:pStyle w:val="Call"/>
        <w:rPr>
          <w:rFonts w:eastAsia="Calibri"/>
        </w:rPr>
      </w:pPr>
      <w:r w:rsidRPr="00A911F0">
        <w:rPr>
          <w:rFonts w:eastAsia="Calibri"/>
        </w:rPr>
        <w:t>taking into account</w:t>
      </w:r>
    </w:p>
    <w:p w14:paraId="394C2A3C" w14:textId="1DFC392D" w:rsidR="00852970" w:rsidRPr="00B829AA" w:rsidRDefault="000B1FC7" w:rsidP="00852970">
      <w:pPr>
        <w:rPr>
          <w:rFonts w:eastAsia="Calibri"/>
        </w:rPr>
      </w:pPr>
      <w:r w:rsidRPr="00A911F0">
        <w:rPr>
          <w:rFonts w:eastAsia="Calibri"/>
        </w:rPr>
        <w:t xml:space="preserve">the experience of </w:t>
      </w:r>
      <w:r w:rsidR="00A26F45" w:rsidRPr="00A911F0">
        <w:rPr>
          <w:rFonts w:eastAsia="Calibri"/>
        </w:rPr>
        <w:t>sister organizations</w:t>
      </w:r>
      <w:r w:rsidR="00776B67" w:rsidRPr="00A911F0">
        <w:rPr>
          <w:rFonts w:eastAsia="Calibri"/>
        </w:rPr>
        <w:t>,</w:t>
      </w:r>
      <w:r w:rsidR="00A26F45" w:rsidRPr="00A911F0">
        <w:rPr>
          <w:rFonts w:eastAsia="Calibri"/>
        </w:rPr>
        <w:t xml:space="preserve"> such as the International Labour Organization, the World Health Organization, the World Intellectual Property Organization, the United Nations Industrial Development </w:t>
      </w:r>
      <w:proofErr w:type="gramStart"/>
      <w:r w:rsidR="00A26F45" w:rsidRPr="00A911F0">
        <w:rPr>
          <w:rFonts w:eastAsia="Calibri"/>
        </w:rPr>
        <w:t>Organization</w:t>
      </w:r>
      <w:proofErr w:type="gramEnd"/>
      <w:r w:rsidR="00A26F45" w:rsidRPr="00A911F0">
        <w:rPr>
          <w:rFonts w:eastAsia="Calibri"/>
        </w:rPr>
        <w:t xml:space="preserve"> and the United Nations General Assembly</w:t>
      </w:r>
      <w:r w:rsidR="00776B67" w:rsidRPr="00A911F0">
        <w:rPr>
          <w:rFonts w:eastAsia="Calibri"/>
        </w:rPr>
        <w:t>, etc.,</w:t>
      </w:r>
      <w:r w:rsidR="00A26F45" w:rsidRPr="00A911F0">
        <w:rPr>
          <w:rFonts w:eastAsia="Calibri"/>
        </w:rPr>
        <w:t xml:space="preserve"> in relation to the selection and election of the executive heads of United Nations system organizations</w:t>
      </w:r>
      <w:r w:rsidR="00852970" w:rsidRPr="00A911F0">
        <w:rPr>
          <w:rFonts w:eastAsia="Calibri"/>
        </w:rPr>
        <w:t>,</w:t>
      </w:r>
    </w:p>
    <w:p w14:paraId="39FD1F2E" w14:textId="0E03DFE5" w:rsidR="00852970" w:rsidRPr="00B829AA" w:rsidRDefault="00244D25" w:rsidP="00852970">
      <w:pPr>
        <w:pStyle w:val="Call"/>
        <w:rPr>
          <w:rFonts w:eastAsia="Calibri"/>
        </w:rPr>
      </w:pPr>
      <w:r w:rsidRPr="00B829AA">
        <w:rPr>
          <w:rFonts w:eastAsia="Calibri"/>
        </w:rPr>
        <w:t>decides</w:t>
      </w:r>
    </w:p>
    <w:p w14:paraId="3EA20A51" w14:textId="06A06575" w:rsidR="00852970" w:rsidRPr="00B829AA" w:rsidRDefault="00852970" w:rsidP="00852970">
      <w:pPr>
        <w:rPr>
          <w:rFonts w:eastAsia="Calibri"/>
          <w:sz w:val="26"/>
          <w:szCs w:val="26"/>
        </w:rPr>
      </w:pPr>
      <w:r w:rsidRPr="00B829AA">
        <w:rPr>
          <w:rFonts w:eastAsia="Calibri"/>
        </w:rPr>
        <w:t>1</w:t>
      </w:r>
      <w:r w:rsidRPr="00B829AA">
        <w:rPr>
          <w:rFonts w:eastAsia="Calibri"/>
        </w:rPr>
        <w:tab/>
      </w:r>
      <w:r w:rsidR="004017D3" w:rsidRPr="00B829AA">
        <w:rPr>
          <w:rFonts w:eastAsia="Calibri"/>
        </w:rPr>
        <w:t>that candidates for the posts of Secretary-General, Deputy Secretary-General, Directors of the Bureaux of the Sectors and members</w:t>
      </w:r>
      <w:r w:rsidR="002C0627" w:rsidRPr="00B829AA">
        <w:rPr>
          <w:rFonts w:eastAsia="Calibri"/>
        </w:rPr>
        <w:t xml:space="preserve"> of RRB</w:t>
      </w:r>
      <w:r w:rsidR="004017D3" w:rsidRPr="00B829AA">
        <w:rPr>
          <w:rFonts w:eastAsia="Calibri"/>
        </w:rPr>
        <w:t xml:space="preserve"> shall have equal rights and opportunities to conduct elect</w:t>
      </w:r>
      <w:r w:rsidR="002C0627" w:rsidRPr="00B829AA">
        <w:rPr>
          <w:rFonts w:eastAsia="Calibri"/>
        </w:rPr>
        <w:t>ion</w:t>
      </w:r>
      <w:r w:rsidR="004017D3" w:rsidRPr="00B829AA">
        <w:rPr>
          <w:rFonts w:eastAsia="Calibri"/>
        </w:rPr>
        <w:t xml:space="preserve"> campaign</w:t>
      </w:r>
      <w:r w:rsidR="002C0627" w:rsidRPr="00B829AA">
        <w:rPr>
          <w:rFonts w:eastAsia="Calibri"/>
        </w:rPr>
        <w:t>s</w:t>
      </w:r>
      <w:r w:rsidR="004017D3" w:rsidRPr="00B829AA">
        <w:rPr>
          <w:rFonts w:eastAsia="Calibri"/>
        </w:rPr>
        <w:t xml:space="preserve">, present </w:t>
      </w:r>
      <w:r w:rsidR="002C0627" w:rsidRPr="00B829AA">
        <w:rPr>
          <w:rFonts w:eastAsia="Calibri"/>
        </w:rPr>
        <w:t>manifestos an</w:t>
      </w:r>
      <w:r w:rsidR="004017D3" w:rsidRPr="00B829AA">
        <w:rPr>
          <w:rFonts w:eastAsia="Calibri"/>
        </w:rPr>
        <w:t>d interact with members of the Union;</w:t>
      </w:r>
    </w:p>
    <w:p w14:paraId="6972A0C3" w14:textId="73B5FDF4" w:rsidR="00852970" w:rsidRPr="00B829AA" w:rsidRDefault="00852970" w:rsidP="00852970">
      <w:pPr>
        <w:rPr>
          <w:rFonts w:eastAsia="Calibri"/>
          <w:sz w:val="26"/>
          <w:szCs w:val="26"/>
        </w:rPr>
      </w:pPr>
      <w:r w:rsidRPr="00B829AA">
        <w:rPr>
          <w:rFonts w:eastAsia="Calibri"/>
        </w:rPr>
        <w:t>2</w:t>
      </w:r>
      <w:r w:rsidRPr="00B829AA">
        <w:rPr>
          <w:rFonts w:eastAsia="Calibri"/>
        </w:rPr>
        <w:tab/>
      </w:r>
      <w:r w:rsidR="004017D3" w:rsidRPr="00B829AA">
        <w:rPr>
          <w:rFonts w:eastAsia="Calibri"/>
        </w:rPr>
        <w:t>that elected officials</w:t>
      </w:r>
      <w:r w:rsidR="00ED6830" w:rsidRPr="00B829AA">
        <w:rPr>
          <w:rFonts w:eastAsia="Calibri"/>
        </w:rPr>
        <w:t xml:space="preserve">, </w:t>
      </w:r>
      <w:r w:rsidR="007A08DC" w:rsidRPr="00B829AA">
        <w:rPr>
          <w:rFonts w:eastAsia="Calibri"/>
        </w:rPr>
        <w:t>and also</w:t>
      </w:r>
      <w:r w:rsidR="00ED6830" w:rsidRPr="00B829AA">
        <w:rPr>
          <w:rFonts w:eastAsia="Calibri"/>
        </w:rPr>
        <w:t xml:space="preserve"> appointed staff of the ITU secretariat, </w:t>
      </w:r>
      <w:r w:rsidR="0063218F" w:rsidRPr="00B829AA">
        <w:rPr>
          <w:rFonts w:eastAsia="Calibri"/>
        </w:rPr>
        <w:t xml:space="preserve">who </w:t>
      </w:r>
      <w:r w:rsidR="00ED6830" w:rsidRPr="00B829AA">
        <w:rPr>
          <w:rFonts w:eastAsia="Calibri"/>
        </w:rPr>
        <w:t>have been nominated by their Member States for re-election or election to another elected post</w:t>
      </w:r>
      <w:r w:rsidR="00863E2C" w:rsidRPr="00B829AA">
        <w:rPr>
          <w:rFonts w:eastAsia="Calibri"/>
        </w:rPr>
        <w:t xml:space="preserve"> shall conduct elect</w:t>
      </w:r>
      <w:r w:rsidR="002C0627" w:rsidRPr="00B829AA">
        <w:rPr>
          <w:rFonts w:eastAsia="Calibri"/>
        </w:rPr>
        <w:t>ion</w:t>
      </w:r>
      <w:r w:rsidR="00863E2C" w:rsidRPr="00B829AA">
        <w:rPr>
          <w:rFonts w:eastAsia="Calibri"/>
        </w:rPr>
        <w:t xml:space="preserve"> campaign activities exclusively at their own expense and away from locations hosting events being held with the involvement of ITU and its resources;</w:t>
      </w:r>
    </w:p>
    <w:p w14:paraId="6D8E42C9" w14:textId="5C6EFC24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3</w:t>
      </w:r>
      <w:r w:rsidRPr="00B829AA">
        <w:rPr>
          <w:rFonts w:eastAsia="Calibri"/>
        </w:rPr>
        <w:tab/>
      </w:r>
      <w:r w:rsidR="00E26BD0" w:rsidRPr="00B829AA">
        <w:rPr>
          <w:rFonts w:eastAsia="Calibri"/>
        </w:rPr>
        <w:t xml:space="preserve">that </w:t>
      </w:r>
      <w:r w:rsidR="007A08DC" w:rsidRPr="00B829AA">
        <w:rPr>
          <w:rFonts w:eastAsia="Calibri"/>
        </w:rPr>
        <w:t>procedures</w:t>
      </w:r>
      <w:r w:rsidR="00E26BD0" w:rsidRPr="00B829AA">
        <w:rPr>
          <w:rFonts w:eastAsia="Calibri"/>
        </w:rPr>
        <w:t xml:space="preserve"> for electi</w:t>
      </w:r>
      <w:r w:rsidR="0063218F" w:rsidRPr="00B829AA">
        <w:rPr>
          <w:rFonts w:eastAsia="Calibri"/>
        </w:rPr>
        <w:t>ng</w:t>
      </w:r>
      <w:r w:rsidR="00E26BD0" w:rsidRPr="00B829AA">
        <w:rPr>
          <w:rFonts w:eastAsia="Calibri"/>
        </w:rPr>
        <w:t xml:space="preserve"> elected officials, including rules on campaigning, </w:t>
      </w:r>
      <w:r w:rsidR="007A08DC" w:rsidRPr="00B829AA">
        <w:rPr>
          <w:rFonts w:eastAsia="Calibri"/>
        </w:rPr>
        <w:t>and the</w:t>
      </w:r>
      <w:r w:rsidR="00E26BD0" w:rsidRPr="00B829AA">
        <w:rPr>
          <w:rFonts w:eastAsia="Calibri"/>
        </w:rPr>
        <w:t xml:space="preserve"> process </w:t>
      </w:r>
      <w:r w:rsidR="007A08DC" w:rsidRPr="00B829AA">
        <w:rPr>
          <w:rFonts w:eastAsia="Calibri"/>
        </w:rPr>
        <w:t xml:space="preserve">of </w:t>
      </w:r>
      <w:r w:rsidR="00E26BD0" w:rsidRPr="00B829AA">
        <w:rPr>
          <w:rFonts w:eastAsia="Calibri"/>
        </w:rPr>
        <w:t>and procedures</w:t>
      </w:r>
      <w:r w:rsidR="007A08DC" w:rsidRPr="00B829AA">
        <w:rPr>
          <w:rFonts w:eastAsia="Calibri"/>
        </w:rPr>
        <w:t xml:space="preserve"> for holding elections</w:t>
      </w:r>
      <w:r w:rsidR="00E26BD0" w:rsidRPr="00B829AA">
        <w:rPr>
          <w:rFonts w:eastAsia="Calibri"/>
        </w:rPr>
        <w:t xml:space="preserve"> based on the principles of fairness, equality, transparency, integrity, dignity and mutual respect</w:t>
      </w:r>
      <w:r w:rsidR="005575E3" w:rsidRPr="00B829AA">
        <w:rPr>
          <w:rFonts w:eastAsia="Calibri"/>
        </w:rPr>
        <w:t>,</w:t>
      </w:r>
      <w:r w:rsidR="00E26BD0" w:rsidRPr="00B829AA">
        <w:rPr>
          <w:rFonts w:eastAsia="Calibri"/>
        </w:rPr>
        <w:t xml:space="preserve"> </w:t>
      </w:r>
      <w:r w:rsidR="007A08DC" w:rsidRPr="00B829AA">
        <w:rPr>
          <w:rFonts w:eastAsia="Calibri"/>
        </w:rPr>
        <w:t xml:space="preserve">need to </w:t>
      </w:r>
      <w:r w:rsidR="00E26BD0" w:rsidRPr="00B829AA">
        <w:rPr>
          <w:rFonts w:eastAsia="Calibri"/>
        </w:rPr>
        <w:t>be further improved;</w:t>
      </w:r>
    </w:p>
    <w:p w14:paraId="05A51315" w14:textId="66C4B186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4</w:t>
      </w:r>
      <w:r w:rsidRPr="00B829AA">
        <w:rPr>
          <w:rFonts w:eastAsia="Calibri"/>
        </w:rPr>
        <w:tab/>
      </w:r>
      <w:r w:rsidR="00033478" w:rsidRPr="00B829AA">
        <w:rPr>
          <w:rFonts w:eastAsia="Calibri"/>
        </w:rPr>
        <w:t>that proposals made by the Member States of the Union</w:t>
      </w:r>
      <w:r w:rsidR="007A08DC" w:rsidRPr="00B829AA">
        <w:rPr>
          <w:rFonts w:eastAsia="Calibri"/>
        </w:rPr>
        <w:t xml:space="preserve"> and </w:t>
      </w:r>
      <w:r w:rsidR="00EC63FE" w:rsidRPr="00B829AA">
        <w:rPr>
          <w:rFonts w:eastAsia="Calibri"/>
        </w:rPr>
        <w:t xml:space="preserve">the practical experience of other United Nations system </w:t>
      </w:r>
      <w:r w:rsidR="007A08DC" w:rsidRPr="00B829AA">
        <w:rPr>
          <w:rFonts w:eastAsia="Calibri"/>
        </w:rPr>
        <w:t>agencies</w:t>
      </w:r>
      <w:r w:rsidR="00EC63FE" w:rsidRPr="00B829AA">
        <w:rPr>
          <w:rFonts w:eastAsia="Calibri"/>
        </w:rPr>
        <w:t xml:space="preserve"> shall be taken into account in drafting </w:t>
      </w:r>
      <w:r w:rsidR="007A08DC" w:rsidRPr="00B829AA">
        <w:rPr>
          <w:rFonts w:eastAsia="Calibri"/>
        </w:rPr>
        <w:t xml:space="preserve">documents </w:t>
      </w:r>
      <w:r w:rsidR="00EC63FE" w:rsidRPr="00B829AA">
        <w:rPr>
          <w:rFonts w:eastAsia="Calibri"/>
        </w:rPr>
        <w:t>governing elect</w:t>
      </w:r>
      <w:r w:rsidR="002C0627" w:rsidRPr="00B829AA">
        <w:rPr>
          <w:rFonts w:eastAsia="Calibri"/>
        </w:rPr>
        <w:t>ion</w:t>
      </w:r>
      <w:r w:rsidR="00EC63FE" w:rsidRPr="00B829AA">
        <w:rPr>
          <w:rFonts w:eastAsia="Calibri"/>
        </w:rPr>
        <w:t xml:space="preserve"> processes</w:t>
      </w:r>
      <w:r w:rsidRPr="00B829AA">
        <w:rPr>
          <w:rFonts w:eastAsia="Calibri"/>
        </w:rPr>
        <w:t>,</w:t>
      </w:r>
    </w:p>
    <w:p w14:paraId="28D9BC0F" w14:textId="2E41012F" w:rsidR="00852970" w:rsidRPr="00B829AA" w:rsidRDefault="005B189F" w:rsidP="00852970">
      <w:pPr>
        <w:pStyle w:val="Call"/>
        <w:rPr>
          <w:rFonts w:eastAsia="Calibri"/>
        </w:rPr>
      </w:pPr>
      <w:r w:rsidRPr="00B829AA">
        <w:rPr>
          <w:rFonts w:eastAsia="Calibri"/>
        </w:rPr>
        <w:t>i</w:t>
      </w:r>
      <w:r w:rsidR="00EC63FE" w:rsidRPr="00B829AA">
        <w:rPr>
          <w:rFonts w:eastAsia="Calibri"/>
        </w:rPr>
        <w:t>nstructs the Secretary-General</w:t>
      </w:r>
    </w:p>
    <w:p w14:paraId="44106477" w14:textId="159BE89B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1</w:t>
      </w:r>
      <w:r w:rsidRPr="00B829AA">
        <w:rPr>
          <w:rFonts w:eastAsia="Calibri"/>
        </w:rPr>
        <w:tab/>
      </w:r>
      <w:r w:rsidR="00C1070B" w:rsidRPr="00B829AA">
        <w:rPr>
          <w:rFonts w:eastAsia="Calibri"/>
        </w:rPr>
        <w:t>to invite, in accordance with No.</w:t>
      </w:r>
      <w:r w:rsidR="008E50F2">
        <w:rPr>
          <w:rFonts w:eastAsia="Calibri"/>
        </w:rPr>
        <w:t> </w:t>
      </w:r>
      <w:r w:rsidR="00C1070B" w:rsidRPr="00B829AA">
        <w:rPr>
          <w:rFonts w:eastAsia="Calibri"/>
        </w:rPr>
        <w:t>168 of the General Rules, ITU Member States to submit can</w:t>
      </w:r>
      <w:r w:rsidR="00F10EBB" w:rsidRPr="00B829AA">
        <w:rPr>
          <w:rFonts w:eastAsia="Calibri"/>
        </w:rPr>
        <w:t>d</w:t>
      </w:r>
      <w:r w:rsidR="00C1070B" w:rsidRPr="00B829AA">
        <w:rPr>
          <w:rFonts w:eastAsia="Calibri"/>
        </w:rPr>
        <w:t>idatures for the posts of Secretary-General, Deputy Secretary-General, Directors of the Bureaux of the Sectors and member</w:t>
      </w:r>
      <w:r w:rsidR="006C2F14" w:rsidRPr="00B829AA">
        <w:rPr>
          <w:rFonts w:eastAsia="Calibri"/>
        </w:rPr>
        <w:t>s</w:t>
      </w:r>
      <w:r w:rsidR="00C1070B" w:rsidRPr="00B829AA">
        <w:rPr>
          <w:rFonts w:eastAsia="Calibri"/>
        </w:rPr>
        <w:t xml:space="preserve"> of </w:t>
      </w:r>
      <w:r w:rsidR="002C0627" w:rsidRPr="00B829AA">
        <w:rPr>
          <w:rFonts w:eastAsia="Calibri"/>
        </w:rPr>
        <w:t>RRB</w:t>
      </w:r>
      <w:r w:rsidR="00C1070B" w:rsidRPr="00B829AA">
        <w:rPr>
          <w:rFonts w:eastAsia="Calibri"/>
        </w:rPr>
        <w:t xml:space="preserve"> at least twelve months prior to the opening of </w:t>
      </w:r>
      <w:r w:rsidR="005575E3" w:rsidRPr="00B829AA">
        <w:rPr>
          <w:rFonts w:eastAsia="Calibri"/>
        </w:rPr>
        <w:t>a p</w:t>
      </w:r>
      <w:r w:rsidR="00C1070B" w:rsidRPr="00B829AA">
        <w:rPr>
          <w:rFonts w:eastAsia="Calibri"/>
        </w:rPr>
        <w:t xml:space="preserve">lenipotentiary </w:t>
      </w:r>
      <w:proofErr w:type="gramStart"/>
      <w:r w:rsidR="005575E3" w:rsidRPr="00B829AA">
        <w:rPr>
          <w:rFonts w:eastAsia="Calibri"/>
        </w:rPr>
        <w:t>c</w:t>
      </w:r>
      <w:r w:rsidR="00C1070B" w:rsidRPr="00B829AA">
        <w:rPr>
          <w:rFonts w:eastAsia="Calibri"/>
        </w:rPr>
        <w:t>onference</w:t>
      </w:r>
      <w:r w:rsidRPr="00B829AA">
        <w:rPr>
          <w:rFonts w:eastAsia="Calibri"/>
        </w:rPr>
        <w:t>;</w:t>
      </w:r>
      <w:proofErr w:type="gramEnd"/>
    </w:p>
    <w:p w14:paraId="3B8309CF" w14:textId="248594F5" w:rsidR="0029257F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2</w:t>
      </w:r>
      <w:r w:rsidRPr="00B829AA">
        <w:rPr>
          <w:rFonts w:eastAsia="Calibri"/>
        </w:rPr>
        <w:tab/>
      </w:r>
      <w:r w:rsidR="00F10EBB" w:rsidRPr="00B829AA">
        <w:rPr>
          <w:rFonts w:eastAsia="Calibri"/>
        </w:rPr>
        <w:t xml:space="preserve">to grant appointed </w:t>
      </w:r>
      <w:r w:rsidR="007A08DC" w:rsidRPr="00B829AA">
        <w:rPr>
          <w:rFonts w:eastAsia="Calibri"/>
        </w:rPr>
        <w:t xml:space="preserve">staff </w:t>
      </w:r>
      <w:r w:rsidR="00F10EBB" w:rsidRPr="00B829AA">
        <w:rPr>
          <w:rFonts w:eastAsia="Calibri"/>
        </w:rPr>
        <w:t xml:space="preserve">members and elected officials from </w:t>
      </w:r>
      <w:r w:rsidR="007A08DC" w:rsidRPr="00B829AA">
        <w:rPr>
          <w:rFonts w:eastAsia="Calibri"/>
        </w:rPr>
        <w:t xml:space="preserve">among </w:t>
      </w:r>
      <w:r w:rsidR="00F10EBB" w:rsidRPr="00B829AA">
        <w:rPr>
          <w:rFonts w:eastAsia="Calibri"/>
        </w:rPr>
        <w:t xml:space="preserve">the staff of the Union </w:t>
      </w:r>
      <w:r w:rsidR="008536A8" w:rsidRPr="00B829AA">
        <w:rPr>
          <w:rFonts w:eastAsia="Calibri"/>
        </w:rPr>
        <w:t>standing as</w:t>
      </w:r>
      <w:r w:rsidR="00F10EBB" w:rsidRPr="00B829AA">
        <w:rPr>
          <w:rFonts w:eastAsia="Calibri"/>
        </w:rPr>
        <w:t xml:space="preserve"> candidates for the posts listed in </w:t>
      </w:r>
      <w:r w:rsidR="00F10EBB" w:rsidRPr="00B829AA">
        <w:rPr>
          <w:rFonts w:eastAsia="Calibri"/>
          <w:i/>
          <w:iCs/>
        </w:rPr>
        <w:t>instructs</w:t>
      </w:r>
      <w:r w:rsidR="005B189F" w:rsidRPr="00B829AA">
        <w:rPr>
          <w:rFonts w:eastAsia="Calibri"/>
          <w:i/>
          <w:iCs/>
        </w:rPr>
        <w:t xml:space="preserve"> the Secretary-Genera</w:t>
      </w:r>
      <w:r w:rsidR="008E50F2">
        <w:rPr>
          <w:rFonts w:eastAsia="Calibri"/>
          <w:i/>
          <w:iCs/>
        </w:rPr>
        <w:t>l </w:t>
      </w:r>
      <w:r w:rsidR="00F10EBB" w:rsidRPr="00B829AA">
        <w:rPr>
          <w:rFonts w:eastAsia="Calibri"/>
        </w:rPr>
        <w:t xml:space="preserve">1 </w:t>
      </w:r>
      <w:r w:rsidR="008536A8" w:rsidRPr="00B829AA">
        <w:rPr>
          <w:rFonts w:eastAsia="Calibri"/>
        </w:rPr>
        <w:t xml:space="preserve">above </w:t>
      </w:r>
      <w:r w:rsidR="00F10EBB" w:rsidRPr="00B829AA">
        <w:rPr>
          <w:rFonts w:eastAsia="Calibri"/>
        </w:rPr>
        <w:t>short leave without pay while they conduct campaigning activities (including travel);</w:t>
      </w:r>
      <w:r w:rsidR="0030082D" w:rsidRPr="00B829AA">
        <w:rPr>
          <w:rFonts w:eastAsia="Calibri"/>
        </w:rPr>
        <w:t xml:space="preserve"> </w:t>
      </w:r>
    </w:p>
    <w:p w14:paraId="43EAFAFA" w14:textId="20015C73" w:rsidR="00852970" w:rsidRPr="00B829AA" w:rsidRDefault="0030082D" w:rsidP="008E50F2">
      <w:pPr>
        <w:pStyle w:val="Note"/>
        <w:rPr>
          <w:rFonts w:eastAsia="Calibri"/>
        </w:rPr>
      </w:pPr>
      <w:r w:rsidRPr="00B829AA">
        <w:rPr>
          <w:rFonts w:eastAsia="Calibri"/>
        </w:rPr>
        <w:t>Note</w:t>
      </w:r>
      <w:r w:rsidR="00B829AA" w:rsidRPr="00B829AA">
        <w:rPr>
          <w:rFonts w:eastAsia="Calibri"/>
        </w:rPr>
        <w:t xml:space="preserve"> - An </w:t>
      </w:r>
      <w:r w:rsidRPr="00B829AA">
        <w:rPr>
          <w:rFonts w:eastAsia="Calibri"/>
        </w:rPr>
        <w:t>appointed</w:t>
      </w:r>
      <w:r w:rsidR="007A08DC" w:rsidRPr="00B829AA">
        <w:rPr>
          <w:rFonts w:eastAsia="Calibri"/>
        </w:rPr>
        <w:t xml:space="preserve"> staff</w:t>
      </w:r>
      <w:r w:rsidRPr="00B829AA">
        <w:rPr>
          <w:rFonts w:eastAsia="Calibri"/>
        </w:rPr>
        <w:t xml:space="preserve"> member and/or elected official from </w:t>
      </w:r>
      <w:r w:rsidR="007A08DC" w:rsidRPr="00B829AA">
        <w:rPr>
          <w:rFonts w:eastAsia="Calibri"/>
        </w:rPr>
        <w:t xml:space="preserve">among </w:t>
      </w:r>
      <w:r w:rsidRPr="00B829AA">
        <w:rPr>
          <w:rFonts w:eastAsia="Calibri"/>
        </w:rPr>
        <w:t xml:space="preserve">the ITU </w:t>
      </w:r>
      <w:r w:rsidR="007A08DC" w:rsidRPr="00B829AA">
        <w:rPr>
          <w:rFonts w:eastAsia="Calibri"/>
        </w:rPr>
        <w:t>s</w:t>
      </w:r>
      <w:r w:rsidRPr="00B829AA">
        <w:rPr>
          <w:rFonts w:eastAsia="Calibri"/>
        </w:rPr>
        <w:t xml:space="preserve">taff </w:t>
      </w:r>
      <w:r w:rsidR="007A08DC" w:rsidRPr="00B829AA">
        <w:rPr>
          <w:rFonts w:eastAsia="Calibri"/>
        </w:rPr>
        <w:t>shall become</w:t>
      </w:r>
      <w:r w:rsidRPr="00B829AA">
        <w:rPr>
          <w:rFonts w:eastAsia="Calibri"/>
        </w:rPr>
        <w:t xml:space="preserve"> a candidate for </w:t>
      </w:r>
      <w:r w:rsidR="007A08DC" w:rsidRPr="00B829AA">
        <w:rPr>
          <w:rFonts w:eastAsia="Calibri"/>
        </w:rPr>
        <w:t xml:space="preserve">an elected </w:t>
      </w:r>
      <w:r w:rsidRPr="00B829AA">
        <w:rPr>
          <w:rFonts w:eastAsia="Calibri"/>
        </w:rPr>
        <w:t>post and</w:t>
      </w:r>
      <w:r w:rsidR="007A08DC" w:rsidRPr="00B829AA">
        <w:rPr>
          <w:rFonts w:eastAsia="Calibri"/>
        </w:rPr>
        <w:t xml:space="preserve"> be able to</w:t>
      </w:r>
      <w:r w:rsidRPr="00B829AA">
        <w:rPr>
          <w:rFonts w:eastAsia="Calibri"/>
        </w:rPr>
        <w:t xml:space="preserve"> participate in camp</w:t>
      </w:r>
      <w:r w:rsidR="00056D80" w:rsidRPr="00B829AA">
        <w:rPr>
          <w:rFonts w:eastAsia="Calibri"/>
        </w:rPr>
        <w:t xml:space="preserve">aigning activities </w:t>
      </w:r>
      <w:r w:rsidR="007A08DC" w:rsidRPr="00B829AA">
        <w:rPr>
          <w:rFonts w:eastAsia="Calibri"/>
        </w:rPr>
        <w:t xml:space="preserve">only </w:t>
      </w:r>
      <w:r w:rsidR="00056D80" w:rsidRPr="00B829AA">
        <w:rPr>
          <w:rFonts w:eastAsia="Calibri"/>
        </w:rPr>
        <w:t xml:space="preserve">once the Secretary-General has received, in response to the invitation mentioned in </w:t>
      </w:r>
      <w:r w:rsidR="00056D80" w:rsidRPr="00B829AA">
        <w:rPr>
          <w:rFonts w:eastAsia="Calibri"/>
          <w:i/>
          <w:iCs/>
        </w:rPr>
        <w:t>instruc</w:t>
      </w:r>
      <w:r w:rsidR="005B189F" w:rsidRPr="00B829AA">
        <w:rPr>
          <w:rFonts w:eastAsia="Calibri"/>
          <w:i/>
          <w:iCs/>
        </w:rPr>
        <w:t>ts the Secretary-General</w:t>
      </w:r>
      <w:r w:rsidR="008E50F2">
        <w:rPr>
          <w:rFonts w:eastAsia="Calibri"/>
        </w:rPr>
        <w:t> </w:t>
      </w:r>
      <w:r w:rsidR="00056D80" w:rsidRPr="00B829AA">
        <w:rPr>
          <w:rFonts w:eastAsia="Calibri"/>
        </w:rPr>
        <w:t>1</w:t>
      </w:r>
      <w:r w:rsidR="008536A8" w:rsidRPr="00B829AA">
        <w:rPr>
          <w:rFonts w:eastAsia="Calibri"/>
        </w:rPr>
        <w:t xml:space="preserve"> above</w:t>
      </w:r>
      <w:r w:rsidR="00056D80" w:rsidRPr="00B829AA">
        <w:rPr>
          <w:rFonts w:eastAsia="Calibri"/>
        </w:rPr>
        <w:t>,</w:t>
      </w:r>
      <w:r w:rsidR="002B330C" w:rsidRPr="00B829AA">
        <w:rPr>
          <w:rFonts w:eastAsia="Calibri"/>
        </w:rPr>
        <w:t xml:space="preserve"> the corresponding submission from an ITU Member State and </w:t>
      </w:r>
      <w:r w:rsidR="0029257F" w:rsidRPr="00B829AA">
        <w:rPr>
          <w:rFonts w:eastAsia="Calibri"/>
        </w:rPr>
        <w:t>the</w:t>
      </w:r>
      <w:r w:rsidR="002B330C" w:rsidRPr="00B829AA">
        <w:rPr>
          <w:rFonts w:eastAsia="Calibri"/>
        </w:rPr>
        <w:t xml:space="preserve"> signed</w:t>
      </w:r>
      <w:r w:rsidR="00BD23F9" w:rsidRPr="00B829AA">
        <w:rPr>
          <w:rFonts w:eastAsia="Calibri"/>
        </w:rPr>
        <w:t xml:space="preserve"> </w:t>
      </w:r>
      <w:r w:rsidR="002B330C" w:rsidRPr="00B829AA">
        <w:rPr>
          <w:rFonts w:eastAsia="Calibri"/>
        </w:rPr>
        <w:t xml:space="preserve">undertaking </w:t>
      </w:r>
      <w:r w:rsidR="0029257F" w:rsidRPr="00B829AA">
        <w:rPr>
          <w:rFonts w:eastAsia="Calibri"/>
        </w:rPr>
        <w:t>referred to</w:t>
      </w:r>
      <w:r w:rsidR="00F521DA">
        <w:rPr>
          <w:rFonts w:eastAsia="Calibri"/>
        </w:rPr>
        <w:t xml:space="preserve"> </w:t>
      </w:r>
      <w:r w:rsidR="002B330C" w:rsidRPr="00B829AA">
        <w:rPr>
          <w:rFonts w:eastAsia="Calibri"/>
        </w:rPr>
        <w:t xml:space="preserve">in </w:t>
      </w:r>
      <w:r w:rsidR="002B330C" w:rsidRPr="00B829AA">
        <w:rPr>
          <w:rFonts w:eastAsia="Calibri"/>
          <w:i/>
          <w:iCs/>
        </w:rPr>
        <w:t>instruc</w:t>
      </w:r>
      <w:r w:rsidR="005B189F" w:rsidRPr="00B829AA">
        <w:rPr>
          <w:rFonts w:eastAsia="Calibri"/>
          <w:i/>
          <w:iCs/>
        </w:rPr>
        <w:t>ts the Secretary-General</w:t>
      </w:r>
      <w:r w:rsidR="008E50F2">
        <w:rPr>
          <w:rFonts w:eastAsia="Calibri"/>
        </w:rPr>
        <w:t> </w:t>
      </w:r>
      <w:r w:rsidR="002B330C" w:rsidRPr="00B829AA">
        <w:rPr>
          <w:rFonts w:eastAsia="Calibri"/>
        </w:rPr>
        <w:t>4</w:t>
      </w:r>
      <w:r w:rsidR="008536A8" w:rsidRPr="00B829AA">
        <w:rPr>
          <w:rFonts w:eastAsia="Calibri"/>
        </w:rPr>
        <w:t xml:space="preserve"> below</w:t>
      </w:r>
      <w:r w:rsidR="002B330C" w:rsidRPr="00B829AA">
        <w:rPr>
          <w:rFonts w:eastAsia="Calibri"/>
        </w:rPr>
        <w:t>;</w:t>
      </w:r>
    </w:p>
    <w:p w14:paraId="28AB292E" w14:textId="716E0071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3</w:t>
      </w:r>
      <w:r w:rsidRPr="00B829AA">
        <w:rPr>
          <w:rFonts w:eastAsia="Calibri"/>
        </w:rPr>
        <w:tab/>
      </w:r>
      <w:r w:rsidR="00D91FA3" w:rsidRPr="00B829AA">
        <w:rPr>
          <w:rFonts w:eastAsia="Calibri"/>
        </w:rPr>
        <w:t>not to apply Regulation 12.2.1.a) of the Staff Regulations and Staff Rules or Regulation</w:t>
      </w:r>
      <w:r w:rsidR="008E50F2">
        <w:rPr>
          <w:rFonts w:eastAsia="Calibri"/>
        </w:rPr>
        <w:t> </w:t>
      </w:r>
      <w:r w:rsidR="00D91FA3" w:rsidRPr="00B829AA">
        <w:rPr>
          <w:rFonts w:eastAsia="Calibri"/>
        </w:rPr>
        <w:t>XI.2.1.a) of the Staff Regulations and Staff Rules for</w:t>
      </w:r>
      <w:r w:rsidR="00190582" w:rsidRPr="00B829AA">
        <w:rPr>
          <w:rFonts w:eastAsia="Calibri"/>
        </w:rPr>
        <w:t xml:space="preserve"> elected officials, as worded prior to this </w:t>
      </w:r>
      <w:r w:rsidR="005575E3" w:rsidRPr="00B829AA">
        <w:rPr>
          <w:rFonts w:eastAsia="Calibri"/>
        </w:rPr>
        <w:t>c</w:t>
      </w:r>
      <w:r w:rsidR="00190582" w:rsidRPr="00B829AA">
        <w:rPr>
          <w:rFonts w:eastAsia="Calibri"/>
        </w:rPr>
        <w:t>onference, to the staff of the Union</w:t>
      </w:r>
      <w:r w:rsidR="005B189F" w:rsidRPr="00B829AA">
        <w:rPr>
          <w:rFonts w:eastAsia="Calibri"/>
        </w:rPr>
        <w:t xml:space="preserve"> referred to in </w:t>
      </w:r>
      <w:r w:rsidR="005B189F" w:rsidRPr="00B829AA">
        <w:rPr>
          <w:rFonts w:eastAsia="Calibri"/>
          <w:i/>
          <w:iCs/>
        </w:rPr>
        <w:t>instructs the Secretary-General</w:t>
      </w:r>
      <w:r w:rsidR="008E50F2">
        <w:rPr>
          <w:rFonts w:eastAsia="Calibri"/>
        </w:rPr>
        <w:t> </w:t>
      </w:r>
      <w:r w:rsidR="005B189F" w:rsidRPr="00B829AA">
        <w:rPr>
          <w:rFonts w:eastAsia="Calibri"/>
        </w:rPr>
        <w:t>2</w:t>
      </w:r>
      <w:r w:rsidR="008536A8" w:rsidRPr="00B829AA">
        <w:rPr>
          <w:rFonts w:eastAsia="Calibri"/>
        </w:rPr>
        <w:t xml:space="preserve"> above</w:t>
      </w:r>
      <w:r w:rsidRPr="00B829AA">
        <w:rPr>
          <w:rFonts w:eastAsia="Calibri"/>
        </w:rPr>
        <w:t>;</w:t>
      </w:r>
    </w:p>
    <w:p w14:paraId="495793D1" w14:textId="1D619F0C" w:rsidR="00852970" w:rsidRPr="00B829AA" w:rsidRDefault="00852970" w:rsidP="008E50F2">
      <w:pPr>
        <w:keepNext/>
        <w:rPr>
          <w:rFonts w:eastAsia="Calibri"/>
        </w:rPr>
      </w:pPr>
      <w:r w:rsidRPr="00B829AA">
        <w:rPr>
          <w:rFonts w:eastAsia="Calibri"/>
        </w:rPr>
        <w:lastRenderedPageBreak/>
        <w:t>4</w:t>
      </w:r>
      <w:r w:rsidRPr="00B829AA">
        <w:rPr>
          <w:rFonts w:eastAsia="Calibri"/>
        </w:rPr>
        <w:tab/>
      </w:r>
      <w:r w:rsidR="005B189F" w:rsidRPr="00B829AA">
        <w:rPr>
          <w:rFonts w:eastAsia="Calibri"/>
        </w:rPr>
        <w:t xml:space="preserve">to require candidates </w:t>
      </w:r>
      <w:r w:rsidR="00DC58A8" w:rsidRPr="00B829AA">
        <w:rPr>
          <w:rFonts w:eastAsia="Calibri"/>
        </w:rPr>
        <w:t xml:space="preserve">for elected posts </w:t>
      </w:r>
      <w:r w:rsidR="005B189F" w:rsidRPr="00B829AA">
        <w:rPr>
          <w:rFonts w:eastAsia="Calibri"/>
        </w:rPr>
        <w:t xml:space="preserve">from </w:t>
      </w:r>
      <w:r w:rsidR="00DC58A8" w:rsidRPr="00B829AA">
        <w:rPr>
          <w:rFonts w:eastAsia="Calibri"/>
        </w:rPr>
        <w:t xml:space="preserve">among </w:t>
      </w:r>
      <w:r w:rsidR="005B189F" w:rsidRPr="00B829AA">
        <w:rPr>
          <w:rFonts w:eastAsia="Calibri"/>
        </w:rPr>
        <w:t>the staff of the Union to sign an undertaking that they:</w:t>
      </w:r>
    </w:p>
    <w:p w14:paraId="3FCE850E" w14:textId="695348F8" w:rsidR="00852970" w:rsidRPr="00B829AA" w:rsidRDefault="00852970" w:rsidP="00852970">
      <w:pPr>
        <w:pStyle w:val="enumlev1"/>
        <w:rPr>
          <w:rFonts w:eastAsia="Calibri"/>
        </w:rPr>
      </w:pPr>
      <w:r w:rsidRPr="00B829AA">
        <w:rPr>
          <w:rFonts w:eastAsia="Calibri"/>
        </w:rPr>
        <w:t>a)</w:t>
      </w:r>
      <w:r w:rsidRPr="00B829AA">
        <w:rPr>
          <w:rFonts w:eastAsia="Calibri"/>
        </w:rPr>
        <w:tab/>
      </w:r>
      <w:r w:rsidR="00E77AF8" w:rsidRPr="00B829AA">
        <w:rPr>
          <w:rFonts w:eastAsia="Calibri"/>
        </w:rPr>
        <w:t>shall in no way use any ITU resources for campaigning purposes</w:t>
      </w:r>
      <w:r w:rsidRPr="00B829AA">
        <w:rPr>
          <w:rFonts w:eastAsia="Calibri"/>
        </w:rPr>
        <w:t>;</w:t>
      </w:r>
    </w:p>
    <w:p w14:paraId="70D3328A" w14:textId="01E9C94F" w:rsidR="00852970" w:rsidRPr="00B829AA" w:rsidRDefault="00852970" w:rsidP="00852970">
      <w:pPr>
        <w:pStyle w:val="enumlev1"/>
        <w:rPr>
          <w:rFonts w:eastAsia="Calibri"/>
        </w:rPr>
      </w:pPr>
      <w:r w:rsidRPr="00B829AA">
        <w:rPr>
          <w:rFonts w:eastAsia="Calibri"/>
        </w:rPr>
        <w:t>b)</w:t>
      </w:r>
      <w:r w:rsidRPr="00B829AA">
        <w:rPr>
          <w:rFonts w:eastAsia="Calibri"/>
        </w:rPr>
        <w:tab/>
      </w:r>
      <w:r w:rsidR="00EC531B" w:rsidRPr="00B829AA">
        <w:rPr>
          <w:rFonts w:eastAsia="Calibri"/>
        </w:rPr>
        <w:t>shall not use</w:t>
      </w:r>
      <w:r w:rsidR="00DC58A8" w:rsidRPr="00B829AA">
        <w:rPr>
          <w:rFonts w:eastAsia="Calibri"/>
        </w:rPr>
        <w:t xml:space="preserve"> the</w:t>
      </w:r>
      <w:r w:rsidR="00EC531B" w:rsidRPr="00B829AA">
        <w:rPr>
          <w:rFonts w:eastAsia="Calibri"/>
        </w:rPr>
        <w:t xml:space="preserve"> emblems of the Union</w:t>
      </w:r>
      <w:r w:rsidRPr="00B829AA">
        <w:rPr>
          <w:rFonts w:eastAsia="Calibri"/>
        </w:rPr>
        <w:t>;</w:t>
      </w:r>
    </w:p>
    <w:p w14:paraId="7146CAC5" w14:textId="637DAC84" w:rsidR="00852970" w:rsidRPr="00B829AA" w:rsidRDefault="00852970" w:rsidP="00852970">
      <w:pPr>
        <w:pStyle w:val="enumlev1"/>
        <w:rPr>
          <w:rFonts w:eastAsia="Calibri"/>
        </w:rPr>
      </w:pPr>
      <w:r w:rsidRPr="00B829AA">
        <w:rPr>
          <w:rFonts w:eastAsia="Calibri"/>
        </w:rPr>
        <w:t>c)</w:t>
      </w:r>
      <w:r w:rsidRPr="00B829AA">
        <w:rPr>
          <w:rFonts w:eastAsia="Calibri"/>
        </w:rPr>
        <w:tab/>
      </w:r>
      <w:r w:rsidR="00EC531B" w:rsidRPr="00B829AA">
        <w:rPr>
          <w:rFonts w:eastAsia="Calibri"/>
        </w:rPr>
        <w:t>shall disclose any real or perceived conflict of interest</w:t>
      </w:r>
      <w:r w:rsidRPr="00B829AA">
        <w:rPr>
          <w:rFonts w:eastAsia="Calibri"/>
        </w:rPr>
        <w:t>;</w:t>
      </w:r>
    </w:p>
    <w:p w14:paraId="43DDE479" w14:textId="6AE4C396" w:rsidR="00852970" w:rsidRPr="00B829AA" w:rsidRDefault="00852970" w:rsidP="00852970">
      <w:pPr>
        <w:pStyle w:val="enumlev1"/>
        <w:rPr>
          <w:rFonts w:eastAsia="Calibri"/>
        </w:rPr>
      </w:pPr>
      <w:r w:rsidRPr="00B829AA">
        <w:rPr>
          <w:rFonts w:eastAsia="Calibri"/>
        </w:rPr>
        <w:t>d)</w:t>
      </w:r>
      <w:r w:rsidRPr="00B829AA">
        <w:rPr>
          <w:rFonts w:eastAsia="Calibri"/>
        </w:rPr>
        <w:tab/>
      </w:r>
      <w:r w:rsidR="00EC531B" w:rsidRPr="00B829AA">
        <w:rPr>
          <w:rFonts w:eastAsia="Calibri"/>
        </w:rPr>
        <w:t xml:space="preserve">shall strictly comply with </w:t>
      </w:r>
      <w:r w:rsidR="002A643E" w:rsidRPr="00B829AA">
        <w:rPr>
          <w:rFonts w:eastAsia="Calibri"/>
        </w:rPr>
        <w:t>established</w:t>
      </w:r>
      <w:r w:rsidR="00EC531B" w:rsidRPr="00B829AA">
        <w:rPr>
          <w:rFonts w:eastAsia="Calibri"/>
        </w:rPr>
        <w:t xml:space="preserve"> </w:t>
      </w:r>
      <w:r w:rsidR="00AE56E9" w:rsidRPr="00B829AA">
        <w:rPr>
          <w:rFonts w:eastAsia="Calibri"/>
        </w:rPr>
        <w:t xml:space="preserve">ITU rules on the conduct of </w:t>
      </w:r>
      <w:r w:rsidR="00EC531B" w:rsidRPr="00B829AA">
        <w:rPr>
          <w:rFonts w:eastAsia="Calibri"/>
        </w:rPr>
        <w:t>elect</w:t>
      </w:r>
      <w:r w:rsidR="00BD23F9" w:rsidRPr="00B829AA">
        <w:rPr>
          <w:rFonts w:eastAsia="Calibri"/>
        </w:rPr>
        <w:t>ion</w:t>
      </w:r>
      <w:r w:rsidR="00EC531B" w:rsidRPr="00B829AA">
        <w:rPr>
          <w:rFonts w:eastAsia="Calibri"/>
        </w:rPr>
        <w:t xml:space="preserve"> campaign</w:t>
      </w:r>
      <w:r w:rsidR="00AE56E9" w:rsidRPr="00B829AA">
        <w:rPr>
          <w:rFonts w:eastAsia="Calibri"/>
        </w:rPr>
        <w:t>s</w:t>
      </w:r>
      <w:r w:rsidRPr="00B829AA">
        <w:rPr>
          <w:rFonts w:eastAsia="Calibri"/>
        </w:rPr>
        <w:t>;</w:t>
      </w:r>
    </w:p>
    <w:p w14:paraId="3292C801" w14:textId="14E0873D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5</w:t>
      </w:r>
      <w:r w:rsidRPr="00B829AA">
        <w:rPr>
          <w:rFonts w:eastAsia="Calibri"/>
        </w:rPr>
        <w:tab/>
      </w:r>
      <w:r w:rsidR="00EC531B" w:rsidRPr="00B829AA">
        <w:rPr>
          <w:rFonts w:eastAsia="Calibri"/>
        </w:rPr>
        <w:t xml:space="preserve">to </w:t>
      </w:r>
      <w:r w:rsidR="00F1458C" w:rsidRPr="00B829AA">
        <w:rPr>
          <w:rFonts w:eastAsia="Calibri"/>
        </w:rPr>
        <w:t xml:space="preserve">arrange </w:t>
      </w:r>
      <w:r w:rsidR="00133813" w:rsidRPr="00B829AA">
        <w:rPr>
          <w:rFonts w:eastAsia="Calibri"/>
        </w:rPr>
        <w:t xml:space="preserve">for </w:t>
      </w:r>
      <w:r w:rsidR="00F1458C" w:rsidRPr="00B829AA">
        <w:rPr>
          <w:rFonts w:eastAsia="Calibri"/>
        </w:rPr>
        <w:t xml:space="preserve">a </w:t>
      </w:r>
      <w:r w:rsidR="00133813" w:rsidRPr="00B829AA">
        <w:rPr>
          <w:rFonts w:eastAsia="Calibri"/>
        </w:rPr>
        <w:t>specific</w:t>
      </w:r>
      <w:r w:rsidR="00F1458C" w:rsidRPr="00B829AA">
        <w:rPr>
          <w:rFonts w:eastAsia="Calibri"/>
        </w:rPr>
        <w:t xml:space="preserve"> section on the plenipotentiary conference website </w:t>
      </w:r>
      <w:r w:rsidR="00AE56E9" w:rsidRPr="00B829AA">
        <w:rPr>
          <w:rFonts w:eastAsia="Calibri"/>
        </w:rPr>
        <w:t>where</w:t>
      </w:r>
      <w:r w:rsidR="005941F2" w:rsidRPr="00B829AA">
        <w:rPr>
          <w:rFonts w:eastAsia="Calibri"/>
        </w:rPr>
        <w:t xml:space="preserve"> </w:t>
      </w:r>
      <w:r w:rsidR="00F1458C" w:rsidRPr="00B829AA">
        <w:rPr>
          <w:rFonts w:eastAsia="Calibri"/>
        </w:rPr>
        <w:t xml:space="preserve">information submitted by candidates, including campaign </w:t>
      </w:r>
      <w:r w:rsidR="00AE56E9" w:rsidRPr="00B829AA">
        <w:rPr>
          <w:rFonts w:eastAsia="Calibri"/>
        </w:rPr>
        <w:t>manifestos</w:t>
      </w:r>
      <w:r w:rsidR="00F1458C" w:rsidRPr="00B829AA">
        <w:rPr>
          <w:rFonts w:eastAsia="Calibri"/>
        </w:rPr>
        <w:t xml:space="preserve"> and </w:t>
      </w:r>
      <w:r w:rsidR="00DC58A8" w:rsidRPr="00B829AA">
        <w:rPr>
          <w:rFonts w:eastAsia="Calibri"/>
        </w:rPr>
        <w:t xml:space="preserve">a </w:t>
      </w:r>
      <w:r w:rsidR="00F1458C" w:rsidRPr="00B829AA">
        <w:rPr>
          <w:rFonts w:eastAsia="Calibri"/>
        </w:rPr>
        <w:t>schedule</w:t>
      </w:r>
      <w:r w:rsidR="00DC58A8" w:rsidRPr="00B829AA">
        <w:rPr>
          <w:rFonts w:eastAsia="Calibri"/>
        </w:rPr>
        <w:t xml:space="preserve"> of </w:t>
      </w:r>
      <w:r w:rsidR="00994490" w:rsidRPr="00B829AA">
        <w:rPr>
          <w:rFonts w:eastAsia="Calibri"/>
        </w:rPr>
        <w:t xml:space="preserve">events </w:t>
      </w:r>
      <w:r w:rsidR="00DC58A8" w:rsidRPr="00B829AA">
        <w:rPr>
          <w:rFonts w:eastAsia="Calibri"/>
        </w:rPr>
        <w:t xml:space="preserve">planned </w:t>
      </w:r>
      <w:r w:rsidR="00994490" w:rsidRPr="00B829AA">
        <w:rPr>
          <w:rFonts w:eastAsia="Calibri"/>
        </w:rPr>
        <w:t xml:space="preserve">for the </w:t>
      </w:r>
      <w:r w:rsidR="00DC58A8" w:rsidRPr="00B829AA">
        <w:rPr>
          <w:rFonts w:eastAsia="Calibri"/>
        </w:rPr>
        <w:t>promotion</w:t>
      </w:r>
      <w:r w:rsidR="00994490" w:rsidRPr="00B829AA">
        <w:rPr>
          <w:rFonts w:eastAsia="Calibri"/>
        </w:rPr>
        <w:t xml:space="preserve"> of candidates</w:t>
      </w:r>
      <w:r w:rsidR="00F1458C" w:rsidRPr="00B829AA">
        <w:rPr>
          <w:rFonts w:eastAsia="Calibri"/>
        </w:rPr>
        <w:t xml:space="preserve"> activities</w:t>
      </w:r>
      <w:r w:rsidR="00AE56E9" w:rsidRPr="00B829AA">
        <w:rPr>
          <w:rFonts w:eastAsia="Calibri"/>
        </w:rPr>
        <w:t>, shall be posted</w:t>
      </w:r>
      <w:r w:rsidRPr="00B829AA">
        <w:rPr>
          <w:rFonts w:eastAsia="Calibri"/>
        </w:rPr>
        <w:t>;</w:t>
      </w:r>
    </w:p>
    <w:p w14:paraId="440FA43B" w14:textId="52C811EE" w:rsidR="00852970" w:rsidRPr="00B829AA" w:rsidRDefault="00852970" w:rsidP="005941F2">
      <w:pPr>
        <w:rPr>
          <w:rFonts w:eastAsia="Calibri"/>
        </w:rPr>
      </w:pPr>
      <w:r w:rsidRPr="00B829AA">
        <w:rPr>
          <w:rFonts w:eastAsia="Calibri"/>
        </w:rPr>
        <w:t>6</w:t>
      </w:r>
      <w:r w:rsidRPr="00B829AA">
        <w:rPr>
          <w:rFonts w:eastAsia="Calibri"/>
        </w:rPr>
        <w:tab/>
      </w:r>
      <w:r w:rsidR="005941F2" w:rsidRPr="00B829AA">
        <w:rPr>
          <w:rFonts w:eastAsia="Calibri"/>
        </w:rPr>
        <w:t xml:space="preserve">to allow for the holding of virtual hearings for candidates for the </w:t>
      </w:r>
      <w:r w:rsidR="00AE56E9" w:rsidRPr="00B829AA">
        <w:rPr>
          <w:rFonts w:eastAsia="Calibri"/>
        </w:rPr>
        <w:t>posts</w:t>
      </w:r>
      <w:r w:rsidR="005941F2" w:rsidRPr="00B829AA">
        <w:rPr>
          <w:rFonts w:eastAsia="Calibri"/>
        </w:rPr>
        <w:t xml:space="preserve"> of Secretary-General, Deputy Secretary-General and Directors of the Bureaux of the Sectors</w:t>
      </w:r>
      <w:r w:rsidR="005D0A2D" w:rsidRPr="00B829AA">
        <w:rPr>
          <w:rFonts w:eastAsia="Calibri"/>
        </w:rPr>
        <w:t xml:space="preserve"> during the Council session in </w:t>
      </w:r>
      <w:r w:rsidR="00AE56E9" w:rsidRPr="00B829AA">
        <w:rPr>
          <w:rFonts w:eastAsia="Calibri"/>
        </w:rPr>
        <w:t>the</w:t>
      </w:r>
      <w:r w:rsidR="005D0A2D" w:rsidRPr="00B829AA">
        <w:rPr>
          <w:rFonts w:eastAsia="Calibri"/>
        </w:rPr>
        <w:t xml:space="preserve"> year in which </w:t>
      </w:r>
      <w:r w:rsidR="00AE56E9" w:rsidRPr="00B829AA">
        <w:rPr>
          <w:rFonts w:eastAsia="Calibri"/>
        </w:rPr>
        <w:t>a</w:t>
      </w:r>
      <w:r w:rsidR="005D0A2D" w:rsidRPr="00B829AA">
        <w:rPr>
          <w:rFonts w:eastAsia="Calibri"/>
        </w:rPr>
        <w:t xml:space="preserve"> </w:t>
      </w:r>
      <w:r w:rsidR="00AE56E9" w:rsidRPr="00B829AA">
        <w:rPr>
          <w:rFonts w:eastAsia="Calibri"/>
        </w:rPr>
        <w:t>p</w:t>
      </w:r>
      <w:r w:rsidR="005D0A2D" w:rsidRPr="00B829AA">
        <w:rPr>
          <w:rFonts w:eastAsia="Calibri"/>
        </w:rPr>
        <w:t xml:space="preserve">lenipotentiary </w:t>
      </w:r>
      <w:r w:rsidR="00AE56E9" w:rsidRPr="00B829AA">
        <w:rPr>
          <w:rFonts w:eastAsia="Calibri"/>
        </w:rPr>
        <w:t>c</w:t>
      </w:r>
      <w:r w:rsidR="005D0A2D" w:rsidRPr="00B829AA">
        <w:rPr>
          <w:rFonts w:eastAsia="Calibri"/>
        </w:rPr>
        <w:t xml:space="preserve">onference </w:t>
      </w:r>
      <w:r w:rsidR="008654E8" w:rsidRPr="00B829AA">
        <w:rPr>
          <w:rFonts w:eastAsia="Calibri"/>
        </w:rPr>
        <w:t>is to</w:t>
      </w:r>
      <w:r w:rsidR="005D0A2D" w:rsidRPr="00B829AA">
        <w:rPr>
          <w:rFonts w:eastAsia="Calibri"/>
        </w:rPr>
        <w:t xml:space="preserve"> be held (at a time designated by the Council)</w:t>
      </w:r>
      <w:r w:rsidRPr="00B829AA">
        <w:rPr>
          <w:rFonts w:eastAsia="Calibri"/>
        </w:rPr>
        <w:t>;</w:t>
      </w:r>
    </w:p>
    <w:p w14:paraId="271C4B6B" w14:textId="4A9FA5C1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7</w:t>
      </w:r>
      <w:r w:rsidRPr="00B829AA">
        <w:rPr>
          <w:rFonts w:eastAsia="Calibri"/>
        </w:rPr>
        <w:tab/>
      </w:r>
      <w:r w:rsidR="005D0A2D" w:rsidRPr="00B829AA">
        <w:rPr>
          <w:rFonts w:eastAsia="Calibri"/>
        </w:rPr>
        <w:t xml:space="preserve">given the </w:t>
      </w:r>
      <w:r w:rsidR="00DC58A8" w:rsidRPr="00B829AA">
        <w:rPr>
          <w:rFonts w:eastAsia="Calibri"/>
        </w:rPr>
        <w:t xml:space="preserve">significant </w:t>
      </w:r>
      <w:r w:rsidR="005D0A2D" w:rsidRPr="00B829AA">
        <w:rPr>
          <w:rFonts w:eastAsia="Calibri"/>
        </w:rPr>
        <w:t>number</w:t>
      </w:r>
      <w:r w:rsidR="004407E3" w:rsidRPr="00B829AA">
        <w:rPr>
          <w:rFonts w:eastAsia="Calibri"/>
        </w:rPr>
        <w:t xml:space="preserve"> of RRB</w:t>
      </w:r>
      <w:r w:rsidR="005D0A2D" w:rsidRPr="00B829AA">
        <w:rPr>
          <w:rFonts w:eastAsia="Calibri"/>
        </w:rPr>
        <w:t xml:space="preserve"> posts, and therefor</w:t>
      </w:r>
      <w:r w:rsidR="00CD78E9" w:rsidRPr="00B829AA">
        <w:rPr>
          <w:rFonts w:eastAsia="Calibri"/>
        </w:rPr>
        <w:t>e</w:t>
      </w:r>
      <w:r w:rsidR="005D0A2D" w:rsidRPr="00B829AA">
        <w:rPr>
          <w:rFonts w:eastAsia="Calibri"/>
        </w:rPr>
        <w:t xml:space="preserve"> </w:t>
      </w:r>
      <w:r w:rsidR="00FF3F75" w:rsidRPr="00B829AA">
        <w:rPr>
          <w:rFonts w:eastAsia="Calibri"/>
        </w:rPr>
        <w:t xml:space="preserve">of </w:t>
      </w:r>
      <w:r w:rsidR="005D0A2D" w:rsidRPr="00B829AA">
        <w:rPr>
          <w:rFonts w:eastAsia="Calibri"/>
        </w:rPr>
        <w:t xml:space="preserve">candidates, </w:t>
      </w:r>
      <w:r w:rsidR="008654E8" w:rsidRPr="00B829AA">
        <w:rPr>
          <w:rFonts w:eastAsia="Calibri"/>
        </w:rPr>
        <w:t xml:space="preserve">and the considerable amount of time required for virtual hearings for the candidates, to create, one month before the beginning of the Council session in </w:t>
      </w:r>
      <w:r w:rsidR="004407E3" w:rsidRPr="00B829AA">
        <w:rPr>
          <w:rFonts w:eastAsia="Calibri"/>
        </w:rPr>
        <w:t>the</w:t>
      </w:r>
      <w:r w:rsidR="008654E8" w:rsidRPr="00B829AA">
        <w:rPr>
          <w:rFonts w:eastAsia="Calibri"/>
        </w:rPr>
        <w:t xml:space="preserve"> year in which </w:t>
      </w:r>
      <w:r w:rsidR="004407E3" w:rsidRPr="00B829AA">
        <w:rPr>
          <w:rFonts w:eastAsia="Calibri"/>
        </w:rPr>
        <w:t>a</w:t>
      </w:r>
      <w:r w:rsidR="008654E8" w:rsidRPr="00B829AA">
        <w:rPr>
          <w:rFonts w:eastAsia="Calibri"/>
        </w:rPr>
        <w:t xml:space="preserve"> </w:t>
      </w:r>
      <w:r w:rsidR="004407E3" w:rsidRPr="00B829AA">
        <w:rPr>
          <w:rFonts w:eastAsia="Calibri"/>
        </w:rPr>
        <w:t>p</w:t>
      </w:r>
      <w:r w:rsidR="008654E8" w:rsidRPr="00B829AA">
        <w:rPr>
          <w:rFonts w:eastAsia="Calibri"/>
        </w:rPr>
        <w:t xml:space="preserve">lenipotentiary </w:t>
      </w:r>
      <w:r w:rsidR="004407E3" w:rsidRPr="00B829AA">
        <w:rPr>
          <w:rFonts w:eastAsia="Calibri"/>
        </w:rPr>
        <w:t>c</w:t>
      </w:r>
      <w:r w:rsidR="008654E8" w:rsidRPr="00B829AA">
        <w:rPr>
          <w:rFonts w:eastAsia="Calibri"/>
        </w:rPr>
        <w:t>onference is to be held</w:t>
      </w:r>
      <w:r w:rsidR="005D0A2D" w:rsidRPr="00B829AA">
        <w:rPr>
          <w:rFonts w:eastAsia="Calibri"/>
        </w:rPr>
        <w:t>,</w:t>
      </w:r>
      <w:r w:rsidR="008654E8" w:rsidRPr="00B829AA">
        <w:rPr>
          <w:rFonts w:eastAsia="Calibri"/>
        </w:rPr>
        <w:t xml:space="preserve"> a </w:t>
      </w:r>
      <w:r w:rsidR="00133813" w:rsidRPr="00B829AA">
        <w:rPr>
          <w:rFonts w:eastAsia="Calibri"/>
        </w:rPr>
        <w:t>specific</w:t>
      </w:r>
      <w:r w:rsidR="008654E8" w:rsidRPr="00B829AA">
        <w:rPr>
          <w:rFonts w:eastAsia="Calibri"/>
        </w:rPr>
        <w:t xml:space="preserve"> </w:t>
      </w:r>
      <w:r w:rsidR="00133813" w:rsidRPr="00B829AA">
        <w:rPr>
          <w:rFonts w:eastAsia="Calibri"/>
        </w:rPr>
        <w:t>sub</w:t>
      </w:r>
      <w:r w:rsidR="008654E8" w:rsidRPr="00B829AA">
        <w:rPr>
          <w:rFonts w:eastAsia="Calibri"/>
        </w:rPr>
        <w:t>section on the plenipotentiary conference website for the posting of information on candidates for members</w:t>
      </w:r>
      <w:r w:rsidR="00DC58A8" w:rsidRPr="00B829AA">
        <w:rPr>
          <w:rFonts w:eastAsia="Calibri"/>
        </w:rPr>
        <w:t>hip</w:t>
      </w:r>
      <w:r w:rsidR="008654E8" w:rsidRPr="00B829AA">
        <w:rPr>
          <w:rFonts w:eastAsia="Calibri"/>
        </w:rPr>
        <w:t xml:space="preserve"> of RRB and their </w:t>
      </w:r>
      <w:r w:rsidR="00133813" w:rsidRPr="00B829AA">
        <w:rPr>
          <w:rFonts w:eastAsia="Calibri"/>
        </w:rPr>
        <w:t>manifestos</w:t>
      </w:r>
      <w:r w:rsidR="008654E8" w:rsidRPr="00B829AA">
        <w:rPr>
          <w:rFonts w:eastAsia="Calibri"/>
        </w:rPr>
        <w:t>, thereby enabling ITU Member States and the Council</w:t>
      </w:r>
      <w:r w:rsidR="00CD78E9" w:rsidRPr="00B829AA">
        <w:rPr>
          <w:rFonts w:eastAsia="Calibri"/>
        </w:rPr>
        <w:t xml:space="preserve"> to conduct a</w:t>
      </w:r>
      <w:r w:rsidR="00994490" w:rsidRPr="00B829AA">
        <w:rPr>
          <w:rFonts w:eastAsia="Calibri"/>
        </w:rPr>
        <w:t xml:space="preserve"> preliminary</w:t>
      </w:r>
      <w:r w:rsidR="00F521DA">
        <w:rPr>
          <w:rFonts w:eastAsia="Calibri"/>
        </w:rPr>
        <w:t xml:space="preserve"> </w:t>
      </w:r>
      <w:r w:rsidR="00CD78E9" w:rsidRPr="00B829AA">
        <w:rPr>
          <w:rFonts w:eastAsia="Calibri"/>
        </w:rPr>
        <w:t xml:space="preserve">analysis of the candidates for </w:t>
      </w:r>
      <w:r w:rsidR="00DC58A8" w:rsidRPr="00B829AA">
        <w:rPr>
          <w:rFonts w:eastAsia="Calibri"/>
        </w:rPr>
        <w:t xml:space="preserve">RRB </w:t>
      </w:r>
      <w:r w:rsidR="00CD78E9" w:rsidRPr="00B829AA">
        <w:rPr>
          <w:rFonts w:eastAsia="Calibri"/>
        </w:rPr>
        <w:t>members</w:t>
      </w:r>
      <w:r w:rsidR="00FF3F75" w:rsidRPr="00B829AA">
        <w:rPr>
          <w:rFonts w:eastAsia="Calibri"/>
        </w:rPr>
        <w:t>hip</w:t>
      </w:r>
      <w:r w:rsidRPr="00B829AA">
        <w:rPr>
          <w:rFonts w:eastAsia="Calibri"/>
        </w:rPr>
        <w:t>;</w:t>
      </w:r>
    </w:p>
    <w:p w14:paraId="03861580" w14:textId="599048D9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8</w:t>
      </w:r>
      <w:r w:rsidRPr="00B829AA">
        <w:rPr>
          <w:rFonts w:eastAsia="Calibri"/>
        </w:rPr>
        <w:tab/>
      </w:r>
      <w:r w:rsidR="00517F7B" w:rsidRPr="00B829AA">
        <w:rPr>
          <w:rFonts w:eastAsia="Calibri"/>
        </w:rPr>
        <w:t xml:space="preserve">to monitor the campaigning process to ensure equal rights and opportunities for </w:t>
      </w:r>
      <w:r w:rsidR="00DC58A8" w:rsidRPr="00B829AA">
        <w:rPr>
          <w:rFonts w:eastAsia="Calibri"/>
        </w:rPr>
        <w:t xml:space="preserve">the </w:t>
      </w:r>
      <w:r w:rsidR="00517F7B" w:rsidRPr="00B829AA">
        <w:rPr>
          <w:rFonts w:eastAsia="Calibri"/>
        </w:rPr>
        <w:t>candidates</w:t>
      </w:r>
      <w:r w:rsidRPr="00B829AA">
        <w:rPr>
          <w:rFonts w:eastAsia="Calibri"/>
        </w:rPr>
        <w:t>,</w:t>
      </w:r>
    </w:p>
    <w:p w14:paraId="49F389DE" w14:textId="155103C3" w:rsidR="00852970" w:rsidRPr="00B829AA" w:rsidRDefault="0052681A" w:rsidP="00852970">
      <w:pPr>
        <w:pStyle w:val="Call"/>
        <w:rPr>
          <w:rFonts w:eastAsia="Calibri"/>
        </w:rPr>
      </w:pPr>
      <w:r w:rsidRPr="00B829AA">
        <w:rPr>
          <w:rFonts w:eastAsia="Calibri"/>
        </w:rPr>
        <w:t>instructs the ITU Council</w:t>
      </w:r>
    </w:p>
    <w:p w14:paraId="1EFCF699" w14:textId="06C15BE9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1</w:t>
      </w:r>
      <w:r w:rsidRPr="00B829AA">
        <w:rPr>
          <w:rFonts w:eastAsia="Calibri"/>
        </w:rPr>
        <w:tab/>
      </w:r>
      <w:r w:rsidR="002177D8" w:rsidRPr="00B829AA">
        <w:rPr>
          <w:rFonts w:eastAsia="Calibri"/>
        </w:rPr>
        <w:t>to determine the process for holding</w:t>
      </w:r>
      <w:r w:rsidR="00FF3F75" w:rsidRPr="00B829AA">
        <w:rPr>
          <w:rFonts w:eastAsia="Calibri"/>
        </w:rPr>
        <w:t>,</w:t>
      </w:r>
      <w:r w:rsidR="002177D8" w:rsidRPr="00B829AA">
        <w:rPr>
          <w:rFonts w:eastAsia="Calibri"/>
        </w:rPr>
        <w:t xml:space="preserve"> and to hold</w:t>
      </w:r>
      <w:r w:rsidR="00FF3F75" w:rsidRPr="00B829AA">
        <w:rPr>
          <w:rFonts w:eastAsia="Calibri"/>
        </w:rPr>
        <w:t>,</w:t>
      </w:r>
      <w:r w:rsidR="002177D8" w:rsidRPr="00B829AA">
        <w:rPr>
          <w:rFonts w:eastAsia="Calibri"/>
        </w:rPr>
        <w:t xml:space="preserve"> hearings for candidates for the posts of Secretary-General, Deputy Secretary-General and Directors of the Bureaux of the Sectors during the Council session in </w:t>
      </w:r>
      <w:r w:rsidR="004407E3" w:rsidRPr="00B829AA">
        <w:rPr>
          <w:rFonts w:eastAsia="Calibri"/>
        </w:rPr>
        <w:t>the</w:t>
      </w:r>
      <w:r w:rsidR="002177D8" w:rsidRPr="00B829AA">
        <w:rPr>
          <w:rFonts w:eastAsia="Calibri"/>
        </w:rPr>
        <w:t xml:space="preserve"> year in which a plenipotentiary conference is to be held (preferably on a Saturday </w:t>
      </w:r>
      <w:r w:rsidR="004407E3" w:rsidRPr="00B829AA">
        <w:rPr>
          <w:rFonts w:eastAsia="Calibri"/>
        </w:rPr>
        <w:t xml:space="preserve">or </w:t>
      </w:r>
      <w:r w:rsidR="002177D8" w:rsidRPr="00B829AA">
        <w:rPr>
          <w:rFonts w:eastAsia="Calibri"/>
        </w:rPr>
        <w:t>outside the working hours of the Council)</w:t>
      </w:r>
      <w:r w:rsidRPr="00B829AA">
        <w:rPr>
          <w:rFonts w:eastAsia="Calibri"/>
        </w:rPr>
        <w:t>;</w:t>
      </w:r>
    </w:p>
    <w:p w14:paraId="698D031A" w14:textId="22C04517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2</w:t>
      </w:r>
      <w:r w:rsidRPr="00B829AA">
        <w:rPr>
          <w:rFonts w:eastAsia="Calibri"/>
        </w:rPr>
        <w:tab/>
      </w:r>
      <w:r w:rsidR="002177D8" w:rsidRPr="00B829AA">
        <w:rPr>
          <w:rFonts w:eastAsia="Calibri"/>
        </w:rPr>
        <w:t>to revise the Staff Regulations and Staff Rules, taking into account</w:t>
      </w:r>
      <w:r w:rsidR="00DC58A8" w:rsidRPr="00B829AA">
        <w:rPr>
          <w:rFonts w:eastAsia="Calibri"/>
        </w:rPr>
        <w:t xml:space="preserve"> </w:t>
      </w:r>
      <w:r w:rsidR="00DC58A8" w:rsidRPr="00B829AA">
        <w:rPr>
          <w:rFonts w:eastAsia="Calibri"/>
          <w:i/>
          <w:iCs/>
        </w:rPr>
        <w:t>decides</w:t>
      </w:r>
      <w:r w:rsidR="00DC58A8" w:rsidRPr="00B829AA">
        <w:rPr>
          <w:rFonts w:eastAsia="Calibri"/>
        </w:rPr>
        <w:t xml:space="preserve"> and</w:t>
      </w:r>
      <w:r w:rsidR="002177D8" w:rsidRPr="00B829AA">
        <w:rPr>
          <w:rFonts w:eastAsia="Calibri"/>
        </w:rPr>
        <w:t xml:space="preserve"> </w:t>
      </w:r>
      <w:r w:rsidR="002177D8" w:rsidRPr="00B829AA">
        <w:rPr>
          <w:rFonts w:eastAsia="Calibri"/>
          <w:i/>
          <w:iCs/>
        </w:rPr>
        <w:t>instructs the Secretary General</w:t>
      </w:r>
      <w:r w:rsidR="00112A2D">
        <w:rPr>
          <w:rFonts w:eastAsia="Calibri"/>
          <w:i/>
          <w:iCs/>
        </w:rPr>
        <w:t> </w:t>
      </w:r>
      <w:r w:rsidR="002177D8" w:rsidRPr="00B829AA">
        <w:rPr>
          <w:rFonts w:eastAsia="Calibri"/>
        </w:rPr>
        <w:t>1</w:t>
      </w:r>
      <w:r w:rsidR="00112A2D">
        <w:rPr>
          <w:rFonts w:eastAsia="Calibri"/>
        </w:rPr>
        <w:noBreakHyphen/>
      </w:r>
      <w:r w:rsidR="002177D8" w:rsidRPr="00B829AA">
        <w:rPr>
          <w:rFonts w:eastAsia="Calibri"/>
        </w:rPr>
        <w:t>4 above</w:t>
      </w:r>
      <w:r w:rsidRPr="00B829AA">
        <w:rPr>
          <w:rFonts w:eastAsia="Calibri"/>
        </w:rPr>
        <w:t>;</w:t>
      </w:r>
    </w:p>
    <w:p w14:paraId="61BCED23" w14:textId="27DAAD3B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3</w:t>
      </w:r>
      <w:r w:rsidRPr="00B829AA">
        <w:rPr>
          <w:rFonts w:eastAsia="Calibri"/>
        </w:rPr>
        <w:tab/>
      </w:r>
      <w:r w:rsidR="000434B7" w:rsidRPr="00B829AA">
        <w:rPr>
          <w:rFonts w:eastAsia="Calibri"/>
        </w:rPr>
        <w:t>to continue to improve elect</w:t>
      </w:r>
      <w:r w:rsidR="004407E3" w:rsidRPr="00B829AA">
        <w:rPr>
          <w:rFonts w:eastAsia="Calibri"/>
        </w:rPr>
        <w:t>ion</w:t>
      </w:r>
      <w:r w:rsidR="000434B7" w:rsidRPr="00B829AA">
        <w:rPr>
          <w:rFonts w:eastAsia="Calibri"/>
        </w:rPr>
        <w:t xml:space="preserve"> processes and related documents to </w:t>
      </w:r>
      <w:r w:rsidR="00DC58A8" w:rsidRPr="00B829AA">
        <w:rPr>
          <w:rFonts w:eastAsia="Calibri"/>
        </w:rPr>
        <w:t xml:space="preserve">give </w:t>
      </w:r>
      <w:r w:rsidR="000434B7" w:rsidRPr="00B829AA">
        <w:rPr>
          <w:rFonts w:eastAsia="Calibri"/>
        </w:rPr>
        <w:t xml:space="preserve">full </w:t>
      </w:r>
      <w:r w:rsidR="00DC58A8" w:rsidRPr="00B829AA">
        <w:rPr>
          <w:rFonts w:eastAsia="Calibri"/>
        </w:rPr>
        <w:t>effect to</w:t>
      </w:r>
      <w:r w:rsidR="000434B7" w:rsidRPr="00B829AA">
        <w:rPr>
          <w:rFonts w:eastAsia="Calibri"/>
        </w:rPr>
        <w:t xml:space="preserve"> this Decision</w:t>
      </w:r>
      <w:r w:rsidRPr="00B829AA">
        <w:rPr>
          <w:rFonts w:eastAsia="Calibri"/>
        </w:rPr>
        <w:t>;</w:t>
      </w:r>
    </w:p>
    <w:p w14:paraId="27E238C0" w14:textId="028ED409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4</w:t>
      </w:r>
      <w:r w:rsidRPr="00B829AA">
        <w:rPr>
          <w:rFonts w:eastAsia="Calibri"/>
        </w:rPr>
        <w:tab/>
      </w:r>
      <w:r w:rsidR="000434B7" w:rsidRPr="00B829AA">
        <w:rPr>
          <w:rFonts w:eastAsia="Calibri"/>
        </w:rPr>
        <w:t>to report to the Plenipotentiary Conference</w:t>
      </w:r>
      <w:r w:rsidR="00FA52CD" w:rsidRPr="00B829AA">
        <w:rPr>
          <w:rFonts w:eastAsia="Calibri"/>
        </w:rPr>
        <w:t xml:space="preserve"> on the progress</w:t>
      </w:r>
      <w:r w:rsidR="00475F51" w:rsidRPr="00B829AA">
        <w:rPr>
          <w:rFonts w:eastAsia="Calibri"/>
        </w:rPr>
        <w:t xml:space="preserve"> made in</w:t>
      </w:r>
      <w:r w:rsidR="00FA52CD" w:rsidRPr="00B829AA">
        <w:rPr>
          <w:rFonts w:eastAsia="Calibri"/>
        </w:rPr>
        <w:t xml:space="preserve"> and </w:t>
      </w:r>
      <w:r w:rsidR="00475F51" w:rsidRPr="00B829AA">
        <w:rPr>
          <w:rFonts w:eastAsia="Calibri"/>
        </w:rPr>
        <w:t xml:space="preserve">the </w:t>
      </w:r>
      <w:r w:rsidR="00FA52CD" w:rsidRPr="00B829AA">
        <w:rPr>
          <w:rFonts w:eastAsia="Calibri"/>
        </w:rPr>
        <w:t>results of implement</w:t>
      </w:r>
      <w:r w:rsidR="00475F51" w:rsidRPr="00B829AA">
        <w:rPr>
          <w:rFonts w:eastAsia="Calibri"/>
        </w:rPr>
        <w:t>ing</w:t>
      </w:r>
      <w:r w:rsidR="00FA52CD" w:rsidRPr="00B829AA">
        <w:rPr>
          <w:rFonts w:eastAsia="Calibri"/>
        </w:rPr>
        <w:t xml:space="preserve"> this Decision</w:t>
      </w:r>
      <w:r w:rsidRPr="00B829AA">
        <w:rPr>
          <w:rFonts w:eastAsia="Calibri"/>
        </w:rPr>
        <w:t>,</w:t>
      </w:r>
    </w:p>
    <w:p w14:paraId="2CA7D9D8" w14:textId="574C2C55" w:rsidR="00852970" w:rsidRPr="00B829AA" w:rsidRDefault="00FA52CD" w:rsidP="00852970">
      <w:pPr>
        <w:pStyle w:val="Call"/>
        <w:rPr>
          <w:rFonts w:eastAsia="Calibri"/>
        </w:rPr>
      </w:pPr>
      <w:r w:rsidRPr="00B829AA">
        <w:rPr>
          <w:rFonts w:eastAsia="Calibri"/>
        </w:rPr>
        <w:t>invites ITU Member States</w:t>
      </w:r>
    </w:p>
    <w:p w14:paraId="3E5D00DF" w14:textId="0C9D58FC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1</w:t>
      </w:r>
      <w:r w:rsidRPr="00B829AA">
        <w:rPr>
          <w:rFonts w:eastAsia="Calibri"/>
        </w:rPr>
        <w:tab/>
      </w:r>
      <w:r w:rsidR="00FA52CD" w:rsidRPr="00B829AA">
        <w:rPr>
          <w:rFonts w:eastAsia="Calibri"/>
        </w:rPr>
        <w:t>to refrain from announcing during events or meetings of the Union their intention to nominate candidates for the posts of Secretary-General, Deputy Secretary-General, Directors of the Bureaux of the Sectors</w:t>
      </w:r>
      <w:r w:rsidR="004822C7" w:rsidRPr="00B829AA">
        <w:rPr>
          <w:rFonts w:eastAsia="Calibri"/>
        </w:rPr>
        <w:t xml:space="preserve"> and</w:t>
      </w:r>
      <w:r w:rsidR="00FA52CD" w:rsidRPr="00B829AA">
        <w:rPr>
          <w:rFonts w:eastAsia="Calibri"/>
        </w:rPr>
        <w:t xml:space="preserve"> members of RRB</w:t>
      </w:r>
      <w:r w:rsidR="004822C7" w:rsidRPr="00B829AA">
        <w:rPr>
          <w:rFonts w:eastAsia="Calibri"/>
        </w:rPr>
        <w:t xml:space="preserve"> or for </w:t>
      </w:r>
      <w:r w:rsidR="00475F51" w:rsidRPr="00B829AA">
        <w:rPr>
          <w:rFonts w:eastAsia="Calibri"/>
        </w:rPr>
        <w:t>membership of</w:t>
      </w:r>
      <w:r w:rsidR="004822C7" w:rsidRPr="00B829AA">
        <w:rPr>
          <w:rFonts w:eastAsia="Calibri"/>
        </w:rPr>
        <w:t xml:space="preserve"> the Council prior to receiving the invitation </w:t>
      </w:r>
      <w:r w:rsidR="00475F51" w:rsidRPr="00B829AA">
        <w:rPr>
          <w:rFonts w:eastAsia="Calibri"/>
        </w:rPr>
        <w:t xml:space="preserve">from </w:t>
      </w:r>
      <w:r w:rsidR="004822C7" w:rsidRPr="00B829AA">
        <w:rPr>
          <w:rFonts w:eastAsia="Calibri"/>
        </w:rPr>
        <w:t>the ITU Secretary-General (in accordance with No.</w:t>
      </w:r>
      <w:r w:rsidR="00112A2D">
        <w:rPr>
          <w:rFonts w:eastAsia="Calibri"/>
        </w:rPr>
        <w:t> </w:t>
      </w:r>
      <w:r w:rsidR="004822C7" w:rsidRPr="00B829AA">
        <w:rPr>
          <w:rFonts w:eastAsia="Calibri"/>
        </w:rPr>
        <w:t>168 of the General Rules)</w:t>
      </w:r>
      <w:r w:rsidRPr="00B829AA">
        <w:rPr>
          <w:rFonts w:eastAsia="Calibri"/>
        </w:rPr>
        <w:t>;</w:t>
      </w:r>
    </w:p>
    <w:p w14:paraId="10F736D8" w14:textId="351BB901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2</w:t>
      </w:r>
      <w:r w:rsidRPr="00B829AA">
        <w:rPr>
          <w:rFonts w:eastAsia="Calibri"/>
        </w:rPr>
        <w:tab/>
      </w:r>
      <w:r w:rsidR="003861B4" w:rsidRPr="00B829AA">
        <w:rPr>
          <w:rFonts w:eastAsia="Calibri"/>
        </w:rPr>
        <w:t xml:space="preserve">to refrain from expressing support for </w:t>
      </w:r>
      <w:r w:rsidR="00475F51" w:rsidRPr="00B829AA">
        <w:rPr>
          <w:rFonts w:eastAsia="Calibri"/>
        </w:rPr>
        <w:t xml:space="preserve">or </w:t>
      </w:r>
      <w:r w:rsidR="003861B4" w:rsidRPr="00B829AA">
        <w:rPr>
          <w:rFonts w:eastAsia="Calibri"/>
        </w:rPr>
        <w:t>promoting candidates for the posts of Secretary-General, Deputy Secretary-General, Directors of the Bureaux of the Sectors</w:t>
      </w:r>
      <w:r w:rsidR="00475F51" w:rsidRPr="00B829AA">
        <w:rPr>
          <w:rFonts w:eastAsia="Calibri"/>
        </w:rPr>
        <w:t xml:space="preserve"> and</w:t>
      </w:r>
      <w:r w:rsidR="003861B4" w:rsidRPr="00B829AA">
        <w:rPr>
          <w:rFonts w:eastAsia="Calibri"/>
        </w:rPr>
        <w:t xml:space="preserve"> members of RRB </w:t>
      </w:r>
      <w:r w:rsidR="00475F51" w:rsidRPr="00B829AA">
        <w:rPr>
          <w:rFonts w:eastAsia="Calibri"/>
        </w:rPr>
        <w:t>or for membership</w:t>
      </w:r>
      <w:r w:rsidR="003861B4" w:rsidRPr="00B829AA">
        <w:rPr>
          <w:rFonts w:eastAsia="Calibri"/>
        </w:rPr>
        <w:t xml:space="preserve"> of the Council at events and meetings of the Union prior to the official </w:t>
      </w:r>
      <w:r w:rsidR="003861B4" w:rsidRPr="00B829AA">
        <w:rPr>
          <w:rFonts w:eastAsia="Calibri"/>
        </w:rPr>
        <w:lastRenderedPageBreak/>
        <w:t>submission of candidatures to the ITU Secretary-General (in accordance with No.</w:t>
      </w:r>
      <w:r w:rsidR="00112A2D">
        <w:rPr>
          <w:rFonts w:eastAsia="Calibri"/>
        </w:rPr>
        <w:t> </w:t>
      </w:r>
      <w:r w:rsidR="003861B4" w:rsidRPr="00B829AA">
        <w:rPr>
          <w:rFonts w:eastAsia="Calibri"/>
        </w:rPr>
        <w:t>169 of the General Rules)</w:t>
      </w:r>
      <w:r w:rsidRPr="00B829AA">
        <w:rPr>
          <w:rFonts w:eastAsia="Calibri"/>
        </w:rPr>
        <w:t>;</w:t>
      </w:r>
    </w:p>
    <w:p w14:paraId="76FFA90C" w14:textId="1DE7987F" w:rsidR="00852970" w:rsidRPr="00B829AA" w:rsidRDefault="00852970" w:rsidP="00852970">
      <w:pPr>
        <w:rPr>
          <w:rFonts w:eastAsia="Calibri"/>
        </w:rPr>
      </w:pPr>
      <w:bookmarkStart w:id="10" w:name="_30j0zll" w:colFirst="0" w:colLast="0"/>
      <w:bookmarkEnd w:id="10"/>
      <w:r w:rsidRPr="00B829AA">
        <w:rPr>
          <w:rFonts w:eastAsia="Calibri"/>
        </w:rPr>
        <w:t>3</w:t>
      </w:r>
      <w:r w:rsidRPr="00B829AA">
        <w:rPr>
          <w:rFonts w:eastAsia="Calibri"/>
        </w:rPr>
        <w:tab/>
      </w:r>
      <w:r w:rsidR="00F0649B" w:rsidRPr="00B829AA">
        <w:rPr>
          <w:rFonts w:eastAsia="Calibri"/>
        </w:rPr>
        <w:t>in response to the Secretary-General</w:t>
      </w:r>
      <w:r w:rsidR="000621BD">
        <w:rPr>
          <w:rFonts w:eastAsia="Calibri"/>
        </w:rPr>
        <w:t>'</w:t>
      </w:r>
      <w:r w:rsidR="00F0649B" w:rsidRPr="00B829AA">
        <w:rPr>
          <w:rFonts w:eastAsia="Calibri"/>
        </w:rPr>
        <w:t xml:space="preserve">s invitation for nominations, to submit candidatures </w:t>
      </w:r>
      <w:r w:rsidR="00E51C15" w:rsidRPr="00B829AA">
        <w:rPr>
          <w:rFonts w:eastAsia="Calibri"/>
        </w:rPr>
        <w:t xml:space="preserve">for </w:t>
      </w:r>
      <w:r w:rsidR="00F0649B" w:rsidRPr="00B829AA">
        <w:rPr>
          <w:rFonts w:eastAsia="Calibri"/>
        </w:rPr>
        <w:t xml:space="preserve">elected </w:t>
      </w:r>
      <w:r w:rsidR="00475F51" w:rsidRPr="00B829AA">
        <w:rPr>
          <w:rFonts w:eastAsia="Calibri"/>
        </w:rPr>
        <w:t xml:space="preserve">posts </w:t>
      </w:r>
      <w:r w:rsidR="00F0649B" w:rsidRPr="00B829AA">
        <w:rPr>
          <w:rFonts w:eastAsia="Calibri"/>
        </w:rPr>
        <w:t>as soon as possible</w:t>
      </w:r>
      <w:r w:rsidR="00E51C15" w:rsidRPr="00B829AA">
        <w:rPr>
          <w:rFonts w:eastAsia="Calibri"/>
        </w:rPr>
        <w:t xml:space="preserve">, </w:t>
      </w:r>
      <w:r w:rsidR="002A643E" w:rsidRPr="00B829AA">
        <w:rPr>
          <w:rFonts w:eastAsia="Calibri"/>
        </w:rPr>
        <w:t xml:space="preserve">with </w:t>
      </w:r>
      <w:r w:rsidR="00E51C15" w:rsidRPr="00B829AA">
        <w:rPr>
          <w:rFonts w:eastAsia="Calibri"/>
        </w:rPr>
        <w:t>accompan</w:t>
      </w:r>
      <w:r w:rsidR="002A643E" w:rsidRPr="00B829AA">
        <w:rPr>
          <w:rFonts w:eastAsia="Calibri"/>
        </w:rPr>
        <w:t>ying</w:t>
      </w:r>
      <w:r w:rsidR="00E51C15" w:rsidRPr="00B829AA">
        <w:rPr>
          <w:rFonts w:eastAsia="Calibri"/>
        </w:rPr>
        <w:t xml:space="preserve"> curricula vit</w:t>
      </w:r>
      <w:r w:rsidR="00045116" w:rsidRPr="00B829AA">
        <w:rPr>
          <w:rFonts w:eastAsia="Calibri"/>
        </w:rPr>
        <w:t>a</w:t>
      </w:r>
      <w:r w:rsidR="00E51C15" w:rsidRPr="00B829AA">
        <w:rPr>
          <w:rFonts w:eastAsia="Calibri"/>
        </w:rPr>
        <w:t>e and, if considered appropriate</w:t>
      </w:r>
      <w:r w:rsidR="00973C5C" w:rsidRPr="00B829AA">
        <w:rPr>
          <w:rFonts w:eastAsia="Calibri"/>
        </w:rPr>
        <w:t>,</w:t>
      </w:r>
      <w:r w:rsidR="00E51C15" w:rsidRPr="00B829AA">
        <w:rPr>
          <w:rFonts w:eastAsia="Calibri"/>
        </w:rPr>
        <w:t xml:space="preserve"> candidates</w:t>
      </w:r>
      <w:r w:rsidR="000621BD">
        <w:rPr>
          <w:rFonts w:eastAsia="Calibri"/>
        </w:rPr>
        <w:t>'</w:t>
      </w:r>
      <w:r w:rsidR="00E51C15" w:rsidRPr="00B829AA">
        <w:rPr>
          <w:rFonts w:eastAsia="Calibri"/>
        </w:rPr>
        <w:t xml:space="preserve"> </w:t>
      </w:r>
      <w:r w:rsidR="00D016AF" w:rsidRPr="00B829AA">
        <w:rPr>
          <w:rFonts w:eastAsia="Calibri"/>
        </w:rPr>
        <w:t>manifestos</w:t>
      </w:r>
      <w:r w:rsidRPr="00B829AA">
        <w:rPr>
          <w:rFonts w:eastAsia="Calibri"/>
        </w:rPr>
        <w:t>;</w:t>
      </w:r>
    </w:p>
    <w:p w14:paraId="4905347C" w14:textId="14795C71" w:rsidR="00852970" w:rsidRPr="00B829AA" w:rsidRDefault="00852970" w:rsidP="00852970">
      <w:pPr>
        <w:rPr>
          <w:rFonts w:eastAsia="Calibri"/>
        </w:rPr>
      </w:pPr>
      <w:r w:rsidRPr="00B829AA">
        <w:rPr>
          <w:rFonts w:eastAsia="Calibri"/>
        </w:rPr>
        <w:t>4</w:t>
      </w:r>
      <w:r w:rsidRPr="00B829AA">
        <w:rPr>
          <w:rFonts w:eastAsia="Calibri"/>
        </w:rPr>
        <w:tab/>
      </w:r>
      <w:r w:rsidR="00D016AF" w:rsidRPr="00B829AA">
        <w:rPr>
          <w:rFonts w:eastAsia="Calibri"/>
        </w:rPr>
        <w:t>to inform the Secretary-General of the time and place of an event in support of their candidates at least one month prior to the event</w:t>
      </w:r>
      <w:r w:rsidRPr="00B829AA">
        <w:rPr>
          <w:rFonts w:eastAsia="Calibri"/>
        </w:rPr>
        <w:t>;</w:t>
      </w:r>
    </w:p>
    <w:p w14:paraId="67BB4E17" w14:textId="4FBF0F61" w:rsidR="00852970" w:rsidRPr="00B829AA" w:rsidRDefault="00852970" w:rsidP="00852970">
      <w:r w:rsidRPr="00B829AA">
        <w:rPr>
          <w:rFonts w:eastAsia="Calibri"/>
        </w:rPr>
        <w:t>5</w:t>
      </w:r>
      <w:r w:rsidRPr="00B829AA">
        <w:rPr>
          <w:rFonts w:eastAsia="Calibri"/>
        </w:rPr>
        <w:tab/>
      </w:r>
      <w:r w:rsidR="00D016AF" w:rsidRPr="00B829AA">
        <w:rPr>
          <w:rFonts w:eastAsia="Calibri"/>
        </w:rPr>
        <w:t>to conduct elect</w:t>
      </w:r>
      <w:r w:rsidR="002A643E" w:rsidRPr="00B829AA">
        <w:rPr>
          <w:rFonts w:eastAsia="Calibri"/>
        </w:rPr>
        <w:t>ion</w:t>
      </w:r>
      <w:r w:rsidR="00D016AF" w:rsidRPr="00B829AA">
        <w:rPr>
          <w:rFonts w:eastAsia="Calibri"/>
        </w:rPr>
        <w:t xml:space="preserve"> campaigns in accordance with established ITU rules</w:t>
      </w:r>
      <w:r w:rsidRPr="00B829AA">
        <w:rPr>
          <w:rFonts w:eastAsia="Calibri"/>
        </w:rPr>
        <w:t>.</w:t>
      </w:r>
    </w:p>
    <w:p w14:paraId="5DE37087" w14:textId="579C250E" w:rsidR="00426B9E" w:rsidRPr="00B829AA" w:rsidRDefault="00426B9E">
      <w:pPr>
        <w:pStyle w:val="Reasons"/>
      </w:pPr>
    </w:p>
    <w:p w14:paraId="2F358688" w14:textId="77777777" w:rsidR="00852970" w:rsidRPr="00B829AA" w:rsidRDefault="00852970">
      <w:pPr>
        <w:jc w:val="center"/>
      </w:pPr>
      <w:r w:rsidRPr="00B829AA">
        <w:t>______________</w:t>
      </w:r>
    </w:p>
    <w:p w14:paraId="1C467769" w14:textId="77777777" w:rsidR="00852970" w:rsidRPr="00852970" w:rsidRDefault="00852970" w:rsidP="00852970">
      <w:pPr>
        <w:rPr>
          <w:lang w:val="ru-RU"/>
        </w:rPr>
      </w:pPr>
    </w:p>
    <w:sectPr w:rsidR="00852970" w:rsidRPr="00852970" w:rsidSect="00361097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5974" w14:textId="77777777" w:rsidR="0067416B" w:rsidRDefault="0067416B">
      <w:r>
        <w:separator/>
      </w:r>
    </w:p>
  </w:endnote>
  <w:endnote w:type="continuationSeparator" w:id="0">
    <w:p w14:paraId="417E3852" w14:textId="77777777" w:rsidR="0067416B" w:rsidRDefault="0067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FAB6" w14:textId="44536E6E" w:rsidR="00852970" w:rsidRPr="00852970" w:rsidRDefault="00852970">
    <w:pPr>
      <w:pStyle w:val="Footer"/>
      <w:rPr>
        <w:lang w:val="de-DE"/>
      </w:rPr>
    </w:pPr>
    <w:r>
      <w:fldChar w:fldCharType="begin"/>
    </w:r>
    <w:r w:rsidRPr="00852970">
      <w:rPr>
        <w:lang w:val="de-DE"/>
      </w:rPr>
      <w:instrText xml:space="preserve"> FILENAME \p \* MERGEFORMAT </w:instrText>
    </w:r>
    <w:r>
      <w:fldChar w:fldCharType="separate"/>
    </w:r>
    <w:r w:rsidR="00B829AA">
      <w:rPr>
        <w:lang w:val="de-DE"/>
      </w:rPr>
      <w:t>P:\ENG\SG\CONF-SG\PP22\000\068ADD17E.docx</w:t>
    </w:r>
    <w:r>
      <w:fldChar w:fldCharType="end"/>
    </w:r>
    <w:r w:rsidRPr="00852970">
      <w:rPr>
        <w:lang w:val="de-DE"/>
      </w:rPr>
      <w:t xml:space="preserve"> </w:t>
    </w:r>
    <w:r>
      <w:rPr>
        <w:lang w:val="de-DE"/>
      </w:rPr>
      <w:t>(510829)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6B7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B8B92AB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9C4" w14:textId="77777777" w:rsidR="0067416B" w:rsidRDefault="0067416B">
      <w:r>
        <w:t>____________________</w:t>
      </w:r>
    </w:p>
  </w:footnote>
  <w:footnote w:type="continuationSeparator" w:id="0">
    <w:p w14:paraId="1A5CF142" w14:textId="77777777" w:rsidR="0067416B" w:rsidRDefault="0067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58DE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4E0DEA6E" w14:textId="77777777" w:rsidR="00CE1B90" w:rsidRDefault="00CE1B90" w:rsidP="004F7925">
    <w:pPr>
      <w:pStyle w:val="Header"/>
    </w:pPr>
    <w:r>
      <w:t>PP</w:t>
    </w:r>
    <w:r w:rsidR="000235EC">
      <w:t>22</w:t>
    </w:r>
    <w:r>
      <w:t>/68(Add.17)-E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33478"/>
    <w:rsid w:val="00041924"/>
    <w:rsid w:val="000434B7"/>
    <w:rsid w:val="00045116"/>
    <w:rsid w:val="000507C1"/>
    <w:rsid w:val="00053B97"/>
    <w:rsid w:val="00056D80"/>
    <w:rsid w:val="000621BD"/>
    <w:rsid w:val="00082EB9"/>
    <w:rsid w:val="000842DF"/>
    <w:rsid w:val="0008540E"/>
    <w:rsid w:val="00094B4F"/>
    <w:rsid w:val="000A1015"/>
    <w:rsid w:val="000B03F9"/>
    <w:rsid w:val="000B0A77"/>
    <w:rsid w:val="000B0D6C"/>
    <w:rsid w:val="000B1FC7"/>
    <w:rsid w:val="000B5BB9"/>
    <w:rsid w:val="000B7152"/>
    <w:rsid w:val="000C4701"/>
    <w:rsid w:val="000E1998"/>
    <w:rsid w:val="000E4C7A"/>
    <w:rsid w:val="000E5E15"/>
    <w:rsid w:val="000F0B70"/>
    <w:rsid w:val="000F4F0A"/>
    <w:rsid w:val="000F5A9A"/>
    <w:rsid w:val="000F73D1"/>
    <w:rsid w:val="001001C5"/>
    <w:rsid w:val="00105EFE"/>
    <w:rsid w:val="00106777"/>
    <w:rsid w:val="00112A2D"/>
    <w:rsid w:val="0011489E"/>
    <w:rsid w:val="00114BA3"/>
    <w:rsid w:val="00115DEC"/>
    <w:rsid w:val="00123F09"/>
    <w:rsid w:val="00133813"/>
    <w:rsid w:val="00136175"/>
    <w:rsid w:val="00140FF0"/>
    <w:rsid w:val="00142F28"/>
    <w:rsid w:val="00144484"/>
    <w:rsid w:val="00146057"/>
    <w:rsid w:val="0016633C"/>
    <w:rsid w:val="00171990"/>
    <w:rsid w:val="00185800"/>
    <w:rsid w:val="00190582"/>
    <w:rsid w:val="00195B70"/>
    <w:rsid w:val="001A0EEB"/>
    <w:rsid w:val="001A16ED"/>
    <w:rsid w:val="001A7E84"/>
    <w:rsid w:val="001B18AB"/>
    <w:rsid w:val="001B70D1"/>
    <w:rsid w:val="001C3804"/>
    <w:rsid w:val="001D3322"/>
    <w:rsid w:val="001E01A5"/>
    <w:rsid w:val="001E18AB"/>
    <w:rsid w:val="001E1C8F"/>
    <w:rsid w:val="001E23DC"/>
    <w:rsid w:val="001F0B8B"/>
    <w:rsid w:val="00210269"/>
    <w:rsid w:val="002115E0"/>
    <w:rsid w:val="00215F12"/>
    <w:rsid w:val="00215F97"/>
    <w:rsid w:val="002177D8"/>
    <w:rsid w:val="00232B31"/>
    <w:rsid w:val="00235A3B"/>
    <w:rsid w:val="00243BE4"/>
    <w:rsid w:val="00244D25"/>
    <w:rsid w:val="00257188"/>
    <w:rsid w:val="002578B4"/>
    <w:rsid w:val="00267D12"/>
    <w:rsid w:val="00281792"/>
    <w:rsid w:val="0028799E"/>
    <w:rsid w:val="0029257F"/>
    <w:rsid w:val="002962A8"/>
    <w:rsid w:val="002A56C0"/>
    <w:rsid w:val="002A643E"/>
    <w:rsid w:val="002B330C"/>
    <w:rsid w:val="002C0627"/>
    <w:rsid w:val="002E77F4"/>
    <w:rsid w:val="002F36B9"/>
    <w:rsid w:val="002F5FA2"/>
    <w:rsid w:val="0030082D"/>
    <w:rsid w:val="003126B0"/>
    <w:rsid w:val="00312A65"/>
    <w:rsid w:val="00314127"/>
    <w:rsid w:val="00314C12"/>
    <w:rsid w:val="003261C3"/>
    <w:rsid w:val="00334BB8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61B4"/>
    <w:rsid w:val="00395CE4"/>
    <w:rsid w:val="003A32AD"/>
    <w:rsid w:val="003A3938"/>
    <w:rsid w:val="003A4E67"/>
    <w:rsid w:val="003A5FFB"/>
    <w:rsid w:val="003A7FB6"/>
    <w:rsid w:val="003B3751"/>
    <w:rsid w:val="003D13BF"/>
    <w:rsid w:val="003D37A7"/>
    <w:rsid w:val="003F0763"/>
    <w:rsid w:val="003F2121"/>
    <w:rsid w:val="003F5771"/>
    <w:rsid w:val="004014B0"/>
    <w:rsid w:val="004017D3"/>
    <w:rsid w:val="004059B0"/>
    <w:rsid w:val="00411F95"/>
    <w:rsid w:val="004243C7"/>
    <w:rsid w:val="00426AC1"/>
    <w:rsid w:val="00426B9E"/>
    <w:rsid w:val="004321DC"/>
    <w:rsid w:val="00435AA4"/>
    <w:rsid w:val="00435EA8"/>
    <w:rsid w:val="004360BB"/>
    <w:rsid w:val="004407E3"/>
    <w:rsid w:val="0045533C"/>
    <w:rsid w:val="004606DA"/>
    <w:rsid w:val="00463092"/>
    <w:rsid w:val="004676C0"/>
    <w:rsid w:val="00474E00"/>
    <w:rsid w:val="00475F51"/>
    <w:rsid w:val="004822C7"/>
    <w:rsid w:val="004835DB"/>
    <w:rsid w:val="00491D2D"/>
    <w:rsid w:val="00494797"/>
    <w:rsid w:val="004B0C10"/>
    <w:rsid w:val="004B167B"/>
    <w:rsid w:val="004C19D7"/>
    <w:rsid w:val="004C297B"/>
    <w:rsid w:val="004C3270"/>
    <w:rsid w:val="004C73C9"/>
    <w:rsid w:val="004E01FA"/>
    <w:rsid w:val="004E6764"/>
    <w:rsid w:val="004F041D"/>
    <w:rsid w:val="004F1C55"/>
    <w:rsid w:val="004F3A42"/>
    <w:rsid w:val="004F41EC"/>
    <w:rsid w:val="004F7925"/>
    <w:rsid w:val="00504FE5"/>
    <w:rsid w:val="005053DD"/>
    <w:rsid w:val="00507348"/>
    <w:rsid w:val="005113AE"/>
    <w:rsid w:val="00517F7B"/>
    <w:rsid w:val="00522C97"/>
    <w:rsid w:val="0052681A"/>
    <w:rsid w:val="005334A6"/>
    <w:rsid w:val="005356FD"/>
    <w:rsid w:val="00547D75"/>
    <w:rsid w:val="00551C8B"/>
    <w:rsid w:val="00554E24"/>
    <w:rsid w:val="00555A0F"/>
    <w:rsid w:val="005575E3"/>
    <w:rsid w:val="0056100C"/>
    <w:rsid w:val="00567130"/>
    <w:rsid w:val="0057034B"/>
    <w:rsid w:val="00581E8F"/>
    <w:rsid w:val="005844DF"/>
    <w:rsid w:val="00586A98"/>
    <w:rsid w:val="00591C15"/>
    <w:rsid w:val="005927A4"/>
    <w:rsid w:val="005941F2"/>
    <w:rsid w:val="00596B48"/>
    <w:rsid w:val="005B10E8"/>
    <w:rsid w:val="005B189F"/>
    <w:rsid w:val="005B37DA"/>
    <w:rsid w:val="005B5026"/>
    <w:rsid w:val="005B661F"/>
    <w:rsid w:val="005C3315"/>
    <w:rsid w:val="005D0A2D"/>
    <w:rsid w:val="005E1CC3"/>
    <w:rsid w:val="005F05C8"/>
    <w:rsid w:val="005F4195"/>
    <w:rsid w:val="00604079"/>
    <w:rsid w:val="006101E7"/>
    <w:rsid w:val="00617BE4"/>
    <w:rsid w:val="00620233"/>
    <w:rsid w:val="00627DF4"/>
    <w:rsid w:val="0063218F"/>
    <w:rsid w:val="006404B0"/>
    <w:rsid w:val="006463F1"/>
    <w:rsid w:val="0066499C"/>
    <w:rsid w:val="0067198E"/>
    <w:rsid w:val="0067416B"/>
    <w:rsid w:val="00676E68"/>
    <w:rsid w:val="00686DB9"/>
    <w:rsid w:val="0068791B"/>
    <w:rsid w:val="00691807"/>
    <w:rsid w:val="00696FE1"/>
    <w:rsid w:val="0069768D"/>
    <w:rsid w:val="006A7108"/>
    <w:rsid w:val="006B2035"/>
    <w:rsid w:val="006B40DA"/>
    <w:rsid w:val="006C2F14"/>
    <w:rsid w:val="006C5D5D"/>
    <w:rsid w:val="006E215D"/>
    <w:rsid w:val="006E3C43"/>
    <w:rsid w:val="006E57C8"/>
    <w:rsid w:val="006E70E1"/>
    <w:rsid w:val="006F4917"/>
    <w:rsid w:val="006F565E"/>
    <w:rsid w:val="006F794B"/>
    <w:rsid w:val="00701ABB"/>
    <w:rsid w:val="00711035"/>
    <w:rsid w:val="007130ED"/>
    <w:rsid w:val="007140CF"/>
    <w:rsid w:val="00714E8E"/>
    <w:rsid w:val="0071582A"/>
    <w:rsid w:val="00722595"/>
    <w:rsid w:val="0073319E"/>
    <w:rsid w:val="00733C8A"/>
    <w:rsid w:val="00735F5D"/>
    <w:rsid w:val="00737F2E"/>
    <w:rsid w:val="00745A37"/>
    <w:rsid w:val="00750829"/>
    <w:rsid w:val="007538C9"/>
    <w:rsid w:val="00753F63"/>
    <w:rsid w:val="007542C4"/>
    <w:rsid w:val="00754C0B"/>
    <w:rsid w:val="00755067"/>
    <w:rsid w:val="00756108"/>
    <w:rsid w:val="007561B6"/>
    <w:rsid w:val="007648ED"/>
    <w:rsid w:val="007649DA"/>
    <w:rsid w:val="00765553"/>
    <w:rsid w:val="00766EC6"/>
    <w:rsid w:val="00776B67"/>
    <w:rsid w:val="00777B8B"/>
    <w:rsid w:val="007842BB"/>
    <w:rsid w:val="00794795"/>
    <w:rsid w:val="007949EA"/>
    <w:rsid w:val="00796849"/>
    <w:rsid w:val="00796DAE"/>
    <w:rsid w:val="007A08DC"/>
    <w:rsid w:val="007A59C3"/>
    <w:rsid w:val="007B0E06"/>
    <w:rsid w:val="007B30FC"/>
    <w:rsid w:val="007C0C2D"/>
    <w:rsid w:val="007C3643"/>
    <w:rsid w:val="007E00D2"/>
    <w:rsid w:val="007E2AD4"/>
    <w:rsid w:val="007E3469"/>
    <w:rsid w:val="007E7B63"/>
    <w:rsid w:val="00800040"/>
    <w:rsid w:val="00810AD6"/>
    <w:rsid w:val="0082780C"/>
    <w:rsid w:val="008333C7"/>
    <w:rsid w:val="00833E0F"/>
    <w:rsid w:val="008404FD"/>
    <w:rsid w:val="008419EC"/>
    <w:rsid w:val="00841AB4"/>
    <w:rsid w:val="00846DBA"/>
    <w:rsid w:val="00850AEF"/>
    <w:rsid w:val="00852970"/>
    <w:rsid w:val="008536A8"/>
    <w:rsid w:val="00855DAB"/>
    <w:rsid w:val="00860C6A"/>
    <w:rsid w:val="00862891"/>
    <w:rsid w:val="00863E2C"/>
    <w:rsid w:val="008654E8"/>
    <w:rsid w:val="00875048"/>
    <w:rsid w:val="00875BE1"/>
    <w:rsid w:val="00877715"/>
    <w:rsid w:val="00893568"/>
    <w:rsid w:val="00895CE3"/>
    <w:rsid w:val="0089603F"/>
    <w:rsid w:val="00897970"/>
    <w:rsid w:val="008A26B8"/>
    <w:rsid w:val="008B5A71"/>
    <w:rsid w:val="008D3BE2"/>
    <w:rsid w:val="008D4D98"/>
    <w:rsid w:val="008E2A7B"/>
    <w:rsid w:val="008E50F2"/>
    <w:rsid w:val="008E68FC"/>
    <w:rsid w:val="008E6E9B"/>
    <w:rsid w:val="008F2C56"/>
    <w:rsid w:val="008F3C99"/>
    <w:rsid w:val="00900D5B"/>
    <w:rsid w:val="009236FE"/>
    <w:rsid w:val="0093467F"/>
    <w:rsid w:val="00940E00"/>
    <w:rsid w:val="00945D4B"/>
    <w:rsid w:val="0094741F"/>
    <w:rsid w:val="00950E0F"/>
    <w:rsid w:val="009559FD"/>
    <w:rsid w:val="0096150D"/>
    <w:rsid w:val="009630FA"/>
    <w:rsid w:val="00967103"/>
    <w:rsid w:val="00967670"/>
    <w:rsid w:val="00970996"/>
    <w:rsid w:val="00973C5C"/>
    <w:rsid w:val="009800CC"/>
    <w:rsid w:val="00994490"/>
    <w:rsid w:val="009A078E"/>
    <w:rsid w:val="009A2B30"/>
    <w:rsid w:val="009A4211"/>
    <w:rsid w:val="009A47A2"/>
    <w:rsid w:val="009C28B0"/>
    <w:rsid w:val="009E425E"/>
    <w:rsid w:val="009E4322"/>
    <w:rsid w:val="009F4384"/>
    <w:rsid w:val="009F442D"/>
    <w:rsid w:val="009F50DA"/>
    <w:rsid w:val="009F7CA3"/>
    <w:rsid w:val="00A06D56"/>
    <w:rsid w:val="00A13D92"/>
    <w:rsid w:val="00A20E0F"/>
    <w:rsid w:val="00A26F45"/>
    <w:rsid w:val="00A31230"/>
    <w:rsid w:val="00A314A2"/>
    <w:rsid w:val="00A50F46"/>
    <w:rsid w:val="00A516BB"/>
    <w:rsid w:val="00A538C2"/>
    <w:rsid w:val="00A619C5"/>
    <w:rsid w:val="00A70BBC"/>
    <w:rsid w:val="00A808E1"/>
    <w:rsid w:val="00A8262F"/>
    <w:rsid w:val="00A84B32"/>
    <w:rsid w:val="00A84B3A"/>
    <w:rsid w:val="00A87124"/>
    <w:rsid w:val="00A911F0"/>
    <w:rsid w:val="00A92A37"/>
    <w:rsid w:val="00A93B71"/>
    <w:rsid w:val="00AB0B32"/>
    <w:rsid w:val="00AB21D1"/>
    <w:rsid w:val="00AB2D04"/>
    <w:rsid w:val="00AB5C39"/>
    <w:rsid w:val="00AB75A9"/>
    <w:rsid w:val="00AD1C5C"/>
    <w:rsid w:val="00AD566F"/>
    <w:rsid w:val="00AE56E9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29AA"/>
    <w:rsid w:val="00B840D8"/>
    <w:rsid w:val="00B86659"/>
    <w:rsid w:val="00B96467"/>
    <w:rsid w:val="00BA154E"/>
    <w:rsid w:val="00BA37CE"/>
    <w:rsid w:val="00BA4692"/>
    <w:rsid w:val="00BC6FDB"/>
    <w:rsid w:val="00BC7DE8"/>
    <w:rsid w:val="00BD23F9"/>
    <w:rsid w:val="00BE0966"/>
    <w:rsid w:val="00BF43BA"/>
    <w:rsid w:val="00BF5722"/>
    <w:rsid w:val="00BF6268"/>
    <w:rsid w:val="00BF720B"/>
    <w:rsid w:val="00C04511"/>
    <w:rsid w:val="00C1070B"/>
    <w:rsid w:val="00C112A3"/>
    <w:rsid w:val="00C147BB"/>
    <w:rsid w:val="00C16846"/>
    <w:rsid w:val="00C31F47"/>
    <w:rsid w:val="00C34851"/>
    <w:rsid w:val="00C42A5B"/>
    <w:rsid w:val="00C5419D"/>
    <w:rsid w:val="00C56038"/>
    <w:rsid w:val="00C61B88"/>
    <w:rsid w:val="00C638E1"/>
    <w:rsid w:val="00C66D15"/>
    <w:rsid w:val="00C6729F"/>
    <w:rsid w:val="00C72664"/>
    <w:rsid w:val="00C86F24"/>
    <w:rsid w:val="00CA2F43"/>
    <w:rsid w:val="00CA38C9"/>
    <w:rsid w:val="00CB4984"/>
    <w:rsid w:val="00CB5DD7"/>
    <w:rsid w:val="00CB7795"/>
    <w:rsid w:val="00CB77D5"/>
    <w:rsid w:val="00CC14F0"/>
    <w:rsid w:val="00CD78E9"/>
    <w:rsid w:val="00CE1B90"/>
    <w:rsid w:val="00CE3B0F"/>
    <w:rsid w:val="00CE40BB"/>
    <w:rsid w:val="00CF1C71"/>
    <w:rsid w:val="00CF510F"/>
    <w:rsid w:val="00CF6037"/>
    <w:rsid w:val="00CF7822"/>
    <w:rsid w:val="00D016AF"/>
    <w:rsid w:val="00D03DB3"/>
    <w:rsid w:val="00D07696"/>
    <w:rsid w:val="00D11956"/>
    <w:rsid w:val="00D15714"/>
    <w:rsid w:val="00D15A98"/>
    <w:rsid w:val="00D202B6"/>
    <w:rsid w:val="00D32B8D"/>
    <w:rsid w:val="00D500DC"/>
    <w:rsid w:val="00D54B39"/>
    <w:rsid w:val="00D64FF3"/>
    <w:rsid w:val="00D657A2"/>
    <w:rsid w:val="00D760C8"/>
    <w:rsid w:val="00D83FFD"/>
    <w:rsid w:val="00D8451F"/>
    <w:rsid w:val="00D8617D"/>
    <w:rsid w:val="00D91FA3"/>
    <w:rsid w:val="00D92563"/>
    <w:rsid w:val="00D94C8B"/>
    <w:rsid w:val="00DA234A"/>
    <w:rsid w:val="00DB468E"/>
    <w:rsid w:val="00DC58A8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DF66D9"/>
    <w:rsid w:val="00E0094D"/>
    <w:rsid w:val="00E10A17"/>
    <w:rsid w:val="00E13427"/>
    <w:rsid w:val="00E1374D"/>
    <w:rsid w:val="00E20134"/>
    <w:rsid w:val="00E20943"/>
    <w:rsid w:val="00E2159F"/>
    <w:rsid w:val="00E24A36"/>
    <w:rsid w:val="00E24CB2"/>
    <w:rsid w:val="00E26BD0"/>
    <w:rsid w:val="00E31D1C"/>
    <w:rsid w:val="00E32981"/>
    <w:rsid w:val="00E34312"/>
    <w:rsid w:val="00E3536D"/>
    <w:rsid w:val="00E44456"/>
    <w:rsid w:val="00E51C15"/>
    <w:rsid w:val="00E5494C"/>
    <w:rsid w:val="00E553B9"/>
    <w:rsid w:val="00E56E57"/>
    <w:rsid w:val="00E6599B"/>
    <w:rsid w:val="00E726DE"/>
    <w:rsid w:val="00E77AF8"/>
    <w:rsid w:val="00E844D5"/>
    <w:rsid w:val="00E86536"/>
    <w:rsid w:val="00E871C2"/>
    <w:rsid w:val="00EA1BAA"/>
    <w:rsid w:val="00EA284D"/>
    <w:rsid w:val="00EC48A8"/>
    <w:rsid w:val="00EC531B"/>
    <w:rsid w:val="00EC63FE"/>
    <w:rsid w:val="00ED401C"/>
    <w:rsid w:val="00ED6830"/>
    <w:rsid w:val="00EE0488"/>
    <w:rsid w:val="00EE333B"/>
    <w:rsid w:val="00EF2642"/>
    <w:rsid w:val="00EF3681"/>
    <w:rsid w:val="00F0649B"/>
    <w:rsid w:val="00F10790"/>
    <w:rsid w:val="00F10E7C"/>
    <w:rsid w:val="00F10EBB"/>
    <w:rsid w:val="00F13C1E"/>
    <w:rsid w:val="00F1458C"/>
    <w:rsid w:val="00F16121"/>
    <w:rsid w:val="00F16F17"/>
    <w:rsid w:val="00F20BC2"/>
    <w:rsid w:val="00F342E4"/>
    <w:rsid w:val="00F35330"/>
    <w:rsid w:val="00F41C91"/>
    <w:rsid w:val="00F42A9D"/>
    <w:rsid w:val="00F433A4"/>
    <w:rsid w:val="00F4421A"/>
    <w:rsid w:val="00F44B1A"/>
    <w:rsid w:val="00F47316"/>
    <w:rsid w:val="00F521DA"/>
    <w:rsid w:val="00F55DA5"/>
    <w:rsid w:val="00F701A5"/>
    <w:rsid w:val="00F94BC2"/>
    <w:rsid w:val="00F95ABE"/>
    <w:rsid w:val="00F9756D"/>
    <w:rsid w:val="00FA445D"/>
    <w:rsid w:val="00FA52CD"/>
    <w:rsid w:val="00FB5F12"/>
    <w:rsid w:val="00FB7D2D"/>
    <w:rsid w:val="00FC1F5B"/>
    <w:rsid w:val="00FC5117"/>
    <w:rsid w:val="00FD417F"/>
    <w:rsid w:val="00FD7255"/>
    <w:rsid w:val="00FD7B1D"/>
    <w:rsid w:val="00FE0F42"/>
    <w:rsid w:val="00FE12AE"/>
    <w:rsid w:val="00FE1635"/>
    <w:rsid w:val="00FE1E22"/>
    <w:rsid w:val="00FF04D6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5D70A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link w:val="ProposalChar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table" w:styleId="TableGrid">
    <w:name w:val="Table Grid"/>
    <w:basedOn w:val="TableNormal"/>
    <w:rsid w:val="0053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5334A6"/>
    <w:rPr>
      <w:rFonts w:asciiTheme="minorHAnsi" w:hAnsi="Times New Roman Bold"/>
      <w:b/>
      <w:sz w:val="24"/>
      <w:lang w:val="en-GB" w:eastAsia="en-US"/>
    </w:rPr>
  </w:style>
  <w:style w:type="paragraph" w:customStyle="1" w:styleId="dpstylenormalaftertitle">
    <w:name w:val="dpstylenormalaftertitle"/>
    <w:basedOn w:val="Normal"/>
    <w:rsid w:val="00EA284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CH" w:eastAsia="fr-CH"/>
    </w:rPr>
  </w:style>
  <w:style w:type="character" w:styleId="Strong">
    <w:name w:val="Strong"/>
    <w:basedOn w:val="DefaultParagraphFont"/>
    <w:uiPriority w:val="22"/>
    <w:qFormat/>
    <w:rsid w:val="00852970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8536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36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36A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3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36A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EE048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>DPM</DPM_x0020_Author>
    <DPM_x0020_File_x0020_name xmlns="d523d8b4-15d9-487b-a77a-d7a7f82925c6">S22-PP-C-0068!A17!MSW-E</DPM_x0020_File_x0020_name>
    <DPM_x0020_Version xmlns="d523d8b4-15d9-487b-a77a-d7a7f82925c6">DPM_2022.05.12.01</DPM_x0020_Version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fa5dd25-f3f9-4e68-9a51-5dc49417301e"/>
  </ds:schemaRefs>
</ds:datastoreItem>
</file>

<file path=customXml/itemProps2.xml><?xml version="1.0" encoding="utf-8"?>
<ds:datastoreItem xmlns:ds="http://schemas.openxmlformats.org/officeDocument/2006/customXml" ds:itemID="{3C8471B5-CEE0-462B-A812-C827F70C61D4}"/>
</file>

<file path=customXml/itemProps3.xml><?xml version="1.0" encoding="utf-8"?>
<ds:datastoreItem xmlns:ds="http://schemas.openxmlformats.org/officeDocument/2006/customXml" ds:itemID="{D7C356E5-2D39-41D6-BE52-1F9B3E799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F543C-E9BA-4907-82EC-C2AE20B381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2142</Words>
  <Characters>11954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S22-PP-C-0068!A17!MSW-E</vt:lpstr>
    </vt:vector>
  </TitlesOfParts>
  <Manager/>
  <Company/>
  <LinksUpToDate>false</LinksUpToDate>
  <CharactersWithSpaces>14068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S22-PP-C-0068!A17!MSW-E</dc:title>
  <dc:subject>Plenipotentiary Conference (PP-18)</dc:subject>
  <dc:creator>Documents Proposals Manager (DPM)</dc:creator>
  <cp:keywords>DPM_v2022.8.18.1_prod</cp:keywords>
  <cp:lastModifiedBy>Brouard, Ricarda</cp:lastModifiedBy>
  <cp:revision>2</cp:revision>
  <cp:lastPrinted>2022-09-02T07:56:00Z</cp:lastPrinted>
  <dcterms:created xsi:type="dcterms:W3CDTF">2022-09-05T15:53:00Z</dcterms:created>
  <dcterms:modified xsi:type="dcterms:W3CDTF">2022-09-05T15:53:00Z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